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80" w:lineRule="exact"/>
        <w:rPr>
          <w:rFonts w:ascii="Times New Roman" w:hAnsi="Times New Roman" w:eastAsia="方正小标宋_GBK"/>
          <w:sz w:val="44"/>
          <w:szCs w:val="44"/>
        </w:rPr>
      </w:pPr>
      <w:bookmarkStart w:id="0" w:name="_GoBack"/>
      <w:bookmarkEnd w:id="0"/>
      <w:r>
        <w:rPr>
          <w:rFonts w:ascii="Times New Roman" w:hAnsi="Times New Roman" w:eastAsia="方正小标宋_GBK"/>
          <w:sz w:val="44"/>
          <w:szCs w:val="44"/>
        </w:rPr>
        <w:t xml:space="preserve">  </w:t>
      </w:r>
    </w:p>
    <w:p>
      <w:pPr>
        <w:spacing w:line="580" w:lineRule="exact"/>
        <w:jc w:val="center"/>
        <w:rPr>
          <w:rFonts w:ascii="Times New Roman" w:hAnsi="Times New Roman" w:eastAsia="方正小标宋_GBK"/>
          <w:sz w:val="44"/>
          <w:szCs w:val="44"/>
        </w:rPr>
      </w:pPr>
      <w:r>
        <w:rPr>
          <w:rFonts w:hint="eastAsia" w:ascii="Times New Roman" w:hAnsi="Times New Roman" w:eastAsia="方正小标宋_GBK"/>
          <w:sz w:val="44"/>
          <w:szCs w:val="44"/>
        </w:rPr>
        <w:t>关于</w:t>
      </w:r>
      <w:r>
        <w:rPr>
          <w:rFonts w:ascii="Times New Roman" w:hAnsi="Times New Roman" w:eastAsia="方正小标宋_GBK"/>
          <w:sz w:val="44"/>
          <w:szCs w:val="44"/>
        </w:rPr>
        <w:t>重庆市渝北区2022年财政预算执行情况和2023年财政预算草案的报告</w:t>
      </w:r>
    </w:p>
    <w:p>
      <w:pPr>
        <w:spacing w:line="560" w:lineRule="exact"/>
        <w:jc w:val="center"/>
        <w:rPr>
          <w:rFonts w:ascii="Times New Roman" w:hAnsi="Times New Roman" w:eastAsia="方正楷体_GBK"/>
          <w:sz w:val="32"/>
          <w:szCs w:val="32"/>
        </w:rPr>
      </w:pPr>
    </w:p>
    <w:p>
      <w:pPr>
        <w:spacing w:line="560" w:lineRule="exact"/>
        <w:jc w:val="center"/>
        <w:rPr>
          <w:rFonts w:ascii="Times New Roman" w:hAnsi="Times New Roman" w:eastAsia="方正楷体_GBK"/>
          <w:sz w:val="32"/>
          <w:szCs w:val="32"/>
        </w:rPr>
      </w:pPr>
      <w:r>
        <w:rPr>
          <w:rFonts w:ascii="Times New Roman" w:hAnsi="Times New Roman" w:eastAsia="方正楷体_GBK"/>
          <w:sz w:val="32"/>
          <w:szCs w:val="32"/>
        </w:rPr>
        <w:t>——2023年2月</w:t>
      </w:r>
      <w:r>
        <w:rPr>
          <w:rFonts w:hint="eastAsia" w:ascii="Times New Roman" w:hAnsi="Times New Roman" w:eastAsia="方正楷体_GBK"/>
          <w:sz w:val="32"/>
          <w:szCs w:val="32"/>
        </w:rPr>
        <w:t>7</w:t>
      </w:r>
      <w:r>
        <w:rPr>
          <w:rFonts w:ascii="Times New Roman" w:hAnsi="Times New Roman" w:eastAsia="方正楷体_GBK"/>
          <w:sz w:val="32"/>
          <w:szCs w:val="32"/>
        </w:rPr>
        <w:t>日在重庆市渝北区第十九届人民代表大会</w:t>
      </w:r>
    </w:p>
    <w:p>
      <w:pPr>
        <w:spacing w:line="560" w:lineRule="exact"/>
        <w:jc w:val="center"/>
        <w:rPr>
          <w:rFonts w:ascii="Times New Roman" w:hAnsi="Times New Roman" w:eastAsia="方正楷体_GBK"/>
          <w:sz w:val="32"/>
          <w:szCs w:val="32"/>
        </w:rPr>
      </w:pPr>
      <w:r>
        <w:rPr>
          <w:rFonts w:ascii="Times New Roman" w:hAnsi="Times New Roman" w:eastAsia="方正楷体_GBK"/>
          <w:sz w:val="32"/>
          <w:szCs w:val="32"/>
        </w:rPr>
        <w:t>第三次会议上</w:t>
      </w:r>
    </w:p>
    <w:p>
      <w:pPr>
        <w:spacing w:line="560" w:lineRule="exact"/>
        <w:jc w:val="center"/>
        <w:rPr>
          <w:rFonts w:ascii="Times New Roman" w:hAnsi="Times New Roman" w:eastAsia="方正楷体_GBK"/>
          <w:sz w:val="32"/>
          <w:szCs w:val="32"/>
        </w:rPr>
      </w:pPr>
      <w:r>
        <w:rPr>
          <w:rFonts w:ascii="Times New Roman" w:hAnsi="Times New Roman" w:eastAsia="方正楷体_GBK"/>
          <w:sz w:val="32"/>
          <w:szCs w:val="32"/>
        </w:rPr>
        <w:t>重庆市渝北区财政局</w:t>
      </w:r>
    </w:p>
    <w:p>
      <w:pPr>
        <w:spacing w:line="560" w:lineRule="exact"/>
        <w:ind w:firstLine="640" w:firstLineChars="200"/>
        <w:rPr>
          <w:rFonts w:ascii="Times New Roman" w:hAnsi="Times New Roman" w:eastAsia="方正仿宋_GBK"/>
          <w:sz w:val="32"/>
          <w:szCs w:val="32"/>
        </w:rPr>
      </w:pPr>
    </w:p>
    <w:p>
      <w:pPr>
        <w:spacing w:line="560" w:lineRule="exact"/>
        <w:rPr>
          <w:rFonts w:ascii="Times New Roman" w:hAnsi="Times New Roman" w:eastAsia="方正仿宋_GBK"/>
          <w:sz w:val="32"/>
          <w:szCs w:val="32"/>
        </w:rPr>
      </w:pPr>
      <w:r>
        <w:rPr>
          <w:rFonts w:ascii="Times New Roman" w:hAnsi="Times New Roman" w:eastAsia="方正仿宋_GBK"/>
          <w:sz w:val="32"/>
          <w:szCs w:val="32"/>
        </w:rPr>
        <w:t>各位代表：</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受区人民政府委托，向大会书面报告2022年财政预算执行情况和2023年财政预算草案，请予审议，并请各位政协委员和列席人员提出意见。</w:t>
      </w:r>
    </w:p>
    <w:p>
      <w:pPr>
        <w:spacing w:line="560" w:lineRule="exact"/>
        <w:ind w:firstLine="640" w:firstLineChars="200"/>
        <w:rPr>
          <w:rFonts w:ascii="Times New Roman" w:hAnsi="Times New Roman" w:eastAsia="方正黑体_GBK"/>
          <w:sz w:val="32"/>
          <w:szCs w:val="32"/>
        </w:rPr>
      </w:pPr>
      <w:r>
        <w:rPr>
          <w:rFonts w:ascii="Times New Roman" w:hAnsi="Times New Roman" w:eastAsia="方正黑体_GBK"/>
          <w:sz w:val="32"/>
          <w:szCs w:val="32"/>
        </w:rPr>
        <w:t>一、2022年预算执行情况</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全区收入总计245亿元，其中：一般公共预算收入59亿元、政府性基金预算收入925万元、国有资本经营预算收入2167万元、上级补助收入115.2亿元、债务转贷收入41.9亿元、动用上年预算稳定调节基金15.</w:t>
      </w:r>
      <w:r>
        <w:rPr>
          <w:rFonts w:hint="eastAsia" w:ascii="Times New Roman" w:hAnsi="Times New Roman" w:eastAsia="方正仿宋_GBK"/>
          <w:sz w:val="32"/>
          <w:szCs w:val="32"/>
        </w:rPr>
        <w:t>4</w:t>
      </w:r>
      <w:r>
        <w:rPr>
          <w:rFonts w:ascii="Times New Roman" w:hAnsi="Times New Roman" w:eastAsia="方正仿宋_GBK"/>
          <w:sz w:val="32"/>
          <w:szCs w:val="32"/>
        </w:rPr>
        <w:t>亿元、上年结转13.2亿元。</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全区支出总计245亿元，其中：一般公共预算支出114.2亿元、政府性基金预算支出66.3亿元、上解支出8.7亿元、债务还本支出21.5亿元、安排下年预算稳定调节基金10.3亿元、结转下年23.9亿元。</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区本级收入总计239.2亿元，其中：一般公共预算收入55.3亿元、政府性基金预算收入925万元、国有资本经营预算收入2167万元、上级补助收入115.2亿元、下级上解</w:t>
      </w:r>
      <w:r>
        <w:rPr>
          <w:rFonts w:hint="eastAsia" w:ascii="Times New Roman" w:hAnsi="Times New Roman" w:eastAsia="方正仿宋_GBK"/>
          <w:sz w:val="32"/>
          <w:szCs w:val="32"/>
        </w:rPr>
        <w:t>收入</w:t>
      </w:r>
      <w:r>
        <w:rPr>
          <w:rFonts w:ascii="Times New Roman" w:hAnsi="Times New Roman" w:eastAsia="方正仿宋_GBK"/>
          <w:sz w:val="32"/>
          <w:szCs w:val="32"/>
        </w:rPr>
        <w:t>2.9亿元、债务转贷收入41.9亿元、动用上年预算稳定调节基金12.2亿元、上年结转11.4亿元。</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区本级支出总计239.2亿元，其中：一般公共预算支出100.9亿元、政府性基金预算支出64.9亿元、上解上级支出8.7亿元、补助下级13.</w:t>
      </w:r>
      <w:r>
        <w:rPr>
          <w:rFonts w:hint="eastAsia" w:ascii="Times New Roman" w:hAnsi="Times New Roman" w:eastAsia="方正仿宋_GBK"/>
          <w:sz w:val="32"/>
          <w:szCs w:val="32"/>
        </w:rPr>
        <w:t>7</w:t>
      </w:r>
      <w:r>
        <w:rPr>
          <w:rFonts w:ascii="Times New Roman" w:hAnsi="Times New Roman" w:eastAsia="方正仿宋_GBK"/>
          <w:sz w:val="32"/>
          <w:szCs w:val="32"/>
        </w:rPr>
        <w:t>亿元、债务还本支出21.5亿元、安排下年预算稳定调节基金8.2亿元、结转下年21.3亿元。</w:t>
      </w:r>
    </w:p>
    <w:p>
      <w:pPr>
        <w:spacing w:line="560" w:lineRule="exact"/>
        <w:ind w:firstLine="640" w:firstLineChars="200"/>
        <w:rPr>
          <w:rFonts w:ascii="Times New Roman" w:hAnsi="Times New Roman" w:eastAsia="方正楷体_GBK"/>
          <w:sz w:val="32"/>
          <w:szCs w:val="32"/>
        </w:rPr>
      </w:pPr>
      <w:r>
        <w:rPr>
          <w:rFonts w:ascii="Times New Roman" w:hAnsi="Times New Roman" w:eastAsia="方正楷体_GBK"/>
          <w:sz w:val="32"/>
          <w:szCs w:val="32"/>
        </w:rPr>
        <w:t>（一）一般公共预算执行情况</w:t>
      </w:r>
    </w:p>
    <w:p>
      <w:pPr>
        <w:spacing w:line="560" w:lineRule="exact"/>
        <w:ind w:firstLine="640" w:firstLineChars="200"/>
        <w:rPr>
          <w:rFonts w:ascii="Times New Roman" w:hAnsi="Times New Roman" w:eastAsia="方正仿宋_GBK"/>
          <w:sz w:val="32"/>
          <w:szCs w:val="32"/>
        </w:rPr>
      </w:pPr>
      <w:r>
        <w:rPr>
          <w:rFonts w:hint="eastAsia" w:ascii="Times New Roman" w:hAnsi="Times New Roman" w:eastAsia="方正仿宋_GBK"/>
          <w:sz w:val="32"/>
          <w:szCs w:val="32"/>
        </w:rPr>
        <w:t>1．</w:t>
      </w:r>
      <w:r>
        <w:rPr>
          <w:rFonts w:ascii="Times New Roman" w:hAnsi="Times New Roman" w:eastAsia="方正仿宋_GBK"/>
          <w:sz w:val="32"/>
          <w:szCs w:val="32"/>
        </w:rPr>
        <w:t>全区一般公共预算</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——全区一般公共预算收入59亿元，下降20.2%。其中税收收入46.8亿元，下降30.6%；非税收入12.2亿元，增长87.2%。加上上级</w:t>
      </w:r>
      <w:r>
        <w:rPr>
          <w:rFonts w:hint="eastAsia" w:ascii="Times New Roman" w:hAnsi="Times New Roman" w:eastAsia="方正仿宋_GBK"/>
          <w:sz w:val="32"/>
          <w:szCs w:val="32"/>
        </w:rPr>
        <w:t>补助收入</w:t>
      </w:r>
      <w:r>
        <w:rPr>
          <w:rFonts w:ascii="Times New Roman" w:hAnsi="Times New Roman" w:eastAsia="方正仿宋_GBK"/>
          <w:sz w:val="32"/>
          <w:szCs w:val="32"/>
        </w:rPr>
        <w:t>41.8亿元、债务转贷收入23.9亿元、调入资金13.8亿元、动用上年预算稳定调节基金15.</w:t>
      </w:r>
      <w:r>
        <w:rPr>
          <w:rFonts w:hint="eastAsia" w:ascii="Times New Roman" w:hAnsi="Times New Roman" w:eastAsia="方正仿宋_GBK"/>
          <w:sz w:val="32"/>
          <w:szCs w:val="32"/>
        </w:rPr>
        <w:t>4</w:t>
      </w:r>
      <w:r>
        <w:rPr>
          <w:rFonts w:ascii="Times New Roman" w:hAnsi="Times New Roman" w:eastAsia="方正仿宋_GBK"/>
          <w:sz w:val="32"/>
          <w:szCs w:val="32"/>
        </w:rPr>
        <w:t>亿元、上年结转9亿元，收入总计162.9亿元。</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——全区一般公共预算支出114.2亿元，下降1.9%。加上上解</w:t>
      </w:r>
      <w:r>
        <w:rPr>
          <w:rFonts w:hint="eastAsia" w:ascii="Times New Roman" w:hAnsi="Times New Roman" w:eastAsia="方正仿宋_GBK"/>
          <w:sz w:val="32"/>
          <w:szCs w:val="32"/>
        </w:rPr>
        <w:t>上级</w:t>
      </w:r>
      <w:r>
        <w:rPr>
          <w:rFonts w:ascii="Times New Roman" w:hAnsi="Times New Roman" w:eastAsia="方正仿宋_GBK"/>
          <w:sz w:val="32"/>
          <w:szCs w:val="32"/>
        </w:rPr>
        <w:t>支出8.7亿元、债务还本支出21.4亿元、安排</w:t>
      </w:r>
      <w:r>
        <w:rPr>
          <w:rFonts w:hint="eastAsia" w:ascii="Times New Roman" w:hAnsi="Times New Roman" w:eastAsia="方正仿宋_GBK"/>
          <w:sz w:val="32"/>
          <w:szCs w:val="32"/>
        </w:rPr>
        <w:t>下年</w:t>
      </w:r>
      <w:r>
        <w:rPr>
          <w:rFonts w:ascii="Times New Roman" w:hAnsi="Times New Roman" w:eastAsia="方正仿宋_GBK"/>
          <w:sz w:val="32"/>
          <w:szCs w:val="32"/>
        </w:rPr>
        <w:t>预算稳定调节基金10.3亿元、结转下年8.3亿元，支出总计162.9亿元。</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2</w:t>
      </w:r>
      <w:r>
        <w:rPr>
          <w:rFonts w:hint="eastAsia" w:ascii="Times New Roman" w:hAnsi="Times New Roman" w:eastAsia="方正仿宋_GBK"/>
          <w:sz w:val="32"/>
          <w:szCs w:val="32"/>
        </w:rPr>
        <w:t>．</w:t>
      </w:r>
      <w:r>
        <w:rPr>
          <w:rFonts w:ascii="Times New Roman" w:hAnsi="Times New Roman" w:eastAsia="方正仿宋_GBK"/>
          <w:sz w:val="32"/>
          <w:szCs w:val="32"/>
        </w:rPr>
        <w:t>区本级一般公共预算</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——区本级一般公共预算收入55.3亿元，下降22.5%。其中税收收入43.1亿元，下降33.6%；非税收入12.2亿元，增长89.7%。加上上级补助</w:t>
      </w:r>
      <w:r>
        <w:rPr>
          <w:rFonts w:hint="eastAsia" w:ascii="Times New Roman" w:hAnsi="Times New Roman" w:eastAsia="方正仿宋_GBK"/>
          <w:sz w:val="32"/>
          <w:szCs w:val="32"/>
        </w:rPr>
        <w:t>收入</w:t>
      </w:r>
      <w:r>
        <w:rPr>
          <w:rFonts w:ascii="Times New Roman" w:hAnsi="Times New Roman" w:eastAsia="方正仿宋_GBK"/>
          <w:sz w:val="32"/>
          <w:szCs w:val="32"/>
        </w:rPr>
        <w:t>41.8亿元、下级上解</w:t>
      </w:r>
      <w:r>
        <w:rPr>
          <w:rFonts w:hint="eastAsia" w:ascii="Times New Roman" w:hAnsi="Times New Roman" w:eastAsia="方正仿宋_GBK"/>
          <w:sz w:val="32"/>
          <w:szCs w:val="32"/>
        </w:rPr>
        <w:t>收入</w:t>
      </w:r>
      <w:r>
        <w:rPr>
          <w:rFonts w:ascii="Times New Roman" w:hAnsi="Times New Roman" w:eastAsia="方正仿宋_GBK"/>
          <w:sz w:val="32"/>
          <w:szCs w:val="32"/>
        </w:rPr>
        <w:t>2.9亿元、债务转贷收入23.9亿元、调入资金13.7亿元、动用上年预算稳定调节基金12.2亿元、上年结转7.9亿元，收入总计157.</w:t>
      </w:r>
      <w:r>
        <w:rPr>
          <w:rFonts w:hint="eastAsia" w:ascii="Times New Roman" w:hAnsi="Times New Roman" w:eastAsia="方正仿宋_GBK"/>
          <w:sz w:val="32"/>
          <w:szCs w:val="32"/>
        </w:rPr>
        <w:t>7</w:t>
      </w:r>
      <w:r>
        <w:rPr>
          <w:rFonts w:ascii="Times New Roman" w:hAnsi="Times New Roman" w:eastAsia="方正仿宋_GBK"/>
          <w:sz w:val="32"/>
          <w:szCs w:val="32"/>
        </w:rPr>
        <w:t>亿元。</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——区本级一般公共预算支出100.9亿元，下降2.4%。加上上解支出8.7亿元、补助下级</w:t>
      </w:r>
      <w:r>
        <w:rPr>
          <w:rFonts w:hint="eastAsia" w:ascii="Times New Roman" w:hAnsi="Times New Roman" w:eastAsia="方正仿宋_GBK"/>
          <w:sz w:val="32"/>
          <w:szCs w:val="32"/>
        </w:rPr>
        <w:t>支出</w:t>
      </w:r>
      <w:r>
        <w:rPr>
          <w:rFonts w:ascii="Times New Roman" w:hAnsi="Times New Roman" w:eastAsia="方正仿宋_GBK"/>
          <w:sz w:val="32"/>
          <w:szCs w:val="32"/>
        </w:rPr>
        <w:t>12.1亿元、债务还本支出21.4亿元、安排</w:t>
      </w:r>
      <w:r>
        <w:rPr>
          <w:rFonts w:hint="eastAsia" w:ascii="Times New Roman" w:hAnsi="Times New Roman" w:eastAsia="方正仿宋_GBK"/>
          <w:sz w:val="32"/>
          <w:szCs w:val="32"/>
        </w:rPr>
        <w:t>下年</w:t>
      </w:r>
      <w:r>
        <w:rPr>
          <w:rFonts w:ascii="Times New Roman" w:hAnsi="Times New Roman" w:eastAsia="方正仿宋_GBK"/>
          <w:sz w:val="32"/>
          <w:szCs w:val="32"/>
        </w:rPr>
        <w:t>预算稳定调节基金8.2亿元、结转下年6.4亿元，支出总计157.</w:t>
      </w:r>
      <w:r>
        <w:rPr>
          <w:rFonts w:hint="eastAsia" w:ascii="Times New Roman" w:hAnsi="Times New Roman" w:eastAsia="方正仿宋_GBK"/>
          <w:sz w:val="32"/>
          <w:szCs w:val="32"/>
        </w:rPr>
        <w:t>7</w:t>
      </w:r>
      <w:r>
        <w:rPr>
          <w:rFonts w:ascii="Times New Roman" w:hAnsi="Times New Roman" w:eastAsia="方正仿宋_GBK"/>
          <w:sz w:val="32"/>
          <w:szCs w:val="32"/>
        </w:rPr>
        <w:t>亿元。</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 xml:space="preserve">主要支出情况如下： </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——一般公共服务方面支出7.2亿元，下降0.</w:t>
      </w:r>
      <w:r>
        <w:rPr>
          <w:rFonts w:hint="eastAsia" w:ascii="Times New Roman" w:hAnsi="Times New Roman" w:eastAsia="方正仿宋_GBK"/>
          <w:sz w:val="32"/>
          <w:szCs w:val="32"/>
        </w:rPr>
        <w:t>2</w:t>
      </w:r>
      <w:r>
        <w:rPr>
          <w:rFonts w:ascii="Times New Roman" w:hAnsi="Times New Roman" w:eastAsia="方正仿宋_GBK"/>
          <w:sz w:val="32"/>
          <w:szCs w:val="32"/>
        </w:rPr>
        <w:t>%。主要用于：部门运行4.5亿元、行政服务中心运行经费4088万元、公共投资建设项目评审及审计费2003万元、文明城区建设和群众性精神文明建设1416万元、食品药品安全监督管理经费1195万元等。</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——教育方面支出27.6亿元，增长8.3%。主要用于：教育系统人员及公用经费17.7亿元、“民转公”学校过渡期经费2.2亿元、学校建设及修缮1.6亿元、义务教育课后服务补助8730万元等</w:t>
      </w:r>
      <w:r>
        <w:rPr>
          <w:rFonts w:hint="eastAsia" w:ascii="Times New Roman" w:hAnsi="Times New Roman" w:eastAsia="方正仿宋_GBK"/>
          <w:sz w:val="32"/>
          <w:szCs w:val="32"/>
        </w:rPr>
        <w:t>、</w:t>
      </w:r>
      <w:r>
        <w:rPr>
          <w:rFonts w:ascii="Times New Roman" w:hAnsi="Times New Roman" w:eastAsia="方正仿宋_GBK"/>
          <w:sz w:val="32"/>
          <w:szCs w:val="32"/>
        </w:rPr>
        <w:t>教育资助6482万元、校园安保人员补助5056万元、购买专职幼教人员劳务支出3901万元、学前教育普惠性民办幼儿园补助公用经费2156万</w:t>
      </w:r>
      <w:r>
        <w:rPr>
          <w:rFonts w:hint="eastAsia" w:ascii="Times New Roman" w:hAnsi="Times New Roman" w:eastAsia="方正仿宋_GBK"/>
          <w:sz w:val="32"/>
          <w:szCs w:val="32"/>
        </w:rPr>
        <w:t>等</w:t>
      </w:r>
      <w:r>
        <w:rPr>
          <w:rFonts w:ascii="Times New Roman" w:hAnsi="Times New Roman" w:eastAsia="方正仿宋_GBK"/>
          <w:sz w:val="32"/>
          <w:szCs w:val="32"/>
        </w:rPr>
        <w:t>。</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——科学技术方面支出2.9亿元，增长0.4%。主要用于：支持园区入驻企业研发投入8000万元、科技创新政策补贴4034万元、企业技术创新3788万元、企业研发准备金补助1172万元等。</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——文化旅游体育与传媒方面支出1.</w:t>
      </w:r>
      <w:r>
        <w:rPr>
          <w:rFonts w:hint="eastAsia" w:ascii="Times New Roman" w:hAnsi="Times New Roman" w:eastAsia="方正仿宋_GBK"/>
          <w:sz w:val="32"/>
          <w:szCs w:val="32"/>
        </w:rPr>
        <w:t>4</w:t>
      </w:r>
      <w:r>
        <w:rPr>
          <w:rFonts w:ascii="Times New Roman" w:hAnsi="Times New Roman" w:eastAsia="方正仿宋_GBK"/>
          <w:sz w:val="32"/>
          <w:szCs w:val="32"/>
        </w:rPr>
        <w:t>亿元，下降2</w:t>
      </w:r>
      <w:r>
        <w:rPr>
          <w:rFonts w:hint="eastAsia" w:ascii="Times New Roman" w:hAnsi="Times New Roman" w:eastAsia="方正仿宋_GBK"/>
          <w:sz w:val="32"/>
          <w:szCs w:val="32"/>
        </w:rPr>
        <w:t>1.8</w:t>
      </w:r>
      <w:r>
        <w:rPr>
          <w:rFonts w:ascii="Times New Roman" w:hAnsi="Times New Roman" w:eastAsia="方正仿宋_GBK"/>
          <w:sz w:val="32"/>
          <w:szCs w:val="32"/>
        </w:rPr>
        <w:t>%。主要用于：文体传媒系统人员及公用经费3594万元、文化旅游发展专项资金1400万元、渝北时报及新媒体运行1137万元、一级电视台运行维护经费814万元、文体场馆免费及低收费开放补助491万元等。</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——社会保障和就业方面支出</w:t>
      </w:r>
      <w:r>
        <w:rPr>
          <w:rFonts w:hint="eastAsia" w:ascii="Times New Roman" w:hAnsi="Times New Roman" w:eastAsia="方正仿宋_GBK"/>
          <w:sz w:val="32"/>
          <w:szCs w:val="32"/>
        </w:rPr>
        <w:t>11.9</w:t>
      </w:r>
      <w:r>
        <w:rPr>
          <w:rFonts w:ascii="Times New Roman" w:hAnsi="Times New Roman" w:eastAsia="方正仿宋_GBK"/>
          <w:sz w:val="32"/>
          <w:szCs w:val="32"/>
        </w:rPr>
        <w:t>亿元，下降19.</w:t>
      </w:r>
      <w:r>
        <w:rPr>
          <w:rFonts w:hint="eastAsia" w:ascii="Times New Roman" w:hAnsi="Times New Roman" w:eastAsia="方正仿宋_GBK"/>
          <w:sz w:val="32"/>
          <w:szCs w:val="32"/>
        </w:rPr>
        <w:t>3</w:t>
      </w:r>
      <w:r>
        <w:rPr>
          <w:rFonts w:ascii="Times New Roman" w:hAnsi="Times New Roman" w:eastAsia="方正仿宋_GBK"/>
          <w:sz w:val="32"/>
          <w:szCs w:val="32"/>
        </w:rPr>
        <w:t>%。主要用于：</w:t>
      </w:r>
      <w:r>
        <w:rPr>
          <w:rFonts w:hint="eastAsia" w:ascii="Times New Roman" w:hAnsi="Times New Roman" w:eastAsia="方正仿宋_GBK"/>
          <w:sz w:val="32"/>
          <w:szCs w:val="32"/>
        </w:rPr>
        <w:t>社保和就业系统人员及公用经费5546万元、行政事业单位养老保险职业年金及离退休人员相关支出5.7亿元、基层政权建设和社区治理1.9亿、优抚对象抚恤及退役安置1.2亿元、稳就业支出1.2亿元、老年及儿童福利支出2330万元、残疾人保障2039万元、人才引进1996万元等。</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——卫生健康方面支出13.</w:t>
      </w:r>
      <w:r>
        <w:rPr>
          <w:rFonts w:hint="eastAsia" w:ascii="Times New Roman" w:hAnsi="Times New Roman" w:eastAsia="方正仿宋_GBK"/>
          <w:sz w:val="32"/>
          <w:szCs w:val="32"/>
        </w:rPr>
        <w:t>4</w:t>
      </w:r>
      <w:r>
        <w:rPr>
          <w:rFonts w:ascii="Times New Roman" w:hAnsi="Times New Roman" w:eastAsia="方正仿宋_GBK"/>
          <w:sz w:val="32"/>
          <w:szCs w:val="32"/>
        </w:rPr>
        <w:t>亿元，增长</w:t>
      </w:r>
      <w:r>
        <w:rPr>
          <w:rFonts w:hint="eastAsia" w:ascii="Times New Roman" w:hAnsi="Times New Roman" w:eastAsia="方正仿宋_GBK"/>
          <w:sz w:val="32"/>
          <w:szCs w:val="32"/>
        </w:rPr>
        <w:t>42.6</w:t>
      </w:r>
      <w:r>
        <w:rPr>
          <w:rFonts w:ascii="Times New Roman" w:hAnsi="Times New Roman" w:eastAsia="方正仿宋_GBK"/>
          <w:sz w:val="32"/>
          <w:szCs w:val="32"/>
        </w:rPr>
        <w:t>%。主要用于：</w:t>
      </w:r>
      <w:r>
        <w:rPr>
          <w:rFonts w:hint="eastAsia" w:ascii="Times New Roman" w:hAnsi="Times New Roman" w:eastAsia="方正仿宋_GBK"/>
          <w:sz w:val="32"/>
          <w:szCs w:val="32"/>
        </w:rPr>
        <w:t>卫生医保系统人员及公用经费2.7亿元、公共卫生服务及疫情防控5.4亿元、三甲医院建设及设备采购2亿元、机关事业单位人员医疗保险费及财政对城乡居民基本医疗保险基金补助1.9亿元、医疗救助及优抚对象医疗支出4975万元、计生惠民支出3493万元、基本药物补助支出3135万元等。</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——节能环保方面支出3亿元，增长</w:t>
      </w:r>
      <w:r>
        <w:rPr>
          <w:rFonts w:hint="eastAsia" w:ascii="Times New Roman" w:hAnsi="Times New Roman" w:eastAsia="方正仿宋_GBK"/>
          <w:sz w:val="32"/>
          <w:szCs w:val="32"/>
        </w:rPr>
        <w:t>2</w:t>
      </w:r>
      <w:r>
        <w:rPr>
          <w:rFonts w:ascii="Times New Roman" w:hAnsi="Times New Roman" w:eastAsia="方正仿宋_GBK"/>
          <w:sz w:val="32"/>
          <w:szCs w:val="32"/>
        </w:rPr>
        <w:t>.5%。主要用于：</w:t>
      </w:r>
      <w:r>
        <w:rPr>
          <w:rFonts w:hint="eastAsia" w:ascii="Times New Roman" w:hAnsi="Times New Roman" w:eastAsia="方正仿宋_GBK"/>
          <w:sz w:val="32"/>
          <w:szCs w:val="32"/>
        </w:rPr>
        <w:t>生态系统人员及公用经费 1800万元、固体废弃物污染防治5550万元、生活垃圾分类5141万元、垃圾收运服务4821万元、农村环境保护3400万元、污水处理服务1465万元、村社保洁员经费1214万元等。</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——城乡社区方面支出7.</w:t>
      </w:r>
      <w:r>
        <w:rPr>
          <w:rFonts w:hint="eastAsia" w:ascii="Times New Roman" w:hAnsi="Times New Roman" w:eastAsia="方正仿宋_GBK"/>
          <w:sz w:val="32"/>
          <w:szCs w:val="32"/>
        </w:rPr>
        <w:t>6</w:t>
      </w:r>
      <w:r>
        <w:rPr>
          <w:rFonts w:ascii="Times New Roman" w:hAnsi="Times New Roman" w:eastAsia="方正仿宋_GBK"/>
          <w:sz w:val="32"/>
          <w:szCs w:val="32"/>
        </w:rPr>
        <w:t>亿元，下降</w:t>
      </w:r>
      <w:r>
        <w:rPr>
          <w:rFonts w:hint="eastAsia" w:ascii="Times New Roman" w:hAnsi="Times New Roman" w:eastAsia="方正仿宋_GBK"/>
          <w:sz w:val="32"/>
          <w:szCs w:val="32"/>
        </w:rPr>
        <w:t>23.4</w:t>
      </w:r>
      <w:r>
        <w:rPr>
          <w:rFonts w:ascii="Times New Roman" w:hAnsi="Times New Roman" w:eastAsia="方正仿宋_GBK"/>
          <w:sz w:val="32"/>
          <w:szCs w:val="32"/>
        </w:rPr>
        <w:t>%。主要用于：</w:t>
      </w:r>
      <w:r>
        <w:rPr>
          <w:rFonts w:hint="eastAsia" w:ascii="Times New Roman" w:hAnsi="Times New Roman" w:eastAsia="方正仿宋_GBK"/>
          <w:sz w:val="32"/>
          <w:szCs w:val="32"/>
        </w:rPr>
        <w:t>城市管理系统人员及公用经费1.7亿元、环卫工人工资2.6亿元、物业管理5481万元、“十四五”空间拓展指挥部经费1000万元、园林绿化及公园管护889万元、城区桥隧维护877万元等。</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——农林水方面支出5.7亿元，增长9.</w:t>
      </w:r>
      <w:r>
        <w:rPr>
          <w:rFonts w:hint="eastAsia" w:ascii="Times New Roman" w:hAnsi="Times New Roman" w:eastAsia="方正仿宋_GBK"/>
          <w:sz w:val="32"/>
          <w:szCs w:val="32"/>
        </w:rPr>
        <w:t>2</w:t>
      </w:r>
      <w:r>
        <w:rPr>
          <w:rFonts w:ascii="Times New Roman" w:hAnsi="Times New Roman" w:eastAsia="方正仿宋_GBK"/>
          <w:sz w:val="32"/>
          <w:szCs w:val="32"/>
        </w:rPr>
        <w:t>%。主要用于：</w:t>
      </w:r>
      <w:r>
        <w:rPr>
          <w:rFonts w:hint="eastAsia" w:ascii="Times New Roman" w:hAnsi="Times New Roman" w:eastAsia="方正仿宋_GBK"/>
          <w:sz w:val="32"/>
          <w:szCs w:val="32"/>
        </w:rPr>
        <w:t>农林水系统</w:t>
      </w:r>
      <w:r>
        <w:rPr>
          <w:rFonts w:ascii="Times New Roman" w:hAnsi="Times New Roman" w:eastAsia="方正仿宋_GBK"/>
          <w:sz w:val="32"/>
          <w:szCs w:val="32"/>
        </w:rPr>
        <w:t>人员及公用经费</w:t>
      </w:r>
      <w:r>
        <w:rPr>
          <w:rFonts w:hint="eastAsia" w:ascii="Times New Roman" w:hAnsi="Times New Roman" w:eastAsia="方正仿宋_GBK"/>
          <w:sz w:val="32"/>
          <w:szCs w:val="32"/>
        </w:rPr>
        <w:t>1.1亿元、农田建设8408万元、水利工程建设7000万元、农业生产发展与农产品质量安全3683万元、水库维修及农村集中用水维护补助2066万元、国土绿化1562万元、农林水防灾减灾1361万元等。</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——交通运输方面支出1.</w:t>
      </w:r>
      <w:r>
        <w:rPr>
          <w:rFonts w:hint="eastAsia" w:ascii="Times New Roman" w:hAnsi="Times New Roman" w:eastAsia="方正仿宋_GBK"/>
          <w:sz w:val="32"/>
          <w:szCs w:val="32"/>
        </w:rPr>
        <w:t>5</w:t>
      </w:r>
      <w:r>
        <w:rPr>
          <w:rFonts w:ascii="Times New Roman" w:hAnsi="Times New Roman" w:eastAsia="方正仿宋_GBK"/>
          <w:sz w:val="32"/>
          <w:szCs w:val="32"/>
        </w:rPr>
        <w:t>亿元，增长</w:t>
      </w:r>
      <w:r>
        <w:rPr>
          <w:rFonts w:hint="eastAsia" w:ascii="Times New Roman" w:hAnsi="Times New Roman" w:eastAsia="方正仿宋_GBK"/>
          <w:sz w:val="32"/>
          <w:szCs w:val="32"/>
        </w:rPr>
        <w:t>20</w:t>
      </w:r>
      <w:r>
        <w:rPr>
          <w:rFonts w:ascii="Times New Roman" w:hAnsi="Times New Roman" w:eastAsia="方正仿宋_GBK"/>
          <w:sz w:val="32"/>
          <w:szCs w:val="32"/>
        </w:rPr>
        <w:t>%。主要用于：</w:t>
      </w:r>
      <w:r>
        <w:rPr>
          <w:rFonts w:hint="eastAsia" w:ascii="Times New Roman" w:hAnsi="Times New Roman" w:eastAsia="方正仿宋_GBK"/>
          <w:sz w:val="32"/>
          <w:szCs w:val="32"/>
        </w:rPr>
        <w:t>交通系统人员及公用经费3728万元、农村公路建设及养护3451万元、农村客运补贴2596万元、绕城高速外公交补贴1848万元等。</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——资源勘探工业信息、商业服务业、金融、粮油物资储备</w:t>
      </w:r>
      <w:r>
        <w:rPr>
          <w:rFonts w:hint="eastAsia" w:ascii="Times New Roman" w:hAnsi="Times New Roman" w:eastAsia="方正仿宋_GBK"/>
          <w:sz w:val="32"/>
          <w:szCs w:val="32"/>
        </w:rPr>
        <w:t>支出</w:t>
      </w:r>
      <w:r>
        <w:rPr>
          <w:rFonts w:ascii="Times New Roman" w:hAnsi="Times New Roman" w:eastAsia="方正仿宋_GBK"/>
          <w:sz w:val="32"/>
          <w:szCs w:val="32"/>
        </w:rPr>
        <w:t>2.6亿元，下降22.8%。主要用于：工业和信息发展专项资金8211万元、商贸流通及外贸5283万元、金融机构扶持和改制上市扶持2051万元、区级储备粮费用1725万元等。</w:t>
      </w:r>
    </w:p>
    <w:p>
      <w:pPr>
        <w:spacing w:line="560" w:lineRule="exact"/>
        <w:ind w:firstLine="640" w:firstLineChars="200"/>
        <w:rPr>
          <w:rFonts w:ascii="Times New Roman" w:hAnsi="Times New Roman" w:eastAsia="方正楷体_GBK"/>
          <w:sz w:val="32"/>
          <w:szCs w:val="32"/>
        </w:rPr>
      </w:pPr>
      <w:r>
        <w:rPr>
          <w:rFonts w:ascii="Times New Roman" w:hAnsi="Times New Roman" w:eastAsia="方正楷体_GBK"/>
          <w:sz w:val="32"/>
          <w:szCs w:val="32"/>
        </w:rPr>
        <w:t>（二）政府性基金预算执行情况</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1</w:t>
      </w:r>
      <w:r>
        <w:rPr>
          <w:rFonts w:hint="eastAsia" w:ascii="Times New Roman" w:hAnsi="Times New Roman" w:eastAsia="方正仿宋_GBK"/>
          <w:sz w:val="32"/>
          <w:szCs w:val="32"/>
        </w:rPr>
        <w:t>．</w:t>
      </w:r>
      <w:r>
        <w:rPr>
          <w:rFonts w:ascii="Times New Roman" w:hAnsi="Times New Roman" w:eastAsia="方正仿宋_GBK"/>
          <w:sz w:val="32"/>
          <w:szCs w:val="32"/>
        </w:rPr>
        <w:t>全区政府性基金预算</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——全区政府性基金预算收入95.6亿元，其中：本级收入925万元、上级补助收入73.4亿元、债务转贷收入18.1亿元、上年结转4亿元。</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——全区政府性基金预算支出95.6亿元，其中：本级支出66.3亿元、债务还本支出800万元、结转下年15.7亿元、调出资金13.6亿元、上解支出191万元。</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2</w:t>
      </w:r>
      <w:r>
        <w:rPr>
          <w:rFonts w:hint="eastAsia" w:ascii="Times New Roman" w:hAnsi="Times New Roman" w:eastAsia="方正仿宋_GBK"/>
          <w:sz w:val="32"/>
          <w:szCs w:val="32"/>
        </w:rPr>
        <w:t>．</w:t>
      </w:r>
      <w:r>
        <w:rPr>
          <w:rFonts w:ascii="Times New Roman" w:hAnsi="Times New Roman" w:eastAsia="方正仿宋_GBK"/>
          <w:sz w:val="32"/>
          <w:szCs w:val="32"/>
        </w:rPr>
        <w:t>区本级政府性基金预算</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——区本级政府性基金预算收入95亿元，其中：本级收入925万元、上级补助收入73.4亿元、下级上解收入42万元、债务转贷收入18.1亿元、上年结转3.4亿元。</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——区本级政府性基金预算支出95亿元，其中：本级支出</w:t>
      </w:r>
      <w:r>
        <w:rPr>
          <w:rFonts w:hint="eastAsia" w:ascii="Times New Roman" w:hAnsi="Times New Roman" w:eastAsia="方正仿宋_GBK"/>
          <w:sz w:val="32"/>
          <w:szCs w:val="32"/>
        </w:rPr>
        <w:t>64.9</w:t>
      </w:r>
      <w:r>
        <w:rPr>
          <w:rFonts w:ascii="Times New Roman" w:hAnsi="Times New Roman" w:eastAsia="方正仿宋_GBK"/>
          <w:sz w:val="32"/>
          <w:szCs w:val="32"/>
        </w:rPr>
        <w:t>亿元、债务还本支出800万元、结转下年14.9亿元、调出资金13.5亿元、上解支出191万元、补助下级支出1.6亿元。</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从项目看，区本级政府性基金主要用于：</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——土地相关支出30.</w:t>
      </w:r>
      <w:r>
        <w:rPr>
          <w:rFonts w:hint="eastAsia" w:ascii="Times New Roman" w:hAnsi="Times New Roman" w:eastAsia="方正仿宋_GBK"/>
          <w:sz w:val="32"/>
          <w:szCs w:val="32"/>
        </w:rPr>
        <w:t>6</w:t>
      </w:r>
      <w:r>
        <w:rPr>
          <w:rFonts w:ascii="Times New Roman" w:hAnsi="Times New Roman" w:eastAsia="方正仿宋_GBK"/>
          <w:sz w:val="32"/>
          <w:szCs w:val="32"/>
        </w:rPr>
        <w:t>亿元，用于返还给园区、公司土地补偿费、安置补助、城市棚户区改造、拆迁补偿和整治投入。</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政府专项债券相关支出18亿元，用于中医院三甲医院建设、空港工业园区航空小镇基础配套设施建设、前沿科技城产业园区基础设施及配套建设、临空智能制造产业园区基础设施及配套建设、空港新城片区基础设施</w:t>
      </w:r>
      <w:r>
        <w:rPr>
          <w:rFonts w:hint="eastAsia" w:ascii="Times New Roman" w:hAnsi="Times New Roman" w:eastAsia="方正仿宋_GBK"/>
          <w:sz w:val="32"/>
          <w:szCs w:val="32"/>
        </w:rPr>
        <w:t>及</w:t>
      </w:r>
      <w:r>
        <w:rPr>
          <w:rFonts w:ascii="Times New Roman" w:hAnsi="Times New Roman" w:eastAsia="方正仿宋_GBK"/>
          <w:sz w:val="32"/>
          <w:szCs w:val="32"/>
        </w:rPr>
        <w:t>配套建设</w:t>
      </w:r>
      <w:r>
        <w:rPr>
          <w:rFonts w:hint="eastAsia" w:ascii="Times New Roman" w:hAnsi="Times New Roman" w:eastAsia="方正仿宋_GBK"/>
          <w:sz w:val="32"/>
          <w:szCs w:val="32"/>
        </w:rPr>
        <w:t>等</w:t>
      </w:r>
      <w:r>
        <w:rPr>
          <w:rFonts w:ascii="Times New Roman" w:hAnsi="Times New Roman" w:eastAsia="方正仿宋_GBK"/>
          <w:sz w:val="32"/>
          <w:szCs w:val="32"/>
        </w:rPr>
        <w:t>。</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——城市基础设施建设</w:t>
      </w:r>
      <w:r>
        <w:rPr>
          <w:rFonts w:hint="eastAsia" w:ascii="Times New Roman" w:hAnsi="Times New Roman" w:eastAsia="方正仿宋_GBK"/>
          <w:sz w:val="32"/>
          <w:szCs w:val="32"/>
        </w:rPr>
        <w:t>项目</w:t>
      </w:r>
      <w:r>
        <w:rPr>
          <w:rFonts w:ascii="Times New Roman" w:hAnsi="Times New Roman" w:eastAsia="方正仿宋_GBK"/>
          <w:sz w:val="32"/>
          <w:szCs w:val="32"/>
        </w:rPr>
        <w:t>支出6.5亿元，用于老旧小区改造提升、中小学校新建改造、人行便道建设、市政道路</w:t>
      </w:r>
      <w:r>
        <w:rPr>
          <w:rFonts w:hint="eastAsia" w:ascii="Times New Roman" w:hAnsi="Times New Roman" w:eastAsia="方正仿宋_GBK"/>
          <w:sz w:val="32"/>
          <w:szCs w:val="32"/>
        </w:rPr>
        <w:t>建设维护</w:t>
      </w:r>
      <w:r>
        <w:rPr>
          <w:rFonts w:ascii="Times New Roman" w:hAnsi="Times New Roman" w:eastAsia="方正仿宋_GBK"/>
          <w:sz w:val="32"/>
          <w:szCs w:val="32"/>
        </w:rPr>
        <w:t>等基础设施建设。</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——农村基础设施建设支出1.</w:t>
      </w:r>
      <w:r>
        <w:rPr>
          <w:rFonts w:hint="eastAsia" w:ascii="Times New Roman" w:hAnsi="Times New Roman" w:eastAsia="方正仿宋_GBK"/>
          <w:sz w:val="32"/>
          <w:szCs w:val="32"/>
        </w:rPr>
        <w:t>6</w:t>
      </w:r>
      <w:r>
        <w:rPr>
          <w:rFonts w:ascii="Times New Roman" w:hAnsi="Times New Roman" w:eastAsia="方正仿宋_GBK"/>
          <w:sz w:val="32"/>
          <w:szCs w:val="32"/>
        </w:rPr>
        <w:t>亿元，用于农村旧房整治、农村场镇提升、农村公路</w:t>
      </w:r>
      <w:r>
        <w:rPr>
          <w:rFonts w:hint="eastAsia" w:ascii="Times New Roman" w:hAnsi="Times New Roman" w:eastAsia="方正仿宋_GBK"/>
          <w:sz w:val="32"/>
          <w:szCs w:val="32"/>
        </w:rPr>
        <w:t>建设</w:t>
      </w:r>
      <w:r>
        <w:rPr>
          <w:rFonts w:ascii="Times New Roman" w:hAnsi="Times New Roman" w:eastAsia="方正仿宋_GBK"/>
          <w:sz w:val="32"/>
          <w:szCs w:val="32"/>
        </w:rPr>
        <w:t>、农村环境生态修复、传统村落保护发展、灾害防治等农村基础设施建设。</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——债券付息付费支出4.5亿元，用于土地储备专项债券、国有土地使用权出让金债务、其他地方自行试点项目收益专项债券发行费用及付息。</w:t>
      </w:r>
    </w:p>
    <w:p>
      <w:pPr>
        <w:spacing w:line="560" w:lineRule="exact"/>
        <w:ind w:firstLine="640" w:firstLineChars="200"/>
        <w:rPr>
          <w:rFonts w:ascii="Times New Roman" w:hAnsi="Times New Roman" w:eastAsia="方正楷体_GBK"/>
          <w:sz w:val="32"/>
          <w:szCs w:val="32"/>
        </w:rPr>
      </w:pPr>
      <w:r>
        <w:rPr>
          <w:rFonts w:ascii="Times New Roman" w:hAnsi="Times New Roman" w:eastAsia="方正楷体_GBK"/>
          <w:sz w:val="32"/>
          <w:szCs w:val="32"/>
        </w:rPr>
        <w:t>（三）国有资本经营预算执行情况</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1</w:t>
      </w:r>
      <w:r>
        <w:rPr>
          <w:rFonts w:hint="eastAsia" w:ascii="Times New Roman" w:hAnsi="Times New Roman" w:eastAsia="方正仿宋_GBK"/>
          <w:sz w:val="32"/>
          <w:szCs w:val="32"/>
        </w:rPr>
        <w:t>．</w:t>
      </w:r>
      <w:r>
        <w:rPr>
          <w:rFonts w:ascii="Times New Roman" w:hAnsi="Times New Roman" w:eastAsia="方正仿宋_GBK"/>
          <w:sz w:val="32"/>
          <w:szCs w:val="32"/>
        </w:rPr>
        <w:t>全区国有资本经营预算</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——全区国有资本经营预算收入2793万元，其中：本级收入2167万元，上年结转626万元。</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——全区国有资本经营预算支出2793万元，其中：调出到一般公共预算统筹使用资金2793万元。</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2</w:t>
      </w:r>
      <w:r>
        <w:rPr>
          <w:rFonts w:hint="eastAsia" w:ascii="Times New Roman" w:hAnsi="Times New Roman" w:eastAsia="方正仿宋_GBK"/>
          <w:sz w:val="32"/>
          <w:szCs w:val="32"/>
        </w:rPr>
        <w:t>．</w:t>
      </w:r>
      <w:r>
        <w:rPr>
          <w:rFonts w:ascii="Times New Roman" w:hAnsi="Times New Roman" w:eastAsia="方正仿宋_GBK"/>
          <w:sz w:val="32"/>
          <w:szCs w:val="32"/>
        </w:rPr>
        <w:t>区本级国有资本经营预算</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——区本级国有资本经营预算收入2793万元，其中：本级收入2167万元，上年结转626万元。</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——区本级国有资本经营预算支出2793万元，其中：调出</w:t>
      </w:r>
      <w:r>
        <w:rPr>
          <w:rFonts w:hint="eastAsia" w:ascii="Times New Roman" w:hAnsi="Times New Roman" w:eastAsia="方正仿宋_GBK"/>
          <w:sz w:val="32"/>
          <w:szCs w:val="32"/>
        </w:rPr>
        <w:t>到</w:t>
      </w:r>
      <w:r>
        <w:rPr>
          <w:rFonts w:ascii="Times New Roman" w:hAnsi="Times New Roman" w:eastAsia="方正仿宋_GBK"/>
          <w:sz w:val="32"/>
          <w:szCs w:val="32"/>
        </w:rPr>
        <w:t>一般公共预算统筹使用资金2793万元。</w:t>
      </w:r>
    </w:p>
    <w:p>
      <w:pPr>
        <w:spacing w:line="560" w:lineRule="exact"/>
        <w:ind w:firstLine="640" w:firstLineChars="200"/>
        <w:rPr>
          <w:rFonts w:ascii="Times New Roman" w:hAnsi="Times New Roman" w:eastAsia="方正楷体_GBK"/>
          <w:sz w:val="32"/>
          <w:szCs w:val="32"/>
        </w:rPr>
      </w:pPr>
      <w:r>
        <w:rPr>
          <w:rFonts w:ascii="Times New Roman" w:hAnsi="Times New Roman" w:eastAsia="方正楷体_GBK"/>
          <w:sz w:val="32"/>
          <w:szCs w:val="32"/>
        </w:rPr>
        <w:t>（四）其他事项</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1．转移性收支情况。市对区补助收入115.2亿元，其中：返还性收入7.9亿元，占6.8%；一般性转移支付收入28.3亿元，占24.6%；专项转移支付收入79亿元，占68.6%。区对镇级补助支出</w:t>
      </w:r>
      <w:r>
        <w:rPr>
          <w:rFonts w:hint="eastAsia" w:ascii="Times New Roman" w:hAnsi="Times New Roman" w:eastAsia="方正仿宋_GBK"/>
          <w:sz w:val="32"/>
          <w:szCs w:val="32"/>
        </w:rPr>
        <w:t>12.1</w:t>
      </w:r>
      <w:r>
        <w:rPr>
          <w:rFonts w:ascii="Times New Roman" w:hAnsi="Times New Roman" w:eastAsia="方正仿宋_GBK"/>
          <w:sz w:val="32"/>
          <w:szCs w:val="32"/>
        </w:rPr>
        <w:t>亿元，其中：一般性转移支付</w:t>
      </w:r>
      <w:r>
        <w:rPr>
          <w:rFonts w:hint="eastAsia" w:ascii="Times New Roman" w:hAnsi="Times New Roman" w:eastAsia="方正仿宋_GBK"/>
          <w:sz w:val="32"/>
          <w:szCs w:val="32"/>
        </w:rPr>
        <w:t>支出</w:t>
      </w:r>
      <w:r>
        <w:rPr>
          <w:rFonts w:ascii="Times New Roman" w:hAnsi="Times New Roman" w:eastAsia="方正仿宋_GBK"/>
          <w:sz w:val="32"/>
          <w:szCs w:val="32"/>
        </w:rPr>
        <w:t>7.1亿元，占51.4%；专项转移支付</w:t>
      </w:r>
      <w:r>
        <w:rPr>
          <w:rFonts w:hint="eastAsia" w:ascii="Times New Roman" w:hAnsi="Times New Roman" w:eastAsia="方正仿宋_GBK"/>
          <w:sz w:val="32"/>
          <w:szCs w:val="32"/>
        </w:rPr>
        <w:t>支出5</w:t>
      </w:r>
      <w:r>
        <w:rPr>
          <w:rFonts w:ascii="Times New Roman" w:hAnsi="Times New Roman" w:eastAsia="方正仿宋_GBK"/>
          <w:sz w:val="32"/>
          <w:szCs w:val="32"/>
        </w:rPr>
        <w:t>亿元，占48.6%。</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2．政府债务情况。全区政府债务余额208.3亿元，控制在市里下达的限额内。全区计算债务率的综合财力为194.</w:t>
      </w:r>
      <w:r>
        <w:rPr>
          <w:rFonts w:hint="eastAsia" w:ascii="Times New Roman" w:hAnsi="Times New Roman" w:eastAsia="方正仿宋_GBK"/>
          <w:sz w:val="32"/>
          <w:szCs w:val="32"/>
        </w:rPr>
        <w:t>3</w:t>
      </w:r>
      <w:r>
        <w:rPr>
          <w:rFonts w:ascii="Times New Roman" w:hAnsi="Times New Roman" w:eastAsia="方正仿宋_GBK"/>
          <w:sz w:val="32"/>
          <w:szCs w:val="32"/>
        </w:rPr>
        <w:t>亿元，政府债务率为107.</w:t>
      </w:r>
      <w:r>
        <w:rPr>
          <w:rFonts w:hint="eastAsia" w:ascii="Times New Roman" w:hAnsi="Times New Roman" w:eastAsia="方正仿宋_GBK"/>
          <w:sz w:val="32"/>
          <w:szCs w:val="32"/>
        </w:rPr>
        <w:t>2</w:t>
      </w:r>
      <w:r>
        <w:rPr>
          <w:rFonts w:ascii="Times New Roman" w:hAnsi="Times New Roman" w:eastAsia="方正仿宋_GBK"/>
          <w:sz w:val="32"/>
          <w:szCs w:val="32"/>
        </w:rPr>
        <w:t>%，债务风险继续处于绿色安全区域。</w:t>
      </w:r>
    </w:p>
    <w:p>
      <w:pPr>
        <w:spacing w:line="560" w:lineRule="exact"/>
        <w:ind w:firstLine="640" w:firstLineChars="200"/>
        <w:rPr>
          <w:rFonts w:ascii="Times New Roman" w:hAnsi="Times New Roman" w:eastAsia="方正仿宋_GBK"/>
          <w:sz w:val="32"/>
          <w:szCs w:val="32"/>
          <w:lang w:val="zh-CN"/>
        </w:rPr>
      </w:pPr>
      <w:r>
        <w:rPr>
          <w:rFonts w:ascii="Times New Roman" w:hAnsi="Times New Roman" w:eastAsia="方正仿宋_GBK"/>
          <w:sz w:val="32"/>
          <w:szCs w:val="32"/>
          <w:lang w:val="zh-CN"/>
        </w:rPr>
        <w:t>3</w:t>
      </w:r>
      <w:r>
        <w:rPr>
          <w:rFonts w:hint="eastAsia" w:ascii="Times New Roman" w:hAnsi="Times New Roman" w:eastAsia="方正仿宋_GBK"/>
          <w:sz w:val="32"/>
          <w:szCs w:val="32"/>
        </w:rPr>
        <w:t>．</w:t>
      </w:r>
      <w:r>
        <w:rPr>
          <w:rFonts w:ascii="Times New Roman" w:hAnsi="Times New Roman" w:eastAsia="方正仿宋_GBK"/>
          <w:sz w:val="32"/>
          <w:szCs w:val="32"/>
          <w:lang w:val="zh-CN"/>
        </w:rPr>
        <w:t>“三公”经费情况。</w:t>
      </w:r>
      <w:r>
        <w:rPr>
          <w:rFonts w:hint="eastAsia" w:ascii="Times New Roman" w:hAnsi="Times New Roman" w:eastAsia="方正仿宋_GBK"/>
          <w:sz w:val="32"/>
          <w:szCs w:val="32"/>
          <w:lang w:val="zh-CN"/>
        </w:rPr>
        <w:t>全区“三公”经费支出6129万元，比上年减少1114.8万元。一是无因公出国（境）费用，主要原因是2022年未安排人员因公出国。二是公务接待费389.4万元，比上年减少151.6万元、下降28%，主要原因是各部门厉行节约，从严控制公务接待费，公务接待批数与人次减少。三是公务用车购置及运行维护费5739.5万元，比上年减少963.2万元、下降14.4%，主要原因是2022年单位购车需求平稳，相对上年度公务车购置支出大幅减少。</w:t>
      </w:r>
    </w:p>
    <w:p>
      <w:pPr>
        <w:spacing w:line="560" w:lineRule="exact"/>
        <w:ind w:firstLine="640" w:firstLineChars="200"/>
        <w:rPr>
          <w:rFonts w:ascii="Times New Roman" w:hAnsi="Times New Roman" w:eastAsia="方正仿宋_GBK"/>
          <w:sz w:val="32"/>
          <w:szCs w:val="32"/>
          <w:lang w:val="zh-CN"/>
        </w:rPr>
      </w:pPr>
      <w:r>
        <w:rPr>
          <w:rFonts w:ascii="Times New Roman" w:hAnsi="Times New Roman" w:eastAsia="方正仿宋_GBK"/>
          <w:sz w:val="32"/>
          <w:szCs w:val="32"/>
          <w:lang w:val="zh-CN"/>
        </w:rPr>
        <w:t>4</w:t>
      </w:r>
      <w:r>
        <w:rPr>
          <w:rFonts w:hint="eastAsia" w:ascii="Times New Roman" w:hAnsi="Times New Roman" w:eastAsia="方正仿宋_GBK"/>
          <w:sz w:val="32"/>
          <w:szCs w:val="32"/>
        </w:rPr>
        <w:t>．</w:t>
      </w:r>
      <w:r>
        <w:rPr>
          <w:rFonts w:ascii="Times New Roman" w:hAnsi="Times New Roman" w:eastAsia="方正仿宋_GBK"/>
          <w:sz w:val="32"/>
          <w:szCs w:val="32"/>
          <w:lang w:val="zh-CN"/>
        </w:rPr>
        <w:t>预备费使用情况。预备费区级年初安排2.9亿元，使用完毕，全部用于疫情防控、灾害补助等。</w:t>
      </w:r>
    </w:p>
    <w:p>
      <w:pPr>
        <w:spacing w:line="560" w:lineRule="exact"/>
        <w:ind w:firstLine="640" w:firstLineChars="200"/>
        <w:rPr>
          <w:rFonts w:ascii="Times New Roman" w:hAnsi="Times New Roman" w:eastAsia="方正仿宋_GBK"/>
          <w:sz w:val="32"/>
          <w:szCs w:val="32"/>
          <w:lang w:val="zh-CN"/>
        </w:rPr>
      </w:pPr>
      <w:r>
        <w:rPr>
          <w:rFonts w:ascii="Times New Roman" w:hAnsi="Times New Roman" w:eastAsia="方正仿宋_GBK"/>
          <w:sz w:val="32"/>
          <w:szCs w:val="32"/>
          <w:lang w:val="zh-CN"/>
        </w:rPr>
        <w:t>5</w:t>
      </w:r>
      <w:r>
        <w:rPr>
          <w:rFonts w:hint="eastAsia" w:ascii="方正仿宋_GBK" w:eastAsia="方正仿宋_GBK"/>
          <w:sz w:val="32"/>
          <w:szCs w:val="32"/>
          <w:lang w:val="zh-CN"/>
        </w:rPr>
        <w:t>．重大项目的安排和实施情况。区财政预算保障重大政策及项目（主要是预算安排资金1000万元及以上的项目，下同）共33个，安排资金12.6亿元，实际执行10.3亿元，为预算的82.1%。项目总体实施进度良好，个别项目存在进度偏慢的情况。整体来看，我区重大政策及项目的社会效益和资金效益并重，在我区经济社会发展中发挥了积极作用。</w:t>
      </w:r>
    </w:p>
    <w:p>
      <w:pPr>
        <w:spacing w:line="560" w:lineRule="exact"/>
        <w:ind w:firstLine="640" w:firstLineChars="200"/>
        <w:rPr>
          <w:rFonts w:ascii="Times New Roman" w:hAnsi="Times New Roman" w:eastAsia="方正黑体_GBK"/>
          <w:sz w:val="32"/>
          <w:szCs w:val="32"/>
        </w:rPr>
      </w:pPr>
      <w:r>
        <w:rPr>
          <w:rFonts w:ascii="Times New Roman" w:hAnsi="Times New Roman" w:eastAsia="方正黑体_GBK"/>
          <w:sz w:val="32"/>
          <w:szCs w:val="32"/>
        </w:rPr>
        <w:t>二、2022年财政工作情况</w:t>
      </w:r>
    </w:p>
    <w:p>
      <w:pPr>
        <w:spacing w:line="560" w:lineRule="exact"/>
        <w:ind w:firstLine="640" w:firstLineChars="200"/>
        <w:rPr>
          <w:rFonts w:ascii="Times New Roman" w:hAnsi="Times New Roman" w:eastAsia="方正仿宋_GBK"/>
          <w:sz w:val="32"/>
          <w:szCs w:val="32"/>
          <w:shd w:val="clear" w:color="auto" w:fill="FFFFFF"/>
        </w:rPr>
      </w:pPr>
      <w:r>
        <w:rPr>
          <w:rFonts w:ascii="Times New Roman" w:hAnsi="Times New Roman" w:eastAsia="方正仿宋_GBK"/>
          <w:sz w:val="32"/>
          <w:szCs w:val="32"/>
          <w:shd w:val="clear" w:color="auto" w:fill="FFFFFF"/>
        </w:rPr>
        <w:t>2022</w:t>
      </w:r>
      <w:r>
        <w:rPr>
          <w:rFonts w:ascii="Times New Roman" w:hAnsi="Times New Roman" w:eastAsia="方正仿宋_GBK"/>
          <w:sz w:val="32"/>
          <w:szCs w:val="32"/>
        </w:rPr>
        <w:t>年</w:t>
      </w:r>
      <w:r>
        <w:rPr>
          <w:rFonts w:hint="eastAsia" w:ascii="方正仿宋_GBK" w:eastAsia="方正仿宋_GBK"/>
          <w:sz w:val="32"/>
          <w:szCs w:val="32"/>
        </w:rPr>
        <w:t>是渝北发展历程中极不寻常、极不容易、极为难忘的一年，严峻的疫情、极端高温干旱天气和严重电力资源紧张等超预期因素，给经济社会发展带来了多重挑战。在此重压下，</w:t>
      </w:r>
      <w:r>
        <w:rPr>
          <w:rFonts w:ascii="Times New Roman" w:hAnsi="Times New Roman" w:eastAsia="方正仿宋_GBK"/>
          <w:sz w:val="32"/>
          <w:szCs w:val="32"/>
        </w:rPr>
        <w:t>全区财政工作坚持以习近平新时代中国特色社会主义思想为指导，</w:t>
      </w:r>
      <w:r>
        <w:rPr>
          <w:rFonts w:hint="eastAsia" w:ascii="Times New Roman" w:hAnsi="Times New Roman" w:eastAsia="方正仿宋_GBK"/>
          <w:sz w:val="32"/>
          <w:szCs w:val="32"/>
        </w:rPr>
        <w:t>以迎接党的二十大和贯彻党的二十大精神为动力，</w:t>
      </w:r>
      <w:r>
        <w:rPr>
          <w:rFonts w:ascii="Times New Roman" w:hAnsi="Times New Roman" w:eastAsia="方正仿宋_GBK"/>
          <w:sz w:val="32"/>
          <w:szCs w:val="32"/>
        </w:rPr>
        <w:t>紧紧</w:t>
      </w:r>
      <w:r>
        <w:rPr>
          <w:rFonts w:ascii="Times New Roman" w:hAnsi="Times New Roman" w:eastAsia="方正仿宋_GBK"/>
          <w:sz w:val="32"/>
          <w:szCs w:val="32"/>
          <w:shd w:val="clear" w:color="auto" w:fill="FFFFFF"/>
        </w:rPr>
        <w:t>围绕习近平总书记对重庆提出的“两点”定位、“两地”“两高”奋斗目标，发挥“三个作用”和推动成渝地区双城经济圈建设等重要指示要求，</w:t>
      </w:r>
      <w:r>
        <w:rPr>
          <w:rFonts w:ascii="Times New Roman" w:hAnsi="Times New Roman" w:eastAsia="方正仿宋_GBK"/>
          <w:sz w:val="32"/>
          <w:szCs w:val="32"/>
        </w:rPr>
        <w:t>在区委的坚强领导下，在区人大、区政协的监督支持下，实施积极财政政策加力提效，加强民生和重点领域经费保障，加强各类政策协调配合，狠抓财政管理和政策落实，有力应对超预期因素</w:t>
      </w:r>
      <w:r>
        <w:rPr>
          <w:rFonts w:ascii="Times New Roman" w:hAnsi="Times New Roman" w:eastAsia="方正仿宋_GBK"/>
          <w:sz w:val="32"/>
          <w:szCs w:val="32"/>
          <w:shd w:val="clear" w:color="auto" w:fill="FFFFFF"/>
        </w:rPr>
        <w:t>冲击，全力推动渝北经济社会高质量发展，为全区社会和谐稳定提供了坚实保障。</w:t>
      </w:r>
    </w:p>
    <w:p>
      <w:pPr>
        <w:spacing w:line="560" w:lineRule="exact"/>
        <w:ind w:firstLine="640" w:firstLineChars="200"/>
        <w:rPr>
          <w:rFonts w:ascii="Times New Roman" w:hAnsi="Times New Roman" w:eastAsia="方正楷体_GBK"/>
          <w:sz w:val="32"/>
          <w:szCs w:val="32"/>
        </w:rPr>
      </w:pPr>
      <w:r>
        <w:rPr>
          <w:rFonts w:ascii="Times New Roman" w:hAnsi="Times New Roman" w:eastAsia="方正楷体_GBK"/>
          <w:sz w:val="32"/>
          <w:szCs w:val="32"/>
        </w:rPr>
        <w:t>（一）主要财税政策落实和重点财政工作情况</w:t>
      </w:r>
    </w:p>
    <w:p>
      <w:pPr>
        <w:spacing w:line="560" w:lineRule="exact"/>
        <w:ind w:firstLine="640" w:firstLineChars="200"/>
        <w:rPr>
          <w:rFonts w:ascii="Times New Roman" w:hAnsi="Times New Roman" w:eastAsia="方正仿宋_GBK"/>
          <w:sz w:val="32"/>
          <w:szCs w:val="32"/>
          <w:shd w:val="clear" w:color="auto" w:fill="FFFFFF"/>
        </w:rPr>
      </w:pPr>
      <w:r>
        <w:rPr>
          <w:rFonts w:ascii="Times New Roman" w:hAnsi="Times New Roman" w:eastAsia="方正仿宋_GBK"/>
          <w:sz w:val="32"/>
          <w:szCs w:val="32"/>
          <w:shd w:val="clear" w:color="auto" w:fill="FFFFFF"/>
        </w:rPr>
        <w:t>一是聚焦增收节支积极举措，全力实现收支平衡。面对大规模留抵退税和疫情防控的多重压力和严峻形势，坚持“开源节流”两手抓两手硬，奋力克服收入减少带来的收支平衡困难。聚焦多渠道增收，全面统筹</w:t>
      </w:r>
      <w:r>
        <w:rPr>
          <w:rFonts w:hint="eastAsia" w:ascii="Times New Roman" w:hAnsi="Times New Roman" w:eastAsia="方正仿宋_GBK"/>
          <w:sz w:val="32"/>
          <w:szCs w:val="32"/>
          <w:shd w:val="clear" w:color="auto" w:fill="FFFFFF"/>
        </w:rPr>
        <w:t>区级</w:t>
      </w:r>
      <w:r>
        <w:rPr>
          <w:rFonts w:ascii="Times New Roman" w:hAnsi="Times New Roman" w:eastAsia="方正仿宋_GBK"/>
          <w:sz w:val="32"/>
          <w:szCs w:val="32"/>
          <w:shd w:val="clear" w:color="auto" w:fill="FFFFFF"/>
        </w:rPr>
        <w:t>预算资金、存量资金、上级资金、债券资金等各类资金，努力清理盘活全区“资金、资产、资源”</w:t>
      </w:r>
      <w:r>
        <w:rPr>
          <w:rFonts w:hint="eastAsia" w:ascii="Times New Roman" w:hAnsi="Times New Roman" w:eastAsia="方正仿宋_GBK"/>
          <w:sz w:val="32"/>
          <w:szCs w:val="32"/>
          <w:shd w:val="clear" w:color="auto" w:fill="FFFFFF"/>
        </w:rPr>
        <w:t>。</w:t>
      </w:r>
      <w:r>
        <w:rPr>
          <w:rFonts w:ascii="Times New Roman" w:hAnsi="Times New Roman" w:eastAsia="方正仿宋_GBK"/>
          <w:sz w:val="32"/>
          <w:szCs w:val="32"/>
          <w:shd w:val="clear" w:color="auto" w:fill="FFFFFF"/>
        </w:rPr>
        <w:t>全年完成一般公共预算收入59亿元，动用预算稳定调节基金15.</w:t>
      </w:r>
      <w:r>
        <w:rPr>
          <w:rFonts w:hint="eastAsia" w:ascii="Times New Roman" w:hAnsi="Times New Roman" w:eastAsia="方正仿宋_GBK"/>
          <w:sz w:val="32"/>
          <w:szCs w:val="32"/>
          <w:shd w:val="clear" w:color="auto" w:fill="FFFFFF"/>
        </w:rPr>
        <w:t>4</w:t>
      </w:r>
      <w:r>
        <w:rPr>
          <w:rFonts w:ascii="Times New Roman" w:hAnsi="Times New Roman" w:eastAsia="方正仿宋_GBK"/>
          <w:sz w:val="32"/>
          <w:szCs w:val="32"/>
          <w:shd w:val="clear" w:color="auto" w:fill="FFFFFF"/>
        </w:rPr>
        <w:t>亿元，新发行政府债券20.7亿元，统筹结转及存量资金14.5亿元，争取地方转移支付等上级资金115.</w:t>
      </w:r>
      <w:r>
        <w:rPr>
          <w:rFonts w:hint="eastAsia" w:ascii="Times New Roman" w:hAnsi="Times New Roman" w:eastAsia="方正仿宋_GBK"/>
          <w:sz w:val="32"/>
          <w:szCs w:val="32"/>
          <w:shd w:val="clear" w:color="auto" w:fill="FFFFFF"/>
        </w:rPr>
        <w:t>2</w:t>
      </w:r>
      <w:r>
        <w:rPr>
          <w:rFonts w:ascii="Times New Roman" w:hAnsi="Times New Roman" w:eastAsia="方正仿宋_GBK"/>
          <w:sz w:val="32"/>
          <w:szCs w:val="32"/>
          <w:shd w:val="clear" w:color="auto" w:fill="FFFFFF"/>
        </w:rPr>
        <w:t>亿元，全力做大收入“蛋糕”。聚焦多渠道节支，以政府过“紧日子”为主线，制定支出压减十条举措，形成定期优化调整支出结构机制，全年通过压减一般性支出15%、严控年度中增支、清理盘活单位资金、严格</w:t>
      </w:r>
      <w:r>
        <w:rPr>
          <w:rFonts w:hint="eastAsia" w:ascii="Times New Roman" w:hAnsi="Times New Roman" w:eastAsia="方正仿宋_GBK"/>
          <w:sz w:val="32"/>
          <w:szCs w:val="32"/>
          <w:shd w:val="clear" w:color="auto" w:fill="FFFFFF"/>
        </w:rPr>
        <w:t>管理</w:t>
      </w:r>
      <w:r>
        <w:rPr>
          <w:rFonts w:ascii="Times New Roman" w:hAnsi="Times New Roman" w:eastAsia="方正仿宋_GBK"/>
          <w:sz w:val="32"/>
          <w:szCs w:val="32"/>
          <w:shd w:val="clear" w:color="auto" w:fill="FFFFFF"/>
        </w:rPr>
        <w:t>政府投资项目等措施压减不必要开支5.8亿元。</w:t>
      </w:r>
    </w:p>
    <w:p>
      <w:pPr>
        <w:autoSpaceDE w:val="0"/>
        <w:autoSpaceDN w:val="0"/>
        <w:adjustRightInd w:val="0"/>
        <w:spacing w:line="560" w:lineRule="exact"/>
        <w:ind w:firstLine="640" w:firstLineChars="200"/>
        <w:rPr>
          <w:rFonts w:ascii="Times New Roman" w:hAnsi="Times New Roman" w:eastAsia="方正仿宋_GBK"/>
          <w:sz w:val="32"/>
          <w:szCs w:val="32"/>
          <w:shd w:val="clear" w:color="auto" w:fill="FFFFFF"/>
        </w:rPr>
      </w:pPr>
      <w:r>
        <w:rPr>
          <w:rFonts w:ascii="Times New Roman" w:hAnsi="Times New Roman" w:eastAsia="方正仿宋_GBK"/>
          <w:sz w:val="32"/>
          <w:szCs w:val="32"/>
          <w:shd w:val="clear" w:color="auto" w:fill="FFFFFF"/>
        </w:rPr>
        <w:t>二是聚焦积极财政政策引领，全力稳住经济大盘。高效统筹疫情防控与经济社会发展，坚决落实“疫情要防住，经济要稳住、发展要安全”总要求，全年统筹</w:t>
      </w:r>
      <w:r>
        <w:rPr>
          <w:rFonts w:hint="eastAsia" w:ascii="Times New Roman" w:hAnsi="Times New Roman" w:eastAsia="方正仿宋_GBK"/>
          <w:sz w:val="32"/>
          <w:szCs w:val="32"/>
          <w:shd w:val="clear" w:color="auto" w:fill="FFFFFF"/>
        </w:rPr>
        <w:t>安排</w:t>
      </w:r>
      <w:r>
        <w:rPr>
          <w:rFonts w:ascii="Times New Roman" w:hAnsi="Times New Roman" w:eastAsia="方正仿宋_GBK"/>
          <w:sz w:val="32"/>
          <w:szCs w:val="32"/>
          <w:shd w:val="clear" w:color="auto" w:fill="FFFFFF"/>
        </w:rPr>
        <w:t>疫情防控资金6.33亿元，最大限度减少疫情对经济社会发展影响。落细落实减税降费</w:t>
      </w:r>
      <w:r>
        <w:rPr>
          <w:rFonts w:hint="eastAsia" w:ascii="Times New Roman" w:hAnsi="Times New Roman" w:eastAsia="方正仿宋_GBK"/>
          <w:sz w:val="32"/>
          <w:szCs w:val="32"/>
          <w:shd w:val="clear" w:color="auto" w:fill="FFFFFF"/>
        </w:rPr>
        <w:t>70</w:t>
      </w:r>
      <w:r>
        <w:rPr>
          <w:rFonts w:ascii="Times New Roman" w:hAnsi="Times New Roman" w:eastAsia="方正仿宋_GBK"/>
          <w:sz w:val="32"/>
          <w:szCs w:val="32"/>
          <w:shd w:val="clear" w:color="auto" w:fill="FFFFFF"/>
        </w:rPr>
        <w:t>亿元，进一步培植壮大税源基础，增强发展势能。加力加码财政杠杆，释放产业发展资金活力，全年安排各类</w:t>
      </w:r>
      <w:r>
        <w:rPr>
          <w:rFonts w:hint="eastAsia" w:ascii="Times New Roman" w:hAnsi="Times New Roman" w:eastAsia="方正仿宋_GBK"/>
          <w:sz w:val="32"/>
          <w:szCs w:val="32"/>
          <w:shd w:val="clear" w:color="auto" w:fill="FFFFFF"/>
        </w:rPr>
        <w:t>产业</w:t>
      </w:r>
      <w:r>
        <w:rPr>
          <w:rFonts w:ascii="Times New Roman" w:hAnsi="Times New Roman" w:eastAsia="方正仿宋_GBK"/>
          <w:sz w:val="32"/>
          <w:szCs w:val="32"/>
          <w:shd w:val="clear" w:color="auto" w:fill="FFFFFF"/>
        </w:rPr>
        <w:t>扶持资金6.2亿元，助力全区经济复苏进入良好态势。</w:t>
      </w:r>
    </w:p>
    <w:p>
      <w:pPr>
        <w:spacing w:line="560" w:lineRule="exact"/>
        <w:ind w:firstLine="630"/>
        <w:rPr>
          <w:rFonts w:ascii="Times New Roman" w:hAnsi="Times New Roman" w:eastAsia="方正仿宋_GBK"/>
          <w:sz w:val="32"/>
          <w:szCs w:val="32"/>
        </w:rPr>
      </w:pPr>
      <w:r>
        <w:rPr>
          <w:rFonts w:ascii="Times New Roman" w:hAnsi="Times New Roman" w:eastAsia="方正仿宋_GBK"/>
          <w:sz w:val="32"/>
          <w:szCs w:val="32"/>
          <w:shd w:val="clear" w:color="auto" w:fill="FFFFFF"/>
        </w:rPr>
        <w:t>三是聚焦兜底保重财政使命，全力保障改善民生。</w:t>
      </w:r>
      <w:r>
        <w:rPr>
          <w:rFonts w:ascii="Times New Roman" w:hAnsi="Times New Roman" w:eastAsia="方正仿宋_GBK"/>
          <w:sz w:val="32"/>
          <w:szCs w:val="32"/>
        </w:rPr>
        <w:t>坚持以人民为中心的发展思想，着力保障重点民生支出，人民群众获得感、幸福感、安全感</w:t>
      </w:r>
      <w:r>
        <w:rPr>
          <w:rFonts w:hint="eastAsia" w:ascii="Times New Roman" w:hAnsi="Times New Roman" w:eastAsia="方正仿宋_GBK"/>
          <w:sz w:val="32"/>
          <w:szCs w:val="32"/>
        </w:rPr>
        <w:t>和认同感</w:t>
      </w:r>
      <w:r>
        <w:rPr>
          <w:rFonts w:ascii="Times New Roman" w:hAnsi="Times New Roman" w:eastAsia="方正仿宋_GBK"/>
          <w:sz w:val="32"/>
          <w:szCs w:val="32"/>
        </w:rPr>
        <w:t>不断增强。</w:t>
      </w:r>
      <w:r>
        <w:rPr>
          <w:rFonts w:ascii="Times New Roman" w:hAnsi="Times New Roman" w:eastAsia="方正仿宋_GBK"/>
          <w:sz w:val="32"/>
          <w:szCs w:val="32"/>
          <w:shd w:val="clear" w:color="auto" w:fill="FFFFFF"/>
        </w:rPr>
        <w:t>2022</w:t>
      </w:r>
      <w:r>
        <w:rPr>
          <w:rFonts w:ascii="Times New Roman" w:hAnsi="Times New Roman" w:eastAsia="方正仿宋_GBK"/>
          <w:sz w:val="32"/>
          <w:szCs w:val="32"/>
        </w:rPr>
        <w:t>年全区民生投入95.5亿元，占一般公共预算支出的83.6%，竭力保障教育、卫生健康、交通运输、农林水等重点民生支出正增长。多方统筹资金8亿元，有力推动城区基础设施建设、城市棚户区改造、“三甲”医院创建、春瑞医药环保搬迁、缓堵促畅示范片区打造等重大基础设施项目建设，全力以赴保障了东环线铁路枢纽项目等市区重点任务落实。</w:t>
      </w:r>
    </w:p>
    <w:p>
      <w:pPr>
        <w:autoSpaceDE w:val="0"/>
        <w:autoSpaceDN w:val="0"/>
        <w:adjustRightInd w:val="0"/>
        <w:spacing w:line="560" w:lineRule="exact"/>
        <w:ind w:firstLine="640" w:firstLineChars="200"/>
        <w:rPr>
          <w:rFonts w:ascii="Times New Roman" w:hAnsi="Times New Roman" w:eastAsia="方正仿宋_GBK"/>
          <w:kern w:val="0"/>
          <w:sz w:val="32"/>
          <w:szCs w:val="32"/>
          <w:lang w:val="zh-CN"/>
        </w:rPr>
      </w:pPr>
      <w:r>
        <w:rPr>
          <w:rFonts w:ascii="Times New Roman" w:hAnsi="Times New Roman" w:eastAsia="方正仿宋_GBK"/>
          <w:sz w:val="32"/>
          <w:szCs w:val="32"/>
          <w:shd w:val="clear" w:color="auto" w:fill="FFFFFF"/>
        </w:rPr>
        <w:t>四是聚焦政府债务风险管控，全力促发展防风险。</w:t>
      </w:r>
      <w:r>
        <w:rPr>
          <w:rFonts w:ascii="Times New Roman" w:hAnsi="Times New Roman" w:eastAsia="方正仿宋_GBK"/>
          <w:sz w:val="31"/>
          <w:szCs w:val="31"/>
        </w:rPr>
        <w:t>建立健全政府债务“借、用、管、还”长效机制、“开前门</w:t>
      </w:r>
      <w:r>
        <w:rPr>
          <w:rFonts w:hint="eastAsia" w:ascii="Times New Roman" w:hAnsi="Times New Roman" w:eastAsia="方正仿宋_GBK"/>
          <w:sz w:val="31"/>
          <w:szCs w:val="31"/>
        </w:rPr>
        <w:t>、</w:t>
      </w:r>
      <w:r>
        <w:rPr>
          <w:rFonts w:ascii="Times New Roman" w:hAnsi="Times New Roman" w:eastAsia="方正仿宋_GBK"/>
          <w:sz w:val="31"/>
          <w:szCs w:val="31"/>
        </w:rPr>
        <w:t>堵后门”规范融资机制、“631”偿债机制等，印发《关于建立健全投融资管理工作机制的通知》，切实防范化解债务风险。落实政府债务年度限额管理、预算管理、风险预警管理相关要求，加强政府债务日常管控，将全区政府债务规模控制在市财政局核定的限额内，债</w:t>
      </w:r>
      <w:r>
        <w:rPr>
          <w:rFonts w:ascii="Times New Roman" w:hAnsi="Times New Roman" w:eastAsia="方正仿宋_GBK"/>
          <w:kern w:val="0"/>
          <w:sz w:val="32"/>
          <w:szCs w:val="32"/>
          <w:lang w:val="zh-CN"/>
        </w:rPr>
        <w:t>务风险总体可控。全年新增政府债券20.7亿元，用于学校、医院、农村公路、园区基础设施建设等，争取政府再融资债券21.23亿元，用于偿还本年到期政府债券。</w:t>
      </w:r>
    </w:p>
    <w:p>
      <w:pPr>
        <w:autoSpaceDE w:val="0"/>
        <w:autoSpaceDN w:val="0"/>
        <w:adjustRightInd w:val="0"/>
        <w:spacing w:line="560" w:lineRule="exact"/>
        <w:ind w:firstLine="640" w:firstLineChars="200"/>
        <w:rPr>
          <w:rFonts w:ascii="Times New Roman" w:hAnsi="Times New Roman" w:eastAsia="方正仿宋_GBK"/>
          <w:color w:val="000000"/>
          <w:kern w:val="0"/>
          <w:sz w:val="32"/>
          <w:szCs w:val="32"/>
        </w:rPr>
      </w:pPr>
      <w:r>
        <w:rPr>
          <w:rFonts w:ascii="Times New Roman" w:hAnsi="Times New Roman" w:eastAsia="方正仿宋_GBK"/>
          <w:sz w:val="32"/>
          <w:szCs w:val="32"/>
          <w:shd w:val="clear" w:color="auto" w:fill="FFFFFF"/>
        </w:rPr>
        <w:t>五是聚焦财政改革加力提效，全力发挥财政职能。</w:t>
      </w:r>
      <w:r>
        <w:rPr>
          <w:rFonts w:ascii="Times New Roman" w:hAnsi="Times New Roman" w:eastAsia="方正仿宋_GBK"/>
          <w:color w:val="000000"/>
          <w:sz w:val="31"/>
          <w:szCs w:val="31"/>
        </w:rPr>
        <w:t>着力优化镇街财政管理体制改革，推进预算管理一体化改革，深化国库改革，切实提高财政精细化管理水平。强化财政监督管理，全</w:t>
      </w:r>
      <w:r>
        <w:rPr>
          <w:rFonts w:ascii="Times New Roman" w:hAnsi="Times New Roman" w:eastAsia="方正仿宋_GBK"/>
          <w:color w:val="000000"/>
          <w:kern w:val="0"/>
          <w:sz w:val="32"/>
          <w:szCs w:val="32"/>
        </w:rPr>
        <w:t>年通过政府采购节约资金</w:t>
      </w:r>
      <w:r>
        <w:rPr>
          <w:rFonts w:hint="eastAsia" w:ascii="Times New Roman" w:hAnsi="Times New Roman" w:eastAsia="方正仿宋_GBK"/>
          <w:color w:val="000000"/>
          <w:kern w:val="0"/>
          <w:sz w:val="32"/>
          <w:szCs w:val="32"/>
        </w:rPr>
        <w:t>0.74亿元，节约率达11.38%</w:t>
      </w:r>
      <w:r>
        <w:rPr>
          <w:rFonts w:ascii="Times New Roman" w:hAnsi="Times New Roman" w:eastAsia="方正仿宋_GBK"/>
          <w:color w:val="000000"/>
          <w:sz w:val="31"/>
          <w:szCs w:val="31"/>
        </w:rPr>
        <w:t>。通过人大预算联网监督、预算公开评审</w:t>
      </w:r>
      <w:r>
        <w:rPr>
          <w:rFonts w:ascii="Times New Roman" w:hAnsi="Times New Roman" w:eastAsia="方正仿宋_GBK"/>
          <w:color w:val="000000"/>
          <w:kern w:val="0"/>
          <w:sz w:val="32"/>
          <w:szCs w:val="32"/>
        </w:rPr>
        <w:t>、项目绩效目标和部门绩效目标全覆盖审查等措施规范预算支出，全年审减部门预算资金2.1亿元。优化建设项目预算审核，推动预算审核重心从事后审核资金向事前审核项目转移，全年完成建设项目预算审核99个</w:t>
      </w:r>
      <w:r>
        <w:rPr>
          <w:rFonts w:hint="eastAsia" w:ascii="Times New Roman" w:hAnsi="Times New Roman" w:eastAsia="方正仿宋_GBK"/>
          <w:color w:val="000000"/>
          <w:kern w:val="0"/>
          <w:sz w:val="32"/>
          <w:szCs w:val="32"/>
        </w:rPr>
        <w:t>，</w:t>
      </w:r>
      <w:r>
        <w:rPr>
          <w:rFonts w:ascii="Times New Roman" w:hAnsi="Times New Roman" w:eastAsia="方正仿宋_GBK"/>
          <w:color w:val="000000"/>
          <w:kern w:val="0"/>
          <w:sz w:val="32"/>
          <w:szCs w:val="32"/>
        </w:rPr>
        <w:t>审减金额1.98亿元，综合审减率3.74%。完善结算审核机制，出具建设项目结算审核报告72份，审减金额0.46亿元，综合审减率5.55%。</w:t>
      </w:r>
    </w:p>
    <w:p>
      <w:pPr>
        <w:spacing w:line="560" w:lineRule="exact"/>
        <w:ind w:firstLine="640" w:firstLineChars="200"/>
        <w:rPr>
          <w:rFonts w:ascii="Times New Roman" w:hAnsi="Times New Roman" w:eastAsia="方正仿宋_GBK"/>
          <w:color w:val="000000"/>
          <w:kern w:val="0"/>
          <w:sz w:val="32"/>
          <w:szCs w:val="32"/>
        </w:rPr>
      </w:pPr>
      <w:r>
        <w:rPr>
          <w:rFonts w:ascii="Times New Roman" w:hAnsi="Times New Roman" w:eastAsia="方正仿宋_GBK"/>
          <w:color w:val="000000"/>
          <w:kern w:val="0"/>
          <w:sz w:val="32"/>
          <w:szCs w:val="32"/>
        </w:rPr>
        <w:t>（二）落实区人大决议和服务代表委员情况</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2022年，全区财政严格执行《预算法》《预算法实施条例》《重庆市预算审查监督条例》等各项规定，依法接受区人大监督，主动服务代表委员履职，及时办理相关建议提案，不断提升服务代表委员工作的制度化规范化水平。</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一是严格落实区人大决议。按照区十九届人大一次会议决议的要求，认真执行各项财政收支预算，落实财政改革各项任务。推动绩效管理扩面提质，对12个项目实施重点绩效评价，资金规模16.27亿元。运用线上线下监督平台，加强事前、事中、事后全过程监督，做好重大财政政策落实、财政业务管理、政府采购专项治理、涉企财政补贴补助专项治理等工作，进一步严肃财经纪律，提高财会监督质量。</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二是完善服务代表委员机制。邀请代表委员参加预算评审、绩效评价，向代表委员定期报送财政落实重大决策部署、预算收支执行、建议提案办理等工作情况，主动征求代表委员对财政工作及预算报告的意见建议，让代表委员常态化了解、监督财政工作。</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三是抓好代表建议和政协提案办理。高度重视代表委员们提出的宝贵建议和提案，始终把解决好广大群众和代表委员们关心的实际问题作为财政工作的出发点和落脚点，通过电话、走访、座谈等方式，与代表委员“一对一”谈问题，推动各项建议和提案的办理。</w:t>
      </w:r>
    </w:p>
    <w:p>
      <w:pPr>
        <w:spacing w:line="560" w:lineRule="exact"/>
        <w:ind w:firstLine="640" w:firstLineChars="200"/>
        <w:rPr>
          <w:rFonts w:ascii="Times New Roman" w:hAnsi="Times New Roman" w:eastAsia="方正黑体_GBK"/>
          <w:sz w:val="32"/>
          <w:szCs w:val="32"/>
        </w:rPr>
      </w:pPr>
      <w:r>
        <w:rPr>
          <w:rFonts w:ascii="Times New Roman" w:hAnsi="Times New Roman" w:eastAsia="方正黑体_GBK"/>
          <w:sz w:val="32"/>
          <w:szCs w:val="32"/>
        </w:rPr>
        <w:t>三、2023年财政工作安排</w:t>
      </w:r>
    </w:p>
    <w:p>
      <w:pPr>
        <w:spacing w:line="560" w:lineRule="exact"/>
        <w:ind w:firstLine="640" w:firstLineChars="200"/>
        <w:rPr>
          <w:rFonts w:ascii="Times New Roman" w:hAnsi="Times New Roman" w:eastAsia="方正仿宋_GBK"/>
          <w:color w:val="000000"/>
          <w:sz w:val="32"/>
          <w:szCs w:val="32"/>
        </w:rPr>
      </w:pPr>
      <w:r>
        <w:rPr>
          <w:rFonts w:ascii="Times New Roman" w:hAnsi="Times New Roman" w:eastAsia="方正仿宋_GBK"/>
          <w:color w:val="000000"/>
          <w:sz w:val="32"/>
          <w:szCs w:val="32"/>
        </w:rPr>
        <w:t>2023年是全党全国各族人民迈上全面建设社会主义现代化国家新征程、向第二个百年奋斗目标进军的关键之年，是实施“十四五”规划的重要一年，做好财政工作意义重大。全区财政将全面贯彻习近平新时代中国特色社会主义思想，深入学习贯彻党的二十大精神和市委六届二次全会精神，深化落实区委十五届四次全会精神，坚持以人民为中心的发展思想，坚</w:t>
      </w:r>
      <w:r>
        <w:rPr>
          <w:rFonts w:ascii="Times New Roman" w:hAnsi="Times New Roman" w:eastAsia="方正仿宋_GBK"/>
          <w:sz w:val="32"/>
          <w:szCs w:val="32"/>
        </w:rPr>
        <w:t>持稳中求进工作总基调，</w:t>
      </w:r>
      <w:r>
        <w:rPr>
          <w:rFonts w:ascii="Times New Roman" w:hAnsi="Times New Roman" w:eastAsia="方正仿宋_GBK"/>
          <w:color w:val="000000"/>
          <w:sz w:val="32"/>
          <w:szCs w:val="32"/>
        </w:rPr>
        <w:t>坚持积极财政政策加力提效，</w:t>
      </w:r>
      <w:r>
        <w:rPr>
          <w:rFonts w:ascii="Times New Roman" w:hAnsi="Times New Roman" w:eastAsia="方正仿宋_GBK"/>
          <w:sz w:val="32"/>
          <w:szCs w:val="32"/>
        </w:rPr>
        <w:t>坚持兜牢民生底线，更好地统筹当前和长远发展</w:t>
      </w:r>
      <w:r>
        <w:rPr>
          <w:rFonts w:ascii="Times New Roman" w:hAnsi="Times New Roman" w:eastAsia="方正仿宋_GBK"/>
          <w:color w:val="000000"/>
          <w:sz w:val="32"/>
          <w:szCs w:val="32"/>
        </w:rPr>
        <w:t>，为在新时代新征程全面建设社会主义</w:t>
      </w:r>
      <w:r>
        <w:rPr>
          <w:rFonts w:hint="eastAsia" w:ascii="Times New Roman" w:hAnsi="Times New Roman" w:eastAsia="方正仿宋_GBK"/>
          <w:color w:val="000000"/>
          <w:sz w:val="32"/>
          <w:szCs w:val="32"/>
        </w:rPr>
        <w:t>现代化</w:t>
      </w:r>
      <w:r>
        <w:rPr>
          <w:rFonts w:ascii="Times New Roman" w:hAnsi="Times New Roman" w:eastAsia="方正仿宋_GBK"/>
          <w:color w:val="000000"/>
          <w:sz w:val="32"/>
          <w:szCs w:val="32"/>
        </w:rPr>
        <w:t>新重庆中开辟渝北发展新境界贡献积极财政力量。</w:t>
      </w:r>
    </w:p>
    <w:p>
      <w:pPr>
        <w:spacing w:line="560" w:lineRule="exact"/>
        <w:ind w:firstLine="630"/>
        <w:rPr>
          <w:rFonts w:ascii="Times New Roman" w:hAnsi="Times New Roman" w:eastAsia="方正仿宋_GBK"/>
          <w:sz w:val="32"/>
          <w:szCs w:val="44"/>
        </w:rPr>
      </w:pPr>
      <w:r>
        <w:rPr>
          <w:rFonts w:ascii="Times New Roman" w:hAnsi="Times New Roman" w:eastAsia="方正楷体_GBK"/>
          <w:sz w:val="32"/>
          <w:szCs w:val="44"/>
        </w:rPr>
        <w:t>（一）坚持稳中求进工作总基调，全力抓收入夯实渝北发展新境界财政基础。</w:t>
      </w:r>
      <w:r>
        <w:rPr>
          <w:rFonts w:ascii="Times New Roman" w:hAnsi="Times New Roman" w:eastAsia="方正仿宋_GBK"/>
          <w:sz w:val="32"/>
          <w:szCs w:val="44"/>
        </w:rPr>
        <w:t>加强收入研判，做到精准施策，找准税种、行业、领域收入增长点，高频高效精准调度财税运行，积极争取上级资金，做好招商引税工作。推动“资金、</w:t>
      </w:r>
      <w:r>
        <w:rPr>
          <w:rFonts w:hint="eastAsia" w:ascii="Times New Roman" w:hAnsi="Times New Roman" w:eastAsia="方正仿宋_GBK"/>
          <w:sz w:val="32"/>
          <w:szCs w:val="44"/>
        </w:rPr>
        <w:t>资产、</w:t>
      </w:r>
      <w:r>
        <w:rPr>
          <w:rFonts w:ascii="Times New Roman" w:hAnsi="Times New Roman" w:eastAsia="方正仿宋_GBK"/>
          <w:sz w:val="32"/>
          <w:szCs w:val="44"/>
        </w:rPr>
        <w:t>资源”清理盘活，全面清理全区行政事业</w:t>
      </w:r>
      <w:r>
        <w:rPr>
          <w:rFonts w:hint="eastAsia" w:ascii="Times New Roman" w:hAnsi="Times New Roman" w:eastAsia="方正仿宋_GBK"/>
          <w:sz w:val="32"/>
          <w:szCs w:val="44"/>
        </w:rPr>
        <w:t>单位</w:t>
      </w:r>
      <w:r>
        <w:rPr>
          <w:rFonts w:ascii="Times New Roman" w:hAnsi="Times New Roman" w:eastAsia="方正仿宋_GBK"/>
          <w:sz w:val="32"/>
          <w:szCs w:val="44"/>
        </w:rPr>
        <w:t>委托经营资产、转让调拨资产、资产出租出借及处置转让情况，做大非税收入。严格执行“加强财政收入征收管理、做好国有资产挖潜增收、争取上级政策资金项目、统筹建设项目安排时序、规范预算项目资金支出、优化调整国有公司支出、盘活利用国有土地资源、优化招商引资优惠政策、分类处理各类对外投资、处置国有公司债权债务、控制国有公司融资成本、理顺市级平台支出责任”等12条措施，</w:t>
      </w:r>
      <w:r>
        <w:rPr>
          <w:rFonts w:ascii="Times New Roman" w:hAnsi="Times New Roman" w:eastAsia="方正仿宋_GBK"/>
          <w:sz w:val="32"/>
          <w:szCs w:val="32"/>
        </w:rPr>
        <w:t>做大财政收入蛋糕，</w:t>
      </w:r>
      <w:r>
        <w:rPr>
          <w:rFonts w:ascii="Times New Roman" w:hAnsi="Times New Roman" w:eastAsia="方正仿宋_GBK"/>
          <w:sz w:val="32"/>
          <w:szCs w:val="44"/>
        </w:rPr>
        <w:t>壮大本级财力基础，</w:t>
      </w:r>
      <w:r>
        <w:rPr>
          <w:rFonts w:ascii="Times New Roman" w:hAnsi="Times New Roman" w:eastAsia="方正仿宋_GBK"/>
          <w:sz w:val="32"/>
          <w:szCs w:val="32"/>
        </w:rPr>
        <w:t>减轻我区财政平衡压力</w:t>
      </w:r>
      <w:r>
        <w:rPr>
          <w:rFonts w:ascii="Times New Roman" w:hAnsi="Times New Roman" w:eastAsia="方正仿宋_GBK"/>
          <w:sz w:val="32"/>
          <w:szCs w:val="44"/>
        </w:rPr>
        <w:t>。</w:t>
      </w:r>
    </w:p>
    <w:p>
      <w:pPr>
        <w:spacing w:line="560" w:lineRule="exact"/>
        <w:ind w:firstLine="630"/>
        <w:rPr>
          <w:rFonts w:ascii="Times New Roman" w:hAnsi="Times New Roman" w:eastAsia="方正仿宋_GBK"/>
          <w:sz w:val="32"/>
          <w:szCs w:val="32"/>
        </w:rPr>
      </w:pPr>
      <w:r>
        <w:rPr>
          <w:rFonts w:ascii="Times New Roman" w:hAnsi="Times New Roman" w:eastAsia="方正楷体_GBK"/>
          <w:sz w:val="32"/>
          <w:szCs w:val="44"/>
        </w:rPr>
        <w:t>（二）坚持持续增进民生福祉，聚力抓支出筑牢民生实事财政保障。</w:t>
      </w:r>
      <w:r>
        <w:rPr>
          <w:rFonts w:ascii="Times New Roman" w:hAnsi="Times New Roman" w:eastAsia="方正仿宋_GBK"/>
          <w:sz w:val="32"/>
          <w:szCs w:val="32"/>
        </w:rPr>
        <w:t>推动支出标准化建设，坚持“开源、节流、增效、风控”原则，合理优化支出结构，严格“三公”经费管理，持续提升财政管理精细化水平。落实政府过“紧日子”要求，从紧编制2023年预算，通过合理配置办公场所及设备、分类控制项目规模等措施，腾退更多财力用于市场经济恢复和民生实事。坚持以人民为中心的发展思想，持续增进民生福祉，坚持“三保”优先，坚持重点领域保障，完善收入分配机制，促进高质量充分就业，织密织牢社会保障网，扎实办好民生实事。进一步规范</w:t>
      </w:r>
      <w:r>
        <w:rPr>
          <w:rFonts w:hint="eastAsia" w:ascii="Times New Roman" w:hAnsi="Times New Roman" w:eastAsia="方正仿宋_GBK"/>
          <w:sz w:val="32"/>
          <w:szCs w:val="32"/>
        </w:rPr>
        <w:t>招商引资</w:t>
      </w:r>
      <w:r>
        <w:rPr>
          <w:rFonts w:ascii="Times New Roman" w:hAnsi="Times New Roman" w:eastAsia="方正仿宋_GBK"/>
          <w:sz w:val="32"/>
          <w:szCs w:val="32"/>
        </w:rPr>
        <w:t>扶持政策兑现工作，严格落实政策兑现会审</w:t>
      </w:r>
      <w:r>
        <w:rPr>
          <w:rFonts w:hint="eastAsia" w:ascii="Times New Roman" w:hAnsi="Times New Roman" w:eastAsia="方正仿宋_GBK"/>
          <w:sz w:val="32"/>
          <w:szCs w:val="32"/>
        </w:rPr>
        <w:t>制度</w:t>
      </w:r>
      <w:r>
        <w:rPr>
          <w:rFonts w:ascii="Times New Roman" w:hAnsi="Times New Roman" w:eastAsia="方正仿宋_GBK"/>
          <w:sz w:val="32"/>
          <w:szCs w:val="32"/>
        </w:rPr>
        <w:t>，降低兑现风险。</w:t>
      </w:r>
    </w:p>
    <w:p>
      <w:pPr>
        <w:spacing w:line="560" w:lineRule="exact"/>
        <w:ind w:firstLine="630"/>
        <w:rPr>
          <w:rFonts w:ascii="Times New Roman" w:hAnsi="Times New Roman" w:eastAsia="方正仿宋_GBK"/>
          <w:sz w:val="32"/>
          <w:szCs w:val="32"/>
        </w:rPr>
      </w:pPr>
      <w:r>
        <w:rPr>
          <w:rFonts w:ascii="Times New Roman" w:hAnsi="Times New Roman" w:eastAsia="方正楷体_GBK"/>
          <w:sz w:val="32"/>
          <w:szCs w:val="44"/>
        </w:rPr>
        <w:t>（三）坚持防范化解重大经济金融风险，竭力抓管控严守财政运行风险底线。</w:t>
      </w:r>
      <w:r>
        <w:rPr>
          <w:rFonts w:ascii="Times New Roman" w:hAnsi="Times New Roman" w:eastAsia="方正仿宋_GBK"/>
          <w:sz w:val="32"/>
          <w:szCs w:val="32"/>
        </w:rPr>
        <w:t>健全体制机制，严防债务风险，推进投融资“借、用、管、还”一体化机制落地落实，严格落实“631”偿债机制，严格执行“控增量、减存量、降成本、活资产、防风险”的管控要求，统筹实现促发展与防风险。多渠道化解存量债务，严控新增债务规模，科学制定偿债时间表，合理规划债务偿还计划。积极挖潜增收，加快土地出让，壮大综合财力。进一步推进投融资体制改革，通过政府投资和政策激励，吸引更多民间资本参与重大工程和补短板项目建设。严格按照</w:t>
      </w:r>
      <w:r>
        <w:rPr>
          <w:rFonts w:hint="eastAsia" w:ascii="Times New Roman" w:hAnsi="Times New Roman" w:eastAsia="方正仿宋_GBK"/>
          <w:sz w:val="32"/>
          <w:szCs w:val="32"/>
        </w:rPr>
        <w:t>“</w:t>
      </w:r>
      <w:r>
        <w:rPr>
          <w:rFonts w:ascii="Times New Roman" w:hAnsi="Times New Roman" w:eastAsia="方正仿宋_GBK"/>
          <w:sz w:val="32"/>
          <w:szCs w:val="32"/>
        </w:rPr>
        <w:t>谁举债、谁负责、谁偿还</w:t>
      </w:r>
      <w:r>
        <w:rPr>
          <w:rFonts w:hint="eastAsia" w:ascii="Times New Roman" w:hAnsi="Times New Roman" w:eastAsia="方正仿宋_GBK"/>
          <w:sz w:val="32"/>
          <w:szCs w:val="32"/>
        </w:rPr>
        <w:t>”</w:t>
      </w:r>
      <w:r>
        <w:rPr>
          <w:rFonts w:ascii="Times New Roman" w:hAnsi="Times New Roman" w:eastAsia="方正仿宋_GBK"/>
          <w:sz w:val="32"/>
          <w:szCs w:val="32"/>
        </w:rPr>
        <w:t>的原则，全方位强化规范国有企业投融资管控，清理处置低效、无效资产，优化融资结构，降低融资成本，发挥资产效益，增强经营性融资能力和抗风险水平，牢牢守住资金不断链、债务不爆雷的底线。</w:t>
      </w:r>
    </w:p>
    <w:p>
      <w:pPr>
        <w:spacing w:line="560" w:lineRule="exact"/>
        <w:ind w:firstLine="627" w:firstLineChars="196"/>
        <w:rPr>
          <w:rFonts w:ascii="Times New Roman" w:hAnsi="Times New Roman" w:eastAsia="方正仿宋_GBK"/>
          <w:sz w:val="32"/>
          <w:szCs w:val="32"/>
        </w:rPr>
      </w:pPr>
      <w:r>
        <w:rPr>
          <w:rFonts w:ascii="Times New Roman" w:hAnsi="Times New Roman" w:eastAsia="方正楷体_GBK"/>
          <w:sz w:val="32"/>
          <w:szCs w:val="44"/>
        </w:rPr>
        <w:t>（四）坚持系统观念、守正创新，大力抓管理实现以政领财、以财辅政。</w:t>
      </w:r>
      <w:r>
        <w:rPr>
          <w:rFonts w:ascii="Times New Roman" w:hAnsi="Times New Roman" w:eastAsia="方正仿宋_GBK"/>
          <w:sz w:val="32"/>
          <w:szCs w:val="32"/>
        </w:rPr>
        <w:t>持续优化营商环境，加速恢复市场活力，坚持服务企业发展、深化惠企纾困政策落地落实、加大减税降费力度、细化积极财政政策着力点，促进各类市场主体活力充分迸发、实力持续壮大。持续强化监督管理，提升财政资金使用效益，开展会计信息质量检查，堵塞管理漏洞，防范财务风险，持续加强涉企财政补贴补助资金监督管理，夯实财政资金末端效益，强化绩效管理和结果运用，提高财政资源配置效率和使用效益，形成共促高质量发展合力。持续夯实建设项目管理，优化预算结算审核，完善建设项目程序管理制度，加</w:t>
      </w:r>
      <w:r>
        <w:rPr>
          <w:rFonts w:hint="eastAsia" w:ascii="Times New Roman" w:hAnsi="Times New Roman" w:eastAsia="方正仿宋_GBK"/>
          <w:sz w:val="32"/>
          <w:szCs w:val="32"/>
        </w:rPr>
        <w:t>大</w:t>
      </w:r>
      <w:r>
        <w:rPr>
          <w:rFonts w:ascii="Times New Roman" w:hAnsi="Times New Roman" w:eastAsia="方正仿宋_GBK"/>
          <w:sz w:val="32"/>
          <w:szCs w:val="32"/>
        </w:rPr>
        <w:t>预算审核重心从事后审核资金向事前审核项目前移的力度，实现预算审核对项目建设规模及投资事前控制、事中指导的作用，</w:t>
      </w:r>
      <w:r>
        <w:rPr>
          <w:rFonts w:ascii="Times New Roman" w:hAnsi="Times New Roman" w:eastAsia="方正仿宋_GBK"/>
          <w:sz w:val="31"/>
          <w:szCs w:val="31"/>
        </w:rPr>
        <w:t>规范结算审核过程管理，严格审核项目金额，实现财政资金效益最大化。</w:t>
      </w:r>
    </w:p>
    <w:p>
      <w:pPr>
        <w:spacing w:line="560" w:lineRule="exact"/>
        <w:ind w:firstLine="640" w:firstLineChars="200"/>
        <w:rPr>
          <w:rFonts w:ascii="Times New Roman" w:hAnsi="Times New Roman" w:eastAsia="方正黑体_GBK"/>
          <w:sz w:val="32"/>
          <w:szCs w:val="32"/>
        </w:rPr>
      </w:pPr>
      <w:r>
        <w:rPr>
          <w:rFonts w:ascii="Times New Roman" w:hAnsi="Times New Roman" w:eastAsia="方正黑体_GBK"/>
          <w:sz w:val="32"/>
          <w:szCs w:val="32"/>
        </w:rPr>
        <w:t>四、2023年预算草案</w:t>
      </w:r>
    </w:p>
    <w:p>
      <w:pPr>
        <w:spacing w:line="560" w:lineRule="exact"/>
        <w:ind w:firstLine="620" w:firstLineChars="200"/>
        <w:rPr>
          <w:rFonts w:ascii="Times New Roman" w:hAnsi="Times New Roman" w:eastAsia="方正仿宋_GBK"/>
          <w:sz w:val="31"/>
          <w:szCs w:val="31"/>
        </w:rPr>
      </w:pPr>
      <w:r>
        <w:rPr>
          <w:rFonts w:ascii="Times New Roman" w:hAnsi="Times New Roman" w:eastAsia="方正仿宋_GBK"/>
          <w:sz w:val="31"/>
          <w:szCs w:val="31"/>
        </w:rPr>
        <w:t>2023年预算编制的指导思想：以习近平新时代中国特色社会主义思想为指导，全面贯彻党的二十大精神和市委六届二次全会精神，坚决落实中央和市委、市政府决策部署，紧扣区第十五次党代会和区委十五届四次全会工作要求，确保</w:t>
      </w:r>
      <w:r>
        <w:rPr>
          <w:rFonts w:hint="eastAsia" w:ascii="Times New Roman" w:hAnsi="Times New Roman" w:eastAsia="方正仿宋_GBK"/>
          <w:sz w:val="31"/>
          <w:szCs w:val="31"/>
        </w:rPr>
        <w:t>在</w:t>
      </w:r>
      <w:r>
        <w:rPr>
          <w:rFonts w:ascii="Times New Roman" w:hAnsi="Times New Roman" w:eastAsia="方正仿宋_GBK"/>
          <w:sz w:val="31"/>
          <w:szCs w:val="31"/>
        </w:rPr>
        <w:t>新时代新征程全面建设社会主义现代化新重庆中开辟渝北发展新境界开好局、起好步。</w:t>
      </w:r>
      <w:r>
        <w:rPr>
          <w:rFonts w:hint="eastAsia" w:ascii="Times New Roman" w:hAnsi="Times New Roman" w:eastAsia="方正仿宋_GBK"/>
          <w:sz w:val="31"/>
          <w:szCs w:val="31"/>
        </w:rPr>
        <w:t>坚持政府过“紧日子”，勤俭办一切事情，打紧财政等国家资金铁算盘，从严控制非刚性支出，更好节用裕民</w:t>
      </w:r>
      <w:r>
        <w:rPr>
          <w:rFonts w:ascii="Times New Roman" w:hAnsi="Times New Roman" w:eastAsia="方正仿宋_GBK"/>
          <w:sz w:val="31"/>
          <w:szCs w:val="31"/>
        </w:rPr>
        <w:t>。进一步深化财政预算管理改革，进一步深化预算一体化管理，以信息化推进预算管理现代化，加强预算管理各项制度的系统集成、协同高效，提高预算管理规范化、科学化、标准化水平和预算透明度。</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全区收入预计190.7亿元，其中：一般公共预算收入61.9亿元、政府性基金预算收入500万元、国有资本经营预算收入2000万元、上级补助收入70.3亿元、动用上年预算稳定调节基金10.3亿元、上年结转23.9亿元、债务转贷收入24亿元。</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全区支出预计190.7亿元，其中：一般公共预算支出</w:t>
      </w:r>
      <w:r>
        <w:rPr>
          <w:rFonts w:hint="eastAsia" w:ascii="Times New Roman" w:hAnsi="Times New Roman" w:eastAsia="方正仿宋_GBK"/>
          <w:sz w:val="32"/>
          <w:szCs w:val="32"/>
        </w:rPr>
        <w:t>112.2</w:t>
      </w:r>
      <w:r>
        <w:rPr>
          <w:rFonts w:ascii="Times New Roman" w:hAnsi="Times New Roman" w:eastAsia="方正仿宋_GBK"/>
          <w:sz w:val="32"/>
          <w:szCs w:val="32"/>
        </w:rPr>
        <w:t>亿元、政府性基金预算支出</w:t>
      </w:r>
      <w:r>
        <w:rPr>
          <w:rFonts w:hint="eastAsia" w:ascii="Times New Roman" w:hAnsi="Times New Roman" w:eastAsia="方正仿宋_GBK"/>
          <w:sz w:val="32"/>
          <w:szCs w:val="32"/>
        </w:rPr>
        <w:t>44.9</w:t>
      </w:r>
      <w:r>
        <w:rPr>
          <w:rFonts w:ascii="Times New Roman" w:hAnsi="Times New Roman" w:eastAsia="方正仿宋_GBK"/>
          <w:sz w:val="32"/>
          <w:szCs w:val="32"/>
        </w:rPr>
        <w:t>亿元、上解上级支出9.1亿元、债务还本支出24.5亿元。</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区本级收入预计18</w:t>
      </w:r>
      <w:r>
        <w:rPr>
          <w:rFonts w:hint="eastAsia" w:ascii="Times New Roman" w:hAnsi="Times New Roman" w:eastAsia="方正仿宋_GBK"/>
          <w:sz w:val="32"/>
          <w:szCs w:val="32"/>
        </w:rPr>
        <w:t>4.9</w:t>
      </w:r>
      <w:r>
        <w:rPr>
          <w:rFonts w:ascii="Times New Roman" w:hAnsi="Times New Roman" w:eastAsia="方正仿宋_GBK"/>
          <w:sz w:val="32"/>
          <w:szCs w:val="32"/>
        </w:rPr>
        <w:t>亿元，其中：一般公共预算收入58.</w:t>
      </w:r>
      <w:r>
        <w:rPr>
          <w:rFonts w:hint="eastAsia" w:ascii="Times New Roman" w:hAnsi="Times New Roman" w:eastAsia="方正仿宋_GBK"/>
          <w:sz w:val="32"/>
          <w:szCs w:val="32"/>
        </w:rPr>
        <w:t>4</w:t>
      </w:r>
      <w:r>
        <w:rPr>
          <w:rFonts w:ascii="Times New Roman" w:hAnsi="Times New Roman" w:eastAsia="方正仿宋_GBK"/>
          <w:sz w:val="32"/>
          <w:szCs w:val="32"/>
        </w:rPr>
        <w:t>亿元、</w:t>
      </w:r>
      <w:r>
        <w:rPr>
          <w:rFonts w:hint="eastAsia" w:ascii="Times New Roman" w:hAnsi="Times New Roman" w:eastAsia="方正仿宋_GBK"/>
          <w:sz w:val="32"/>
          <w:szCs w:val="32"/>
        </w:rPr>
        <w:t>政府性基金预算收入500万元、</w:t>
      </w:r>
      <w:r>
        <w:rPr>
          <w:rFonts w:ascii="Times New Roman" w:hAnsi="Times New Roman" w:eastAsia="方正仿宋_GBK"/>
          <w:sz w:val="32"/>
          <w:szCs w:val="32"/>
        </w:rPr>
        <w:t>国有资本经营预算收入2000万元、上级补助收入70.3亿元、下级上解</w:t>
      </w:r>
      <w:r>
        <w:rPr>
          <w:rFonts w:hint="eastAsia" w:ascii="Times New Roman" w:hAnsi="Times New Roman" w:eastAsia="方正仿宋_GBK"/>
          <w:sz w:val="32"/>
          <w:szCs w:val="32"/>
        </w:rPr>
        <w:t>收入</w:t>
      </w:r>
      <w:r>
        <w:rPr>
          <w:rFonts w:ascii="Times New Roman" w:hAnsi="Times New Roman" w:eastAsia="方正仿宋_GBK"/>
          <w:sz w:val="32"/>
          <w:szCs w:val="32"/>
        </w:rPr>
        <w:t>2.5亿元、动用上年预算稳定调节基金8.2亿元、上年结转21.3亿元、债务转贷收入24亿元。</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区本级支出预计18</w:t>
      </w:r>
      <w:r>
        <w:rPr>
          <w:rFonts w:hint="eastAsia" w:ascii="Times New Roman" w:hAnsi="Times New Roman" w:eastAsia="方正仿宋_GBK"/>
          <w:sz w:val="32"/>
          <w:szCs w:val="32"/>
        </w:rPr>
        <w:t>4.9</w:t>
      </w:r>
      <w:r>
        <w:rPr>
          <w:rFonts w:ascii="Times New Roman" w:hAnsi="Times New Roman" w:eastAsia="方正仿宋_GBK"/>
          <w:sz w:val="32"/>
          <w:szCs w:val="32"/>
        </w:rPr>
        <w:t>亿元，其中：一般公共预算支出</w:t>
      </w:r>
      <w:r>
        <w:rPr>
          <w:rFonts w:hint="eastAsia" w:ascii="Times New Roman" w:hAnsi="Times New Roman" w:eastAsia="方正仿宋_GBK"/>
          <w:sz w:val="32"/>
          <w:szCs w:val="32"/>
        </w:rPr>
        <w:t>99.1</w:t>
      </w:r>
      <w:r>
        <w:rPr>
          <w:rFonts w:ascii="Times New Roman" w:hAnsi="Times New Roman" w:eastAsia="方正仿宋_GBK"/>
          <w:sz w:val="32"/>
          <w:szCs w:val="32"/>
        </w:rPr>
        <w:t>亿元、政府性基金预算支出</w:t>
      </w:r>
      <w:r>
        <w:rPr>
          <w:rFonts w:hint="eastAsia" w:ascii="Times New Roman" w:hAnsi="Times New Roman" w:eastAsia="方正仿宋_GBK"/>
          <w:sz w:val="32"/>
          <w:szCs w:val="32"/>
        </w:rPr>
        <w:t>44.1</w:t>
      </w:r>
      <w:r>
        <w:rPr>
          <w:rFonts w:ascii="Times New Roman" w:hAnsi="Times New Roman" w:eastAsia="方正仿宋_GBK"/>
          <w:sz w:val="32"/>
          <w:szCs w:val="32"/>
        </w:rPr>
        <w:t>亿元、上解上级支出9.1亿元、补助下级支出8.</w:t>
      </w:r>
      <w:r>
        <w:rPr>
          <w:rFonts w:hint="eastAsia" w:ascii="Times New Roman" w:hAnsi="Times New Roman" w:eastAsia="方正仿宋_GBK"/>
          <w:sz w:val="32"/>
          <w:szCs w:val="32"/>
        </w:rPr>
        <w:t>1</w:t>
      </w:r>
      <w:r>
        <w:rPr>
          <w:rFonts w:ascii="Times New Roman" w:hAnsi="Times New Roman" w:eastAsia="方正仿宋_GBK"/>
          <w:sz w:val="32"/>
          <w:szCs w:val="32"/>
        </w:rPr>
        <w:t>亿元、债务还本支出24.5亿元。</w:t>
      </w:r>
    </w:p>
    <w:p>
      <w:pPr>
        <w:spacing w:line="560" w:lineRule="exact"/>
        <w:ind w:firstLine="640" w:firstLineChars="200"/>
        <w:rPr>
          <w:rFonts w:ascii="Times New Roman" w:hAnsi="Times New Roman" w:eastAsia="方正楷体_GBK"/>
          <w:sz w:val="32"/>
          <w:szCs w:val="32"/>
        </w:rPr>
      </w:pPr>
      <w:r>
        <w:rPr>
          <w:rFonts w:ascii="Times New Roman" w:hAnsi="Times New Roman" w:eastAsia="方正楷体_GBK"/>
          <w:sz w:val="32"/>
          <w:szCs w:val="32"/>
        </w:rPr>
        <w:t>（一）一般公共预算草案</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1</w:t>
      </w:r>
      <w:r>
        <w:rPr>
          <w:rFonts w:hint="eastAsia" w:ascii="Times New Roman" w:hAnsi="Times New Roman" w:eastAsia="方正仿宋_GBK"/>
          <w:sz w:val="32"/>
          <w:szCs w:val="32"/>
        </w:rPr>
        <w:t>．</w:t>
      </w:r>
      <w:r>
        <w:rPr>
          <w:rFonts w:ascii="Times New Roman" w:hAnsi="Times New Roman" w:eastAsia="方正仿宋_GBK"/>
          <w:sz w:val="32"/>
          <w:szCs w:val="32"/>
        </w:rPr>
        <w:t>全区一般公共预算</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——全区一般公共预算收入预计61.9亿元，增长5%。其中税收收入53.8亿元，增长15%；非税收入8.1亿元，下降33.</w:t>
      </w:r>
      <w:r>
        <w:rPr>
          <w:rFonts w:hint="eastAsia" w:ascii="Times New Roman" w:hAnsi="Times New Roman" w:eastAsia="方正仿宋_GBK"/>
          <w:sz w:val="32"/>
          <w:szCs w:val="32"/>
        </w:rPr>
        <w:t>5</w:t>
      </w:r>
      <w:r>
        <w:rPr>
          <w:rFonts w:ascii="Times New Roman" w:hAnsi="Times New Roman" w:eastAsia="方正仿宋_GBK"/>
          <w:sz w:val="32"/>
          <w:szCs w:val="32"/>
        </w:rPr>
        <w:t>%。加上上级补助收入28.2亿元、债务转贷收入9.3亿元、调入资金</w:t>
      </w:r>
      <w:r>
        <w:rPr>
          <w:rFonts w:hint="eastAsia" w:ascii="Times New Roman" w:hAnsi="Times New Roman" w:eastAsia="方正仿宋_GBK"/>
          <w:sz w:val="32"/>
          <w:szCs w:val="32"/>
        </w:rPr>
        <w:t>12.8</w:t>
      </w:r>
      <w:r>
        <w:rPr>
          <w:rFonts w:ascii="Times New Roman" w:hAnsi="Times New Roman" w:eastAsia="方正仿宋_GBK"/>
          <w:sz w:val="32"/>
          <w:szCs w:val="32"/>
        </w:rPr>
        <w:t>亿元、动用上年预算稳定调节基金10.3亿元、上年结转8.3亿元，收入总计</w:t>
      </w:r>
      <w:r>
        <w:rPr>
          <w:rFonts w:hint="eastAsia" w:ascii="Times New Roman" w:hAnsi="Times New Roman" w:eastAsia="方正仿宋_GBK"/>
          <w:sz w:val="32"/>
          <w:szCs w:val="32"/>
        </w:rPr>
        <w:t>130.8</w:t>
      </w:r>
      <w:r>
        <w:rPr>
          <w:rFonts w:ascii="Times New Roman" w:hAnsi="Times New Roman" w:eastAsia="方正仿宋_GBK"/>
          <w:sz w:val="32"/>
          <w:szCs w:val="32"/>
        </w:rPr>
        <w:t>亿元。</w:t>
      </w:r>
    </w:p>
    <w:p>
      <w:pPr>
        <w:spacing w:line="560" w:lineRule="exact"/>
        <w:ind w:firstLine="636" w:firstLineChars="199"/>
        <w:rPr>
          <w:rFonts w:ascii="Times New Roman" w:hAnsi="Times New Roman" w:eastAsia="方正仿宋_GBK"/>
          <w:sz w:val="32"/>
          <w:szCs w:val="32"/>
        </w:rPr>
      </w:pPr>
      <w:r>
        <w:rPr>
          <w:rFonts w:ascii="Times New Roman" w:hAnsi="Times New Roman" w:eastAsia="方正仿宋_GBK"/>
          <w:sz w:val="32"/>
          <w:szCs w:val="32"/>
        </w:rPr>
        <w:t>——全区一般公共预算支出安排</w:t>
      </w:r>
      <w:r>
        <w:rPr>
          <w:rFonts w:hint="eastAsia" w:ascii="Times New Roman" w:hAnsi="Times New Roman" w:eastAsia="方正仿宋_GBK"/>
          <w:sz w:val="32"/>
          <w:szCs w:val="32"/>
        </w:rPr>
        <w:t>112.2</w:t>
      </w:r>
      <w:r>
        <w:rPr>
          <w:rFonts w:ascii="Times New Roman" w:hAnsi="Times New Roman" w:eastAsia="方正仿宋_GBK"/>
          <w:sz w:val="32"/>
          <w:szCs w:val="32"/>
        </w:rPr>
        <w:t>亿元，下降</w:t>
      </w:r>
      <w:r>
        <w:rPr>
          <w:rFonts w:hint="eastAsia" w:ascii="Times New Roman" w:hAnsi="Times New Roman" w:eastAsia="方正仿宋_GBK"/>
          <w:sz w:val="32"/>
          <w:szCs w:val="32"/>
        </w:rPr>
        <w:t>10.3</w:t>
      </w:r>
      <w:r>
        <w:rPr>
          <w:rFonts w:ascii="Times New Roman" w:hAnsi="Times New Roman" w:eastAsia="方正仿宋_GBK"/>
          <w:sz w:val="32"/>
          <w:szCs w:val="32"/>
        </w:rPr>
        <w:t>%。加上上解上级支出9.1亿元、债务还本支出9.5亿元，支出总计</w:t>
      </w:r>
      <w:r>
        <w:rPr>
          <w:rFonts w:hint="eastAsia" w:ascii="Times New Roman" w:hAnsi="Times New Roman" w:eastAsia="方正仿宋_GBK"/>
          <w:sz w:val="32"/>
          <w:szCs w:val="32"/>
        </w:rPr>
        <w:t>130.8</w:t>
      </w:r>
      <w:r>
        <w:rPr>
          <w:rFonts w:ascii="Times New Roman" w:hAnsi="Times New Roman" w:eastAsia="方正仿宋_GBK"/>
          <w:sz w:val="32"/>
          <w:szCs w:val="32"/>
        </w:rPr>
        <w:t>亿元。</w:t>
      </w:r>
    </w:p>
    <w:p>
      <w:pPr>
        <w:spacing w:line="560" w:lineRule="exact"/>
        <w:ind w:left="638" w:leftChars="304"/>
        <w:rPr>
          <w:rFonts w:ascii="Times New Roman" w:hAnsi="Times New Roman" w:eastAsia="方正仿宋_GBK"/>
          <w:sz w:val="32"/>
          <w:szCs w:val="32"/>
        </w:rPr>
      </w:pPr>
      <w:r>
        <w:rPr>
          <w:rFonts w:ascii="Times New Roman" w:hAnsi="Times New Roman" w:eastAsia="方正仿宋_GBK"/>
          <w:sz w:val="32"/>
          <w:szCs w:val="32"/>
        </w:rPr>
        <w:t>2</w:t>
      </w:r>
      <w:r>
        <w:rPr>
          <w:rFonts w:hint="eastAsia" w:ascii="Times New Roman" w:hAnsi="Times New Roman" w:eastAsia="方正仿宋_GBK"/>
          <w:sz w:val="32"/>
          <w:szCs w:val="32"/>
        </w:rPr>
        <w:t>．</w:t>
      </w:r>
      <w:r>
        <w:rPr>
          <w:rFonts w:ascii="Times New Roman" w:hAnsi="Times New Roman" w:eastAsia="方正仿宋_GBK"/>
          <w:sz w:val="32"/>
          <w:szCs w:val="32"/>
        </w:rPr>
        <w:t>区本级一般公共预算</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——区本级一般公共预算收入预计58.</w:t>
      </w:r>
      <w:r>
        <w:rPr>
          <w:rFonts w:hint="eastAsia" w:ascii="Times New Roman" w:hAnsi="Times New Roman" w:eastAsia="方正仿宋_GBK"/>
          <w:sz w:val="32"/>
          <w:szCs w:val="32"/>
        </w:rPr>
        <w:t>4</w:t>
      </w:r>
      <w:r>
        <w:rPr>
          <w:rFonts w:ascii="Times New Roman" w:hAnsi="Times New Roman" w:eastAsia="方正仿宋_GBK"/>
          <w:sz w:val="32"/>
          <w:szCs w:val="32"/>
        </w:rPr>
        <w:t>亿元，</w:t>
      </w:r>
      <w:r>
        <w:rPr>
          <w:rFonts w:hint="eastAsia" w:ascii="Times New Roman" w:hAnsi="Times New Roman" w:eastAsia="方正仿宋_GBK"/>
          <w:sz w:val="32"/>
          <w:szCs w:val="32"/>
        </w:rPr>
        <w:t>增长5.7</w:t>
      </w:r>
      <w:r>
        <w:rPr>
          <w:rFonts w:ascii="Times New Roman" w:hAnsi="Times New Roman" w:eastAsia="方正仿宋_GBK"/>
          <w:sz w:val="32"/>
          <w:szCs w:val="32"/>
        </w:rPr>
        <w:t>%。其中税收收入50.3亿元，增长</w:t>
      </w:r>
      <w:r>
        <w:rPr>
          <w:rFonts w:hint="eastAsia" w:ascii="Times New Roman" w:hAnsi="Times New Roman" w:eastAsia="方正仿宋_GBK"/>
          <w:sz w:val="32"/>
          <w:szCs w:val="32"/>
        </w:rPr>
        <w:t>16.8</w:t>
      </w:r>
      <w:r>
        <w:rPr>
          <w:rFonts w:ascii="Times New Roman" w:hAnsi="Times New Roman" w:eastAsia="方正仿宋_GBK"/>
          <w:sz w:val="32"/>
          <w:szCs w:val="32"/>
        </w:rPr>
        <w:t>%；非税收入8.1亿元，下降33.</w:t>
      </w:r>
      <w:r>
        <w:rPr>
          <w:rFonts w:hint="eastAsia" w:ascii="Times New Roman" w:hAnsi="Times New Roman" w:eastAsia="方正仿宋_GBK"/>
          <w:sz w:val="32"/>
          <w:szCs w:val="32"/>
        </w:rPr>
        <w:t>5</w:t>
      </w:r>
      <w:r>
        <w:rPr>
          <w:rFonts w:ascii="Times New Roman" w:hAnsi="Times New Roman" w:eastAsia="方正仿宋_GBK"/>
          <w:sz w:val="32"/>
          <w:szCs w:val="32"/>
        </w:rPr>
        <w:t>%。加上上级补助</w:t>
      </w:r>
      <w:r>
        <w:rPr>
          <w:rFonts w:hint="eastAsia" w:ascii="Times New Roman" w:hAnsi="Times New Roman" w:eastAsia="方正仿宋_GBK"/>
          <w:sz w:val="32"/>
          <w:szCs w:val="32"/>
        </w:rPr>
        <w:t>收入</w:t>
      </w:r>
      <w:r>
        <w:rPr>
          <w:rFonts w:ascii="Times New Roman" w:hAnsi="Times New Roman" w:eastAsia="方正仿宋_GBK"/>
          <w:sz w:val="32"/>
          <w:szCs w:val="32"/>
        </w:rPr>
        <w:t>28.2亿元、</w:t>
      </w:r>
      <w:r>
        <w:rPr>
          <w:rFonts w:hint="eastAsia" w:ascii="Times New Roman" w:hAnsi="Times New Roman" w:eastAsia="方正仿宋_GBK"/>
          <w:sz w:val="32"/>
          <w:szCs w:val="32"/>
        </w:rPr>
        <w:t>下级上解收入2.5亿元、</w:t>
      </w:r>
      <w:r>
        <w:rPr>
          <w:rFonts w:ascii="Times New Roman" w:hAnsi="Times New Roman" w:eastAsia="方正仿宋_GBK"/>
          <w:sz w:val="32"/>
          <w:szCs w:val="32"/>
        </w:rPr>
        <w:t>动用上年预算稳定调节基金8.2亿元、调入资金</w:t>
      </w:r>
      <w:r>
        <w:rPr>
          <w:rFonts w:hint="eastAsia" w:ascii="Times New Roman" w:hAnsi="Times New Roman" w:eastAsia="方正仿宋_GBK"/>
          <w:sz w:val="32"/>
          <w:szCs w:val="32"/>
        </w:rPr>
        <w:t>12.8</w:t>
      </w:r>
      <w:r>
        <w:rPr>
          <w:rFonts w:ascii="Times New Roman" w:hAnsi="Times New Roman" w:eastAsia="方正仿宋_GBK"/>
          <w:sz w:val="32"/>
          <w:szCs w:val="32"/>
        </w:rPr>
        <w:t>亿元、债务转贷收入9.</w:t>
      </w:r>
      <w:r>
        <w:rPr>
          <w:rFonts w:hint="eastAsia" w:ascii="Times New Roman" w:hAnsi="Times New Roman" w:eastAsia="方正仿宋_GBK"/>
          <w:sz w:val="32"/>
          <w:szCs w:val="32"/>
        </w:rPr>
        <w:t>3</w:t>
      </w:r>
      <w:r>
        <w:rPr>
          <w:rFonts w:ascii="Times New Roman" w:hAnsi="Times New Roman" w:eastAsia="方正仿宋_GBK"/>
          <w:sz w:val="32"/>
          <w:szCs w:val="32"/>
        </w:rPr>
        <w:t>亿元、上年结转6.4亿元，收入总计12</w:t>
      </w:r>
      <w:r>
        <w:rPr>
          <w:rFonts w:hint="eastAsia" w:ascii="Times New Roman" w:hAnsi="Times New Roman" w:eastAsia="方正仿宋_GBK"/>
          <w:sz w:val="32"/>
          <w:szCs w:val="32"/>
        </w:rPr>
        <w:t>5.8</w:t>
      </w:r>
      <w:r>
        <w:rPr>
          <w:rFonts w:ascii="Times New Roman" w:hAnsi="Times New Roman" w:eastAsia="方正仿宋_GBK"/>
          <w:sz w:val="32"/>
          <w:szCs w:val="32"/>
        </w:rPr>
        <w:t>亿元。</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——区本级一般公共预算支出安排</w:t>
      </w:r>
      <w:r>
        <w:rPr>
          <w:rFonts w:hint="eastAsia" w:ascii="Times New Roman" w:hAnsi="Times New Roman" w:eastAsia="方正仿宋_GBK"/>
          <w:sz w:val="32"/>
          <w:szCs w:val="32"/>
        </w:rPr>
        <w:t>99</w:t>
      </w:r>
      <w:r>
        <w:rPr>
          <w:rFonts w:ascii="Times New Roman" w:hAnsi="Times New Roman" w:eastAsia="方正仿宋_GBK"/>
          <w:sz w:val="32"/>
          <w:szCs w:val="32"/>
        </w:rPr>
        <w:t>亿元，下降</w:t>
      </w:r>
      <w:r>
        <w:rPr>
          <w:rFonts w:hint="eastAsia" w:ascii="Times New Roman" w:hAnsi="Times New Roman" w:eastAsia="方正仿宋_GBK"/>
          <w:sz w:val="32"/>
          <w:szCs w:val="32"/>
        </w:rPr>
        <w:t>11.2</w:t>
      </w:r>
      <w:r>
        <w:rPr>
          <w:rFonts w:ascii="Times New Roman" w:hAnsi="Times New Roman" w:eastAsia="方正仿宋_GBK"/>
          <w:sz w:val="32"/>
          <w:szCs w:val="32"/>
        </w:rPr>
        <w:t>%。加上上解上级支出9.1亿元、补助下级支出8.2亿元、债务还本支出9.5亿元，支出总计12</w:t>
      </w:r>
      <w:r>
        <w:rPr>
          <w:rFonts w:hint="eastAsia" w:ascii="Times New Roman" w:hAnsi="Times New Roman" w:eastAsia="方正仿宋_GBK"/>
          <w:sz w:val="32"/>
          <w:szCs w:val="32"/>
        </w:rPr>
        <w:t>5.8</w:t>
      </w:r>
      <w:r>
        <w:rPr>
          <w:rFonts w:ascii="Times New Roman" w:hAnsi="Times New Roman" w:eastAsia="方正仿宋_GBK"/>
          <w:sz w:val="32"/>
          <w:szCs w:val="32"/>
        </w:rPr>
        <w:t>亿元。</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 xml:space="preserve">主要支出项目预算安排如下： </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——一般公共服务支出安排7.3亿元，下降</w:t>
      </w:r>
      <w:r>
        <w:rPr>
          <w:rFonts w:hint="eastAsia" w:ascii="Times New Roman" w:hAnsi="Times New Roman" w:eastAsia="方正仿宋_GBK"/>
          <w:sz w:val="32"/>
          <w:szCs w:val="32"/>
        </w:rPr>
        <w:t>12.3</w:t>
      </w:r>
      <w:r>
        <w:rPr>
          <w:rFonts w:ascii="Times New Roman" w:hAnsi="Times New Roman" w:eastAsia="方正仿宋_GBK"/>
          <w:sz w:val="32"/>
          <w:szCs w:val="32"/>
        </w:rPr>
        <w:t>%。主要用于：部门运行4.8亿元、行政服务中心运行经费1861万元、公共投资建设项目评审及审计费1600万元、文明城区建设和群众性精神文明建设1416万元</w:t>
      </w:r>
      <w:r>
        <w:rPr>
          <w:rFonts w:hint="eastAsia" w:ascii="Times New Roman" w:hAnsi="Times New Roman" w:eastAsia="方正仿宋_GBK"/>
          <w:sz w:val="32"/>
          <w:szCs w:val="32"/>
        </w:rPr>
        <w:t>、</w:t>
      </w:r>
      <w:r>
        <w:rPr>
          <w:rFonts w:ascii="Times New Roman" w:hAnsi="Times New Roman" w:eastAsia="方正仿宋_GBK"/>
          <w:sz w:val="32"/>
          <w:szCs w:val="32"/>
        </w:rPr>
        <w:t>电子政务外网运行维护1148万元、食品药品安全监督管理经费1035万元等。</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——教育支出安排26.</w:t>
      </w:r>
      <w:r>
        <w:rPr>
          <w:rFonts w:hint="eastAsia" w:ascii="Times New Roman" w:hAnsi="Times New Roman" w:eastAsia="方正仿宋_GBK"/>
          <w:sz w:val="32"/>
          <w:szCs w:val="32"/>
        </w:rPr>
        <w:t>4</w:t>
      </w:r>
      <w:r>
        <w:rPr>
          <w:rFonts w:ascii="Times New Roman" w:hAnsi="Times New Roman" w:eastAsia="方正仿宋_GBK"/>
          <w:sz w:val="32"/>
          <w:szCs w:val="32"/>
        </w:rPr>
        <w:t>亿元，下降0.3%。主要用于：教育系统人员及公用</w:t>
      </w:r>
      <w:r>
        <w:rPr>
          <w:rFonts w:hint="eastAsia" w:ascii="Times New Roman" w:hAnsi="Times New Roman" w:eastAsia="方正仿宋_GBK"/>
          <w:sz w:val="32"/>
          <w:szCs w:val="32"/>
        </w:rPr>
        <w:t>经费</w:t>
      </w:r>
      <w:r>
        <w:rPr>
          <w:rFonts w:ascii="Times New Roman" w:hAnsi="Times New Roman" w:eastAsia="方正仿宋_GBK"/>
          <w:sz w:val="32"/>
          <w:szCs w:val="32"/>
        </w:rPr>
        <w:t>18.4亿元、“民转公”学校过渡期经费2.</w:t>
      </w:r>
      <w:r>
        <w:rPr>
          <w:rFonts w:hint="eastAsia" w:ascii="Times New Roman" w:hAnsi="Times New Roman" w:eastAsia="方正仿宋_GBK"/>
          <w:sz w:val="32"/>
          <w:szCs w:val="32"/>
        </w:rPr>
        <w:t>6</w:t>
      </w:r>
      <w:r>
        <w:rPr>
          <w:rFonts w:ascii="Times New Roman" w:hAnsi="Times New Roman" w:eastAsia="方正仿宋_GBK"/>
          <w:sz w:val="32"/>
          <w:szCs w:val="32"/>
        </w:rPr>
        <w:t>亿元、校园安保人员补助5885万元、教育资助5167万元、购买专职幼教人员劳务支出4180万元、学前教育普惠性民办幼儿园补助公用经费2421万元</w:t>
      </w:r>
      <w:r>
        <w:rPr>
          <w:rFonts w:hint="eastAsia" w:ascii="Times New Roman" w:hAnsi="Times New Roman" w:eastAsia="方正仿宋_GBK"/>
          <w:sz w:val="32"/>
          <w:szCs w:val="32"/>
        </w:rPr>
        <w:t>、</w:t>
      </w:r>
      <w:r>
        <w:rPr>
          <w:rFonts w:ascii="Times New Roman" w:hAnsi="Times New Roman" w:eastAsia="方正仿宋_GBK"/>
          <w:sz w:val="32"/>
          <w:szCs w:val="32"/>
        </w:rPr>
        <w:t>全区学校设备购置经费1336万元、学校建设及修缮1055万元等。</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——科学技术支出安排0.</w:t>
      </w:r>
      <w:r>
        <w:rPr>
          <w:rFonts w:hint="eastAsia" w:ascii="Times New Roman" w:hAnsi="Times New Roman" w:eastAsia="方正仿宋_GBK"/>
          <w:sz w:val="32"/>
          <w:szCs w:val="32"/>
        </w:rPr>
        <w:t>7</w:t>
      </w:r>
      <w:r>
        <w:rPr>
          <w:rFonts w:ascii="Times New Roman" w:hAnsi="Times New Roman" w:eastAsia="方正仿宋_GBK"/>
          <w:sz w:val="32"/>
          <w:szCs w:val="32"/>
        </w:rPr>
        <w:t>亿元，</w:t>
      </w:r>
      <w:r>
        <w:rPr>
          <w:rFonts w:hint="eastAsia" w:ascii="Times New Roman" w:hAnsi="Times New Roman" w:eastAsia="方正仿宋_GBK"/>
          <w:sz w:val="32"/>
          <w:szCs w:val="32"/>
        </w:rPr>
        <w:t>增长0.2</w:t>
      </w:r>
      <w:r>
        <w:rPr>
          <w:rFonts w:ascii="Times New Roman" w:hAnsi="Times New Roman" w:eastAsia="方正仿宋_GBK"/>
          <w:sz w:val="32"/>
          <w:szCs w:val="32"/>
        </w:rPr>
        <w:t>%。主要用于：</w:t>
      </w:r>
      <w:r>
        <w:rPr>
          <w:rFonts w:hint="eastAsia" w:ascii="Times New Roman" w:hAnsi="Times New Roman" w:eastAsia="方正仿宋_GBK"/>
          <w:sz w:val="32"/>
          <w:szCs w:val="32"/>
        </w:rPr>
        <w:t>科技科普系统人员及公用经费1075万元、</w:t>
      </w:r>
      <w:r>
        <w:rPr>
          <w:rFonts w:ascii="Times New Roman" w:hAnsi="Times New Roman" w:eastAsia="方正仿宋_GBK"/>
          <w:sz w:val="32"/>
          <w:szCs w:val="32"/>
        </w:rPr>
        <w:t>工业和信息化发展专项资金3200万元</w:t>
      </w:r>
      <w:r>
        <w:rPr>
          <w:rFonts w:hint="eastAsia" w:ascii="Times New Roman" w:hAnsi="Times New Roman" w:eastAsia="方正仿宋_GBK"/>
          <w:sz w:val="32"/>
          <w:szCs w:val="32"/>
        </w:rPr>
        <w:t>、</w:t>
      </w:r>
      <w:r>
        <w:rPr>
          <w:rFonts w:ascii="Times New Roman" w:hAnsi="Times New Roman" w:eastAsia="方正仿宋_GBK"/>
          <w:sz w:val="32"/>
          <w:szCs w:val="32"/>
        </w:rPr>
        <w:t>科技创新政策补贴资金2280万元等。</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——文化旅游体育与传媒支出安排1亿元，下降</w:t>
      </w:r>
      <w:r>
        <w:rPr>
          <w:rFonts w:hint="eastAsia" w:ascii="Times New Roman" w:hAnsi="Times New Roman" w:eastAsia="方正仿宋_GBK"/>
          <w:sz w:val="32"/>
          <w:szCs w:val="32"/>
        </w:rPr>
        <w:t>35.8</w:t>
      </w:r>
      <w:r>
        <w:rPr>
          <w:rFonts w:ascii="Times New Roman" w:hAnsi="Times New Roman" w:eastAsia="方正仿宋_GBK"/>
          <w:sz w:val="32"/>
          <w:szCs w:val="32"/>
        </w:rPr>
        <w:t>%。主要用于：文体传媒系统人员及公用经费3444万元、渝北时报及新媒体运行1114万元、一级电视台运行维护经费814万元等。</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——社会保障和就业方面支出安排12.5亿元，</w:t>
      </w:r>
      <w:r>
        <w:rPr>
          <w:rFonts w:hint="eastAsia" w:ascii="Times New Roman" w:hAnsi="Times New Roman" w:eastAsia="方正仿宋_GBK"/>
          <w:sz w:val="32"/>
          <w:szCs w:val="32"/>
        </w:rPr>
        <w:t>增长4.6</w:t>
      </w:r>
      <w:r>
        <w:rPr>
          <w:rFonts w:ascii="Times New Roman" w:hAnsi="Times New Roman" w:eastAsia="方正仿宋_GBK"/>
          <w:sz w:val="32"/>
          <w:szCs w:val="32"/>
        </w:rPr>
        <w:t>%。主要用于：</w:t>
      </w:r>
      <w:r>
        <w:rPr>
          <w:rFonts w:hint="eastAsia" w:ascii="Times New Roman" w:hAnsi="Times New Roman" w:eastAsia="方正仿宋_GBK"/>
          <w:sz w:val="32"/>
          <w:szCs w:val="32"/>
        </w:rPr>
        <w:t>社保和就业系统人员及公用经费5493万元、</w:t>
      </w:r>
      <w:r>
        <w:rPr>
          <w:rFonts w:ascii="Times New Roman" w:hAnsi="Times New Roman" w:eastAsia="方正仿宋_GBK"/>
          <w:sz w:val="32"/>
          <w:szCs w:val="32"/>
        </w:rPr>
        <w:t>行政事业单位养老保险职业年金及离退休人员相关支出6.37亿元、优抚对象抚恤及退役安置1.2亿元、稳就业补助8530万元、残疾人保障2654万元等。</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——卫生健康方面支出安排8.7亿元，</w:t>
      </w:r>
      <w:r>
        <w:rPr>
          <w:rFonts w:hint="eastAsia" w:ascii="Times New Roman" w:hAnsi="Times New Roman" w:eastAsia="方正仿宋_GBK"/>
          <w:sz w:val="32"/>
          <w:szCs w:val="32"/>
        </w:rPr>
        <w:t>增长3.3</w:t>
      </w:r>
      <w:r>
        <w:rPr>
          <w:rFonts w:ascii="Times New Roman" w:hAnsi="Times New Roman" w:eastAsia="方正仿宋_GBK"/>
          <w:sz w:val="32"/>
          <w:szCs w:val="32"/>
        </w:rPr>
        <w:t>%。主要用于：</w:t>
      </w:r>
      <w:r>
        <w:rPr>
          <w:rFonts w:hint="eastAsia" w:ascii="Times New Roman" w:hAnsi="Times New Roman" w:eastAsia="方正仿宋_GBK"/>
          <w:sz w:val="32"/>
          <w:szCs w:val="32"/>
        </w:rPr>
        <w:t>卫生医保系统人员及公用经费2.6亿元、机关事业单位人员医疗保险费及财政对城乡居民基本医疗保险基金的补助1.9亿元、疾病预防及公共卫生服务支出2.1亿元、医疗救助及优抚对象医疗5710万元、计生惠民支出3897万元等。</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——节能环保方面支出安排1.</w:t>
      </w:r>
      <w:r>
        <w:rPr>
          <w:rFonts w:hint="eastAsia" w:ascii="Times New Roman" w:hAnsi="Times New Roman" w:eastAsia="方正仿宋_GBK"/>
          <w:sz w:val="32"/>
          <w:szCs w:val="32"/>
        </w:rPr>
        <w:t>3</w:t>
      </w:r>
      <w:r>
        <w:rPr>
          <w:rFonts w:ascii="Times New Roman" w:hAnsi="Times New Roman" w:eastAsia="方正仿宋_GBK"/>
          <w:sz w:val="32"/>
          <w:szCs w:val="32"/>
        </w:rPr>
        <w:t>亿元，下降</w:t>
      </w:r>
      <w:r>
        <w:rPr>
          <w:rFonts w:hint="eastAsia" w:ascii="Times New Roman" w:hAnsi="Times New Roman" w:eastAsia="方正仿宋_GBK"/>
          <w:sz w:val="32"/>
          <w:szCs w:val="32"/>
        </w:rPr>
        <w:t>31.3</w:t>
      </w:r>
      <w:r>
        <w:rPr>
          <w:rFonts w:ascii="Times New Roman" w:hAnsi="Times New Roman" w:eastAsia="方正仿宋_GBK"/>
          <w:sz w:val="32"/>
          <w:szCs w:val="32"/>
        </w:rPr>
        <w:t>%。主要用于：</w:t>
      </w:r>
      <w:r>
        <w:rPr>
          <w:rFonts w:hint="eastAsia" w:ascii="Times New Roman" w:hAnsi="Times New Roman" w:eastAsia="方正仿宋_GBK"/>
          <w:sz w:val="32"/>
          <w:szCs w:val="32"/>
        </w:rPr>
        <w:t>环保系统人员及公用经费1800万元、污染防治资金1517万元、污水处理相关经费1486万元、农村环境保洁经费1362万元、农村垃圾清运及清扫经费382万元等。</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——城乡社区方面支出安排7.</w:t>
      </w:r>
      <w:r>
        <w:rPr>
          <w:rFonts w:hint="eastAsia" w:ascii="Times New Roman" w:hAnsi="Times New Roman" w:eastAsia="方正仿宋_GBK"/>
          <w:sz w:val="32"/>
          <w:szCs w:val="32"/>
        </w:rPr>
        <w:t>3</w:t>
      </w:r>
      <w:r>
        <w:rPr>
          <w:rFonts w:ascii="Times New Roman" w:hAnsi="Times New Roman" w:eastAsia="方正仿宋_GBK"/>
          <w:sz w:val="32"/>
          <w:szCs w:val="32"/>
        </w:rPr>
        <w:t>亿元，下降</w:t>
      </w:r>
      <w:r>
        <w:rPr>
          <w:rFonts w:hint="eastAsia" w:ascii="Times New Roman" w:hAnsi="Times New Roman" w:eastAsia="方正仿宋_GBK"/>
          <w:sz w:val="32"/>
          <w:szCs w:val="32"/>
        </w:rPr>
        <w:t>26.2</w:t>
      </w:r>
      <w:r>
        <w:rPr>
          <w:rFonts w:ascii="Times New Roman" w:hAnsi="Times New Roman" w:eastAsia="方正仿宋_GBK"/>
          <w:sz w:val="32"/>
          <w:szCs w:val="32"/>
        </w:rPr>
        <w:t>%。主要用于：城乡社区系统人员及公用经费</w:t>
      </w:r>
      <w:r>
        <w:rPr>
          <w:rFonts w:hint="eastAsia" w:ascii="Times New Roman" w:hAnsi="Times New Roman" w:eastAsia="方正仿宋_GBK"/>
          <w:sz w:val="32"/>
          <w:szCs w:val="32"/>
        </w:rPr>
        <w:t>1.86亿元、</w:t>
      </w:r>
      <w:r>
        <w:rPr>
          <w:rFonts w:ascii="Times New Roman" w:hAnsi="Times New Roman" w:eastAsia="方正仿宋_GBK"/>
          <w:sz w:val="32"/>
          <w:szCs w:val="32"/>
        </w:rPr>
        <w:t>环卫工人工资2.7亿元、老旧小区改造资金6889万元、城镇保障性安居工程3220万元等。</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——农林水方面支出安排4.5亿元，下降</w:t>
      </w:r>
      <w:r>
        <w:rPr>
          <w:rFonts w:hint="eastAsia" w:ascii="Times New Roman" w:hAnsi="Times New Roman" w:eastAsia="方正仿宋_GBK"/>
          <w:sz w:val="32"/>
          <w:szCs w:val="32"/>
        </w:rPr>
        <w:t>20</w:t>
      </w:r>
      <w:r>
        <w:rPr>
          <w:rFonts w:ascii="Times New Roman" w:hAnsi="Times New Roman" w:eastAsia="方正仿宋_GBK"/>
          <w:sz w:val="32"/>
          <w:szCs w:val="32"/>
        </w:rPr>
        <w:t>%。主要用于：</w:t>
      </w:r>
      <w:r>
        <w:rPr>
          <w:rFonts w:hint="eastAsia" w:ascii="Times New Roman" w:hAnsi="Times New Roman" w:eastAsia="方正仿宋_GBK"/>
          <w:sz w:val="32"/>
          <w:szCs w:val="32"/>
        </w:rPr>
        <w:t>农林水系统</w:t>
      </w:r>
      <w:r>
        <w:rPr>
          <w:rFonts w:ascii="Times New Roman" w:hAnsi="Times New Roman" w:eastAsia="方正仿宋_GBK"/>
          <w:sz w:val="32"/>
          <w:szCs w:val="32"/>
        </w:rPr>
        <w:t>人员及公用经费</w:t>
      </w:r>
      <w:r>
        <w:rPr>
          <w:rFonts w:hint="eastAsia" w:ascii="Times New Roman" w:hAnsi="Times New Roman" w:eastAsia="方正仿宋_GBK"/>
          <w:sz w:val="32"/>
          <w:szCs w:val="32"/>
        </w:rPr>
        <w:t>1.06亿元、农业生产发展6077万元、农田建设5308万元、森林资源培育4415万元、村级公益事业建设补助3141万元、农村水利工程运行与水库维修维护2740万元、</w:t>
      </w:r>
      <w:r>
        <w:rPr>
          <w:rFonts w:hint="eastAsia" w:ascii="Times New Roman" w:hAnsi="Times New Roman" w:eastAsia="方正仿宋_GBK"/>
          <w:sz w:val="32"/>
          <w:szCs w:val="32"/>
          <w:lang w:eastAsia="zh-CN"/>
        </w:rPr>
        <w:t>巩固拓展脱贫攻坚成果同乡村振兴有效衔接</w:t>
      </w:r>
      <w:r>
        <w:rPr>
          <w:rFonts w:hint="eastAsia" w:ascii="Times New Roman" w:hAnsi="Times New Roman" w:eastAsia="方正仿宋_GBK"/>
          <w:sz w:val="32"/>
          <w:szCs w:val="32"/>
        </w:rPr>
        <w:t>资金2730万元、水土保持1621万元等。</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——交通运输方面支出安排</w:t>
      </w:r>
      <w:r>
        <w:rPr>
          <w:rFonts w:hint="eastAsia" w:ascii="Times New Roman" w:hAnsi="Times New Roman" w:eastAsia="方正仿宋_GBK"/>
          <w:sz w:val="32"/>
          <w:szCs w:val="32"/>
        </w:rPr>
        <w:t>3.3</w:t>
      </w:r>
      <w:r>
        <w:rPr>
          <w:rFonts w:ascii="Times New Roman" w:hAnsi="Times New Roman" w:eastAsia="方正仿宋_GBK"/>
          <w:sz w:val="32"/>
          <w:szCs w:val="32"/>
        </w:rPr>
        <w:t>亿元，</w:t>
      </w:r>
      <w:r>
        <w:rPr>
          <w:rFonts w:hint="eastAsia" w:ascii="Times New Roman" w:hAnsi="Times New Roman" w:eastAsia="方正仿宋_GBK"/>
          <w:sz w:val="32"/>
          <w:szCs w:val="32"/>
        </w:rPr>
        <w:t>增长18.3</w:t>
      </w:r>
      <w:r>
        <w:rPr>
          <w:rFonts w:ascii="Times New Roman" w:hAnsi="Times New Roman" w:eastAsia="方正仿宋_GBK"/>
          <w:sz w:val="32"/>
          <w:szCs w:val="32"/>
        </w:rPr>
        <w:t>%。主要用于：交通运输系统人员及公用经费</w:t>
      </w:r>
      <w:r>
        <w:rPr>
          <w:rFonts w:hint="eastAsia" w:ascii="Times New Roman" w:hAnsi="Times New Roman" w:eastAsia="方正仿宋_GBK"/>
          <w:sz w:val="32"/>
          <w:szCs w:val="32"/>
        </w:rPr>
        <w:t>3797万元、公路建设及养护资金7421万元、农村客运及公交补贴4191万元、</w:t>
      </w:r>
      <w:r>
        <w:rPr>
          <w:rFonts w:ascii="Times New Roman" w:hAnsi="Times New Roman" w:eastAsia="方正仿宋_GBK"/>
          <w:sz w:val="32"/>
          <w:szCs w:val="32"/>
        </w:rPr>
        <w:t>车辆购置税</w:t>
      </w:r>
      <w:r>
        <w:rPr>
          <w:rFonts w:hint="eastAsia" w:ascii="Times New Roman" w:hAnsi="Times New Roman" w:eastAsia="方正仿宋_GBK"/>
          <w:sz w:val="32"/>
          <w:szCs w:val="32"/>
        </w:rPr>
        <w:t>2210万元</w:t>
      </w:r>
      <w:r>
        <w:rPr>
          <w:rFonts w:ascii="Times New Roman" w:hAnsi="Times New Roman" w:eastAsia="方正仿宋_GBK"/>
          <w:sz w:val="32"/>
          <w:szCs w:val="32"/>
        </w:rPr>
        <w:t>等。</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——资源勘探工业信息、商业服务业、金融、粮油物资储备</w:t>
      </w:r>
      <w:r>
        <w:rPr>
          <w:rFonts w:hint="eastAsia" w:ascii="Times New Roman" w:hAnsi="Times New Roman" w:eastAsia="方正仿宋_GBK"/>
          <w:sz w:val="32"/>
          <w:szCs w:val="32"/>
        </w:rPr>
        <w:t>支出</w:t>
      </w:r>
      <w:r>
        <w:rPr>
          <w:rFonts w:ascii="Times New Roman" w:hAnsi="Times New Roman" w:eastAsia="方正仿宋_GBK"/>
          <w:sz w:val="32"/>
          <w:szCs w:val="32"/>
        </w:rPr>
        <w:t>安排2亿元，下降</w:t>
      </w:r>
      <w:r>
        <w:rPr>
          <w:rFonts w:hint="eastAsia" w:ascii="Times New Roman" w:hAnsi="Times New Roman" w:eastAsia="方正仿宋_GBK"/>
          <w:sz w:val="32"/>
          <w:szCs w:val="32"/>
        </w:rPr>
        <w:t>58.7</w:t>
      </w:r>
      <w:r>
        <w:rPr>
          <w:rFonts w:ascii="Times New Roman" w:hAnsi="Times New Roman" w:eastAsia="方正仿宋_GBK"/>
          <w:sz w:val="32"/>
          <w:szCs w:val="32"/>
        </w:rPr>
        <w:t>%。主要用于：工业和信息发展专项资金</w:t>
      </w:r>
      <w:r>
        <w:rPr>
          <w:rFonts w:hint="eastAsia" w:ascii="Times New Roman" w:hAnsi="Times New Roman" w:eastAsia="方正仿宋_GBK"/>
          <w:sz w:val="32"/>
          <w:szCs w:val="32"/>
        </w:rPr>
        <w:t>6120</w:t>
      </w:r>
      <w:r>
        <w:rPr>
          <w:rFonts w:ascii="Times New Roman" w:hAnsi="Times New Roman" w:eastAsia="方正仿宋_GBK"/>
          <w:sz w:val="32"/>
          <w:szCs w:val="32"/>
        </w:rPr>
        <w:t>万元、商务发展产业资金</w:t>
      </w:r>
      <w:r>
        <w:rPr>
          <w:rFonts w:hint="eastAsia" w:ascii="Times New Roman" w:hAnsi="Times New Roman" w:eastAsia="方正仿宋_GBK"/>
          <w:sz w:val="32"/>
          <w:szCs w:val="32"/>
        </w:rPr>
        <w:t>2567</w:t>
      </w:r>
      <w:r>
        <w:rPr>
          <w:rFonts w:ascii="Times New Roman" w:hAnsi="Times New Roman" w:eastAsia="方正仿宋_GBK"/>
          <w:sz w:val="32"/>
          <w:szCs w:val="32"/>
        </w:rPr>
        <w:t>万元、区级储备粮费用补贴2283万元、中小微企业发展专项资金1600万元等。</w:t>
      </w:r>
    </w:p>
    <w:p>
      <w:pPr>
        <w:spacing w:line="560" w:lineRule="exact"/>
        <w:ind w:firstLine="640" w:firstLineChars="200"/>
        <w:rPr>
          <w:rFonts w:ascii="Times New Roman" w:hAnsi="Times New Roman" w:eastAsia="方正楷体_GBK"/>
          <w:sz w:val="32"/>
          <w:szCs w:val="32"/>
        </w:rPr>
      </w:pPr>
      <w:r>
        <w:rPr>
          <w:rFonts w:ascii="Times New Roman" w:hAnsi="Times New Roman" w:eastAsia="方正楷体_GBK"/>
          <w:sz w:val="32"/>
          <w:szCs w:val="32"/>
        </w:rPr>
        <w:t>（二）政府性基金预算草案</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1</w:t>
      </w:r>
      <w:r>
        <w:rPr>
          <w:rFonts w:hint="eastAsia" w:ascii="Times New Roman" w:hAnsi="Times New Roman" w:eastAsia="方正仿宋_GBK"/>
          <w:sz w:val="32"/>
          <w:szCs w:val="32"/>
        </w:rPr>
        <w:t>．</w:t>
      </w:r>
      <w:r>
        <w:rPr>
          <w:rFonts w:ascii="Times New Roman" w:hAnsi="Times New Roman" w:eastAsia="方正仿宋_GBK"/>
          <w:sz w:val="32"/>
          <w:szCs w:val="32"/>
        </w:rPr>
        <w:t>全区政府性基金预算</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——全区政府性基金预算收入预计72.</w:t>
      </w:r>
      <w:r>
        <w:rPr>
          <w:rFonts w:hint="eastAsia" w:ascii="Times New Roman" w:hAnsi="Times New Roman" w:eastAsia="方正仿宋_GBK"/>
          <w:sz w:val="32"/>
          <w:szCs w:val="32"/>
        </w:rPr>
        <w:t>5</w:t>
      </w:r>
      <w:r>
        <w:rPr>
          <w:rFonts w:ascii="Times New Roman" w:hAnsi="Times New Roman" w:eastAsia="方正仿宋_GBK"/>
          <w:sz w:val="32"/>
          <w:szCs w:val="32"/>
        </w:rPr>
        <w:t>亿元，其中：本级收入500万元、上级补助收入42.1亿元、上年结转15.7亿元、债务转贷收入14.7亿元。</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——全区政府性基金预算支出安排72.</w:t>
      </w:r>
      <w:r>
        <w:rPr>
          <w:rFonts w:hint="eastAsia" w:ascii="Times New Roman" w:hAnsi="Times New Roman" w:eastAsia="方正仿宋_GBK"/>
          <w:sz w:val="32"/>
          <w:szCs w:val="32"/>
        </w:rPr>
        <w:t>5</w:t>
      </w:r>
      <w:r>
        <w:rPr>
          <w:rFonts w:ascii="Times New Roman" w:hAnsi="Times New Roman" w:eastAsia="方正仿宋_GBK"/>
          <w:sz w:val="32"/>
          <w:szCs w:val="32"/>
        </w:rPr>
        <w:t>亿元。其中：本级支出</w:t>
      </w:r>
      <w:r>
        <w:rPr>
          <w:rFonts w:hint="eastAsia" w:ascii="Times New Roman" w:hAnsi="Times New Roman" w:eastAsia="方正仿宋_GBK"/>
          <w:sz w:val="32"/>
          <w:szCs w:val="32"/>
        </w:rPr>
        <w:t>44.9</w:t>
      </w:r>
      <w:r>
        <w:rPr>
          <w:rFonts w:ascii="Times New Roman" w:hAnsi="Times New Roman" w:eastAsia="方正仿宋_GBK"/>
          <w:sz w:val="32"/>
          <w:szCs w:val="32"/>
        </w:rPr>
        <w:t>亿元、调出资金</w:t>
      </w:r>
      <w:r>
        <w:rPr>
          <w:rFonts w:hint="eastAsia" w:ascii="Times New Roman" w:hAnsi="Times New Roman" w:eastAsia="方正仿宋_GBK"/>
          <w:sz w:val="32"/>
          <w:szCs w:val="32"/>
        </w:rPr>
        <w:t>12.6</w:t>
      </w:r>
      <w:r>
        <w:rPr>
          <w:rFonts w:ascii="Times New Roman" w:hAnsi="Times New Roman" w:eastAsia="方正仿宋_GBK"/>
          <w:sz w:val="32"/>
          <w:szCs w:val="32"/>
        </w:rPr>
        <w:t>亿元、债务还本支出15亿元。</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2</w:t>
      </w:r>
      <w:r>
        <w:rPr>
          <w:rFonts w:hint="eastAsia" w:ascii="Times New Roman" w:hAnsi="Times New Roman" w:eastAsia="方正仿宋_GBK"/>
          <w:sz w:val="32"/>
          <w:szCs w:val="32"/>
        </w:rPr>
        <w:t>．</w:t>
      </w:r>
      <w:r>
        <w:rPr>
          <w:rFonts w:ascii="Times New Roman" w:hAnsi="Times New Roman" w:eastAsia="方正仿宋_GBK"/>
          <w:sz w:val="32"/>
          <w:szCs w:val="32"/>
        </w:rPr>
        <w:t>区本级政府性基金预算</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——区本级政府性基金预算收入预计71.7亿元，其中：本级收入500万元、上级补助收入42.1亿元、上年结转14.9亿元、债务转贷收入14.7亿元。</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——区本级政府性基金预算支出安排71.7亿元，其中：本级支出</w:t>
      </w:r>
      <w:r>
        <w:rPr>
          <w:rFonts w:hint="eastAsia" w:ascii="Times New Roman" w:hAnsi="Times New Roman" w:eastAsia="方正仿宋_GBK"/>
          <w:sz w:val="32"/>
          <w:szCs w:val="32"/>
        </w:rPr>
        <w:t>44.1</w:t>
      </w:r>
      <w:r>
        <w:rPr>
          <w:rFonts w:ascii="Times New Roman" w:hAnsi="Times New Roman" w:eastAsia="方正仿宋_GBK"/>
          <w:sz w:val="32"/>
          <w:szCs w:val="32"/>
        </w:rPr>
        <w:t>亿元，调出资金</w:t>
      </w:r>
      <w:r>
        <w:rPr>
          <w:rFonts w:hint="eastAsia" w:ascii="Times New Roman" w:hAnsi="Times New Roman" w:eastAsia="方正仿宋_GBK"/>
          <w:sz w:val="32"/>
          <w:szCs w:val="32"/>
        </w:rPr>
        <w:t>12.6</w:t>
      </w:r>
      <w:r>
        <w:rPr>
          <w:rFonts w:ascii="Times New Roman" w:hAnsi="Times New Roman" w:eastAsia="方正仿宋_GBK"/>
          <w:sz w:val="32"/>
          <w:szCs w:val="32"/>
        </w:rPr>
        <w:t>亿元、债务还本15亿元。</w:t>
      </w:r>
    </w:p>
    <w:p>
      <w:pPr>
        <w:spacing w:line="560" w:lineRule="exact"/>
        <w:ind w:firstLine="640" w:firstLineChars="200"/>
        <w:rPr>
          <w:rFonts w:ascii="Times New Roman" w:hAnsi="Times New Roman" w:eastAsia="方正楷体_GBK"/>
          <w:sz w:val="32"/>
          <w:szCs w:val="32"/>
        </w:rPr>
      </w:pPr>
      <w:r>
        <w:rPr>
          <w:rFonts w:ascii="Times New Roman" w:hAnsi="Times New Roman" w:eastAsia="方正楷体_GBK"/>
          <w:sz w:val="32"/>
          <w:szCs w:val="32"/>
        </w:rPr>
        <w:t>（三）国有资本经营预算草案</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1</w:t>
      </w:r>
      <w:r>
        <w:rPr>
          <w:rFonts w:hint="eastAsia" w:ascii="Times New Roman" w:hAnsi="Times New Roman" w:eastAsia="方正仿宋_GBK"/>
          <w:sz w:val="32"/>
          <w:szCs w:val="32"/>
        </w:rPr>
        <w:t>．</w:t>
      </w:r>
      <w:r>
        <w:rPr>
          <w:rFonts w:ascii="Times New Roman" w:hAnsi="Times New Roman" w:eastAsia="方正仿宋_GBK"/>
          <w:sz w:val="32"/>
          <w:szCs w:val="32"/>
        </w:rPr>
        <w:t>全区国有资本经营预算</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——全区国有资本经营预算收入预计2000万元，其中：本级收入2000万元。</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——全区国有资本经营预算支出安排2000万元，其中：调出资金2000万元</w:t>
      </w:r>
      <w:r>
        <w:rPr>
          <w:rFonts w:hint="eastAsia" w:ascii="Times New Roman" w:hAnsi="Times New Roman" w:eastAsia="方正仿宋_GBK"/>
          <w:sz w:val="32"/>
          <w:szCs w:val="32"/>
        </w:rPr>
        <w:t>到</w:t>
      </w:r>
      <w:r>
        <w:rPr>
          <w:rFonts w:ascii="Times New Roman" w:hAnsi="Times New Roman" w:eastAsia="方正仿宋_GBK"/>
          <w:sz w:val="32"/>
          <w:szCs w:val="32"/>
        </w:rPr>
        <w:t>一般公共预算。</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2</w:t>
      </w:r>
      <w:r>
        <w:rPr>
          <w:rFonts w:hint="eastAsia" w:ascii="Times New Roman" w:hAnsi="Times New Roman" w:eastAsia="方正仿宋_GBK"/>
          <w:sz w:val="32"/>
          <w:szCs w:val="32"/>
        </w:rPr>
        <w:t>．</w:t>
      </w:r>
      <w:r>
        <w:rPr>
          <w:rFonts w:ascii="Times New Roman" w:hAnsi="Times New Roman" w:eastAsia="方正仿宋_GBK"/>
          <w:sz w:val="32"/>
          <w:szCs w:val="32"/>
        </w:rPr>
        <w:t>区本级国有资本经营预算</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——区本级国有资本经营预算收入预计2000万元，其中：本级收入2000万元。</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——区本级国有资本经营预算支出安排2000万元，其中：调出资金2000万元</w:t>
      </w:r>
      <w:r>
        <w:rPr>
          <w:rFonts w:hint="eastAsia" w:ascii="Times New Roman" w:hAnsi="Times New Roman" w:eastAsia="方正仿宋_GBK"/>
          <w:sz w:val="32"/>
          <w:szCs w:val="32"/>
        </w:rPr>
        <w:t>到</w:t>
      </w:r>
      <w:r>
        <w:rPr>
          <w:rFonts w:ascii="Times New Roman" w:hAnsi="Times New Roman" w:eastAsia="方正仿宋_GBK"/>
          <w:sz w:val="32"/>
          <w:szCs w:val="32"/>
        </w:rPr>
        <w:t>一般公共预算。</w:t>
      </w:r>
    </w:p>
    <w:p>
      <w:pPr>
        <w:spacing w:line="560" w:lineRule="exact"/>
        <w:ind w:firstLine="640" w:firstLineChars="200"/>
        <w:rPr>
          <w:rFonts w:ascii="Times New Roman" w:hAnsi="Times New Roman" w:eastAsia="方正楷体_GBK"/>
          <w:sz w:val="32"/>
          <w:szCs w:val="32"/>
        </w:rPr>
      </w:pPr>
      <w:r>
        <w:rPr>
          <w:rFonts w:ascii="Times New Roman" w:hAnsi="Times New Roman" w:eastAsia="方正楷体_GBK"/>
          <w:sz w:val="32"/>
          <w:szCs w:val="32"/>
        </w:rPr>
        <w:t>（四）其他事项</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1</w:t>
      </w:r>
      <w:r>
        <w:rPr>
          <w:rFonts w:hint="eastAsia" w:ascii="Times New Roman" w:hAnsi="Times New Roman" w:eastAsia="方正仿宋_GBK"/>
          <w:sz w:val="32"/>
          <w:szCs w:val="32"/>
        </w:rPr>
        <w:t>．</w:t>
      </w:r>
      <w:r>
        <w:rPr>
          <w:rFonts w:ascii="Times New Roman" w:hAnsi="Times New Roman" w:eastAsia="方正仿宋_GBK"/>
          <w:sz w:val="32"/>
          <w:szCs w:val="32"/>
        </w:rPr>
        <w:t>转移性收支情况。市对区补助收入70.3亿元，其中返还性收入7.9亿元，占11.2%；一般性转移支付</w:t>
      </w:r>
      <w:r>
        <w:rPr>
          <w:rFonts w:hint="eastAsia" w:ascii="Times New Roman" w:hAnsi="Times New Roman" w:eastAsia="方正仿宋_GBK"/>
          <w:sz w:val="32"/>
          <w:szCs w:val="32"/>
        </w:rPr>
        <w:t>收入</w:t>
      </w:r>
      <w:r>
        <w:rPr>
          <w:rFonts w:ascii="Times New Roman" w:hAnsi="Times New Roman" w:eastAsia="方正仿宋_GBK"/>
          <w:sz w:val="32"/>
          <w:szCs w:val="32"/>
        </w:rPr>
        <w:t>18.7亿元，占26.6%；专项转移支付</w:t>
      </w:r>
      <w:r>
        <w:rPr>
          <w:rFonts w:hint="eastAsia" w:ascii="Times New Roman" w:hAnsi="Times New Roman" w:eastAsia="方正仿宋_GBK"/>
          <w:sz w:val="32"/>
          <w:szCs w:val="32"/>
        </w:rPr>
        <w:t>收入</w:t>
      </w:r>
      <w:r>
        <w:rPr>
          <w:rFonts w:ascii="Times New Roman" w:hAnsi="Times New Roman" w:eastAsia="方正仿宋_GBK"/>
          <w:sz w:val="32"/>
          <w:szCs w:val="32"/>
        </w:rPr>
        <w:t>43.8亿元，占62.3%。区对镇补助支出8.2亿元，其中：一般性转移支付</w:t>
      </w:r>
      <w:r>
        <w:rPr>
          <w:rFonts w:hint="eastAsia" w:ascii="Times New Roman" w:hAnsi="Times New Roman" w:eastAsia="方正仿宋_GBK"/>
          <w:sz w:val="32"/>
          <w:szCs w:val="32"/>
        </w:rPr>
        <w:t>收入</w:t>
      </w:r>
      <w:r>
        <w:rPr>
          <w:rFonts w:ascii="Times New Roman" w:hAnsi="Times New Roman" w:eastAsia="方正仿宋_GBK"/>
          <w:sz w:val="32"/>
          <w:szCs w:val="32"/>
        </w:rPr>
        <w:t>6.5亿元，占79.3%；专项转移支付</w:t>
      </w:r>
      <w:r>
        <w:rPr>
          <w:rFonts w:hint="eastAsia" w:ascii="Times New Roman" w:hAnsi="Times New Roman" w:eastAsia="方正仿宋_GBK"/>
          <w:sz w:val="32"/>
          <w:szCs w:val="32"/>
        </w:rPr>
        <w:t>收入</w:t>
      </w:r>
      <w:r>
        <w:rPr>
          <w:rFonts w:ascii="Times New Roman" w:hAnsi="Times New Roman" w:eastAsia="方正仿宋_GBK"/>
          <w:sz w:val="32"/>
          <w:szCs w:val="32"/>
        </w:rPr>
        <w:t>1.7亿元，占20.7%。</w:t>
      </w:r>
    </w:p>
    <w:p>
      <w:pPr>
        <w:spacing w:line="560" w:lineRule="exact"/>
        <w:ind w:firstLine="640" w:firstLineChars="200"/>
        <w:rPr>
          <w:rFonts w:ascii="Times New Roman" w:hAnsi="Times New Roman" w:eastAsia="方正仿宋_GBK"/>
          <w:sz w:val="32"/>
          <w:szCs w:val="32"/>
          <w:lang w:val="zh-CN"/>
        </w:rPr>
      </w:pPr>
      <w:r>
        <w:rPr>
          <w:rFonts w:ascii="Times New Roman" w:hAnsi="Times New Roman" w:eastAsia="方正仿宋_GBK"/>
          <w:sz w:val="32"/>
          <w:szCs w:val="32"/>
          <w:lang w:val="zh-CN"/>
        </w:rPr>
        <w:t>2</w:t>
      </w:r>
      <w:r>
        <w:rPr>
          <w:rFonts w:hint="eastAsia" w:ascii="Times New Roman" w:hAnsi="Times New Roman" w:eastAsia="方正仿宋_GBK"/>
          <w:sz w:val="32"/>
          <w:szCs w:val="32"/>
        </w:rPr>
        <w:t>．</w:t>
      </w:r>
      <w:r>
        <w:rPr>
          <w:rFonts w:ascii="Times New Roman" w:hAnsi="Times New Roman" w:eastAsia="方正仿宋_GBK"/>
          <w:sz w:val="32"/>
          <w:szCs w:val="32"/>
          <w:lang w:val="zh-CN"/>
        </w:rPr>
        <w:t>“三公”经费情况。</w:t>
      </w:r>
      <w:r>
        <w:rPr>
          <w:rFonts w:hint="eastAsia" w:ascii="Times New Roman" w:hAnsi="Times New Roman" w:eastAsia="方正仿宋_GBK"/>
          <w:sz w:val="32"/>
          <w:szCs w:val="32"/>
          <w:lang w:val="zh-CN"/>
        </w:rPr>
        <w:t>全区“三公”经费预算7599.5万元，比上年预算减少7.3万元，实现“零增长”。一是因公出国（境）经费预算200万元，与上年预算一致，各单位按出国（境）程序审批后予以清算支出。二是公务接待费预算521.5万元，比上年预算减少187.2万元，各部门主动厉行节约，从严控制公务接待费。三是公务用车购置及运行维护费预算6878万元，比上年预算增加180万元。其中：公务用车购置费预算600万元，比上年预算减少364万元；公务用车运行维护费预算6278万元，比上年预算增加544万元。</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lang w:val="zh-CN"/>
        </w:rPr>
        <w:t>各位代表！唯有矢志不渝、笃行不怠，方能不负时代、不负人民，在向第二个百年奋斗目标进军伊始的关键时期，做好2023年的财政工作是非常艰巨而光荣的。渝北财政工作将坚持以习近平新时代中国特色社会主义思想为指导，在区委的坚强领导下，主动接受区人大的监督指导，充分吸取区政协的意见建议，以更加奋发向上的姿态，干在实处、走在前列、勇立潮头，扎扎实实做好财政各项工作，</w:t>
      </w:r>
      <w:r>
        <w:rPr>
          <w:rFonts w:ascii="Times New Roman" w:hAnsi="Times New Roman" w:eastAsia="方正仿宋_GBK"/>
          <w:sz w:val="32"/>
          <w:szCs w:val="32"/>
        </w:rPr>
        <w:t>为谱写渝北高质量发展新篇章不懈奋斗！</w:t>
      </w:r>
    </w:p>
    <w:p>
      <w:pPr>
        <w:spacing w:line="560" w:lineRule="exact"/>
        <w:rPr>
          <w:rFonts w:ascii="Times New Roman" w:hAnsi="Times New Roman" w:eastAsia="方正仿宋_GBK"/>
          <w:sz w:val="32"/>
          <w:szCs w:val="32"/>
        </w:rPr>
      </w:pPr>
    </w:p>
    <w:p>
      <w:pPr>
        <w:spacing w:line="560" w:lineRule="exact"/>
        <w:rPr>
          <w:rFonts w:ascii="Times New Roman" w:hAnsi="Times New Roman" w:eastAsia="方正仿宋_GBK"/>
          <w:color w:val="000000"/>
          <w:sz w:val="32"/>
          <w:szCs w:val="32"/>
        </w:rPr>
      </w:pPr>
    </w:p>
    <w:p>
      <w:pPr>
        <w:spacing w:line="560" w:lineRule="exact"/>
        <w:jc w:val="center"/>
        <w:rPr>
          <w:rFonts w:ascii="Times New Roman" w:hAnsi="Times New Roman" w:eastAsia="方正小标宋_GBK"/>
          <w:sz w:val="44"/>
          <w:szCs w:val="44"/>
        </w:rPr>
      </w:pPr>
      <w:r>
        <w:rPr>
          <w:rFonts w:ascii="Times New Roman" w:hAnsi="Times New Roman" w:eastAsia="方正小标宋_GBK"/>
          <w:sz w:val="44"/>
          <w:szCs w:val="44"/>
        </w:rPr>
        <w:br w:type="page"/>
      </w:r>
      <w:r>
        <w:rPr>
          <w:rFonts w:ascii="Times New Roman" w:hAnsi="Times New Roman" w:eastAsia="方正小标宋_GBK"/>
          <w:sz w:val="44"/>
          <w:szCs w:val="44"/>
        </w:rPr>
        <w:t>名  词  解  释</w:t>
      </w:r>
    </w:p>
    <w:p>
      <w:pPr>
        <w:spacing w:line="560" w:lineRule="exact"/>
        <w:ind w:firstLine="640" w:firstLineChars="200"/>
        <w:rPr>
          <w:rFonts w:ascii="Times New Roman" w:hAnsi="Times New Roman" w:eastAsia="方正仿宋_GBK"/>
          <w:sz w:val="32"/>
          <w:szCs w:val="32"/>
        </w:rPr>
      </w:pPr>
    </w:p>
    <w:p>
      <w:pPr>
        <w:spacing w:line="560" w:lineRule="exact"/>
        <w:ind w:firstLine="640" w:firstLineChars="200"/>
        <w:rPr>
          <w:rFonts w:ascii="Times New Roman" w:hAnsi="Times New Roman" w:eastAsia="方正仿宋_GBK"/>
          <w:sz w:val="32"/>
          <w:szCs w:val="32"/>
        </w:rPr>
      </w:pPr>
      <w:r>
        <w:rPr>
          <w:rFonts w:ascii="Times New Roman" w:hAnsi="Times New Roman" w:eastAsia="方正黑体_GBK"/>
          <w:sz w:val="32"/>
          <w:szCs w:val="32"/>
        </w:rPr>
        <w:t>一般公共预算：</w:t>
      </w:r>
      <w:r>
        <w:rPr>
          <w:rFonts w:ascii="Times New Roman" w:hAnsi="Times New Roman" w:eastAsia="方正仿宋_GBK"/>
          <w:sz w:val="32"/>
          <w:szCs w:val="32"/>
        </w:rPr>
        <w:t>以税收为主体的财政收入，安排用于保障和改善民生、推动经济社会发展、维护国家安全、维持国家机构正常运转等方面的收支预算。</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黑体_GBK"/>
          <w:sz w:val="32"/>
          <w:szCs w:val="32"/>
        </w:rPr>
        <w:t>政府性基金预算：</w:t>
      </w:r>
      <w:r>
        <w:rPr>
          <w:rFonts w:ascii="Times New Roman" w:hAnsi="Times New Roman" w:eastAsia="方正仿宋_GBK"/>
          <w:sz w:val="32"/>
          <w:szCs w:val="32"/>
        </w:rPr>
        <w:t>政府通过向社会征收以及出让土地、发行彩票等方式取得收入，并专项用于支持特定基础设施建设和社会事业发展的财政收支预算。</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黑体_GBK"/>
          <w:sz w:val="32"/>
          <w:szCs w:val="32"/>
        </w:rPr>
        <w:t>国有资本经营预算：</w:t>
      </w:r>
      <w:r>
        <w:rPr>
          <w:rFonts w:ascii="Times New Roman" w:hAnsi="Times New Roman" w:eastAsia="方正仿宋_GBK"/>
          <w:sz w:val="32"/>
          <w:szCs w:val="32"/>
        </w:rPr>
        <w:t>政府以所有者身份对国有资本实行存量调整和增量分配而发生的各项收支预算。</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黑体_GBK"/>
          <w:sz w:val="32"/>
          <w:szCs w:val="32"/>
        </w:rPr>
        <w:t>非税收入：</w:t>
      </w:r>
      <w:r>
        <w:rPr>
          <w:rFonts w:ascii="Times New Roman" w:hAnsi="Times New Roman" w:eastAsia="方正仿宋_GBK"/>
          <w:sz w:val="32"/>
          <w:szCs w:val="32"/>
        </w:rPr>
        <w:t>除税收以外，由各级国家机关、事业单位、代行政府职能的社会团体及其他组织依法利用国家权力、国有资源（资产）所有者权益等取得的各项收入。主要包括行政事业性收费收入、罚没收入、以政府名义接受的捐赠收入等。</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黑体_GBK"/>
          <w:sz w:val="32"/>
          <w:szCs w:val="32"/>
        </w:rPr>
        <w:t>上级补助收入：</w:t>
      </w:r>
      <w:r>
        <w:rPr>
          <w:rFonts w:ascii="Times New Roman" w:hAnsi="Times New Roman" w:eastAsia="方正仿宋_GBK"/>
          <w:sz w:val="32"/>
          <w:szCs w:val="32"/>
        </w:rPr>
        <w:t>上级财政按照有关法律法规、财政体制和政策规定，给予下级财政的补助资金，主要包括返还性收入、一般性转移支付收入、专项转移支付收入。</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黑体_GBK"/>
          <w:sz w:val="32"/>
          <w:szCs w:val="32"/>
        </w:rPr>
        <w:t>上解支出：</w:t>
      </w:r>
      <w:r>
        <w:rPr>
          <w:rFonts w:ascii="Times New Roman" w:hAnsi="Times New Roman" w:eastAsia="方正仿宋_GBK"/>
          <w:sz w:val="32"/>
          <w:szCs w:val="32"/>
        </w:rPr>
        <w:t>下级财政按照有关法律法规、财政体制和政策规定，上解上级财政的支出，主要包括体制上解支出和专项上解支出。</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黑体_GBK"/>
          <w:sz w:val="32"/>
          <w:szCs w:val="32"/>
        </w:rPr>
        <w:t>预算稳定调节基金：</w:t>
      </w:r>
      <w:r>
        <w:rPr>
          <w:rFonts w:ascii="Times New Roman" w:hAnsi="Times New Roman" w:eastAsia="方正仿宋_GBK"/>
          <w:sz w:val="32"/>
          <w:szCs w:val="32"/>
        </w:rPr>
        <w:t>各级财政部门通过当年超收和结余资金安排，用于弥补短收年份预算执行的收支缺口，及视预算平衡情况，在年初预算时调入并安排使用的专用基金。</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黑体_GBK"/>
          <w:sz w:val="32"/>
          <w:szCs w:val="32"/>
        </w:rPr>
        <w:t>政府债务率：</w:t>
      </w:r>
      <w:r>
        <w:rPr>
          <w:rFonts w:ascii="Times New Roman" w:hAnsi="Times New Roman" w:eastAsia="方正仿宋_GBK"/>
          <w:sz w:val="32"/>
          <w:szCs w:val="32"/>
        </w:rPr>
        <w:t>地方政府债务余额/当年地方政府综合财力×100%。</w:t>
      </w:r>
    </w:p>
    <w:p>
      <w:pPr>
        <w:spacing w:line="560" w:lineRule="exact"/>
        <w:ind w:firstLine="640" w:firstLineChars="200"/>
        <w:rPr>
          <w:rFonts w:ascii="Times New Roman" w:hAnsi="Times New Roman"/>
        </w:rPr>
      </w:pPr>
      <w:r>
        <w:rPr>
          <w:rFonts w:ascii="Times New Roman" w:hAnsi="Times New Roman" w:eastAsia="方正黑体_GBK"/>
          <w:sz w:val="32"/>
          <w:szCs w:val="32"/>
        </w:rPr>
        <w:t>计算政府债务率的当年地方政府综合财力：</w:t>
      </w:r>
      <w:r>
        <w:rPr>
          <w:rFonts w:ascii="Times New Roman" w:hAnsi="Times New Roman" w:eastAsia="方正仿宋_GBK"/>
          <w:sz w:val="32"/>
          <w:szCs w:val="32"/>
        </w:rPr>
        <w:t>地方政府综合财力=一般公共预算财力+政府性基金预算财力；一般公共预算财力=一般公共预算本级收入+上级补助收入+调入预算稳定调节基金+调入资金+上年结转-上解上级支出-调出资金；政府性基金预算财力=政府性基金预算本级收入+上级补助收入+调入资金+上年结转-上解上级支出-调出资金；</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黑体_GBK"/>
          <w:sz w:val="32"/>
          <w:szCs w:val="32"/>
        </w:rPr>
        <w:t>债务转贷收入：</w:t>
      </w:r>
      <w:r>
        <w:rPr>
          <w:rFonts w:ascii="Times New Roman" w:hAnsi="Times New Roman" w:eastAsia="方正仿宋_GBK"/>
          <w:sz w:val="32"/>
          <w:szCs w:val="32"/>
        </w:rPr>
        <w:t>本级政府财政收到上级政府财政转贷的债务收入。</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黑体_GBK"/>
          <w:sz w:val="32"/>
          <w:szCs w:val="32"/>
        </w:rPr>
        <w:t>债务还本支出：</w:t>
      </w:r>
      <w:r>
        <w:rPr>
          <w:rFonts w:ascii="Times New Roman" w:hAnsi="Times New Roman" w:eastAsia="方正仿宋_GBK"/>
          <w:sz w:val="32"/>
          <w:szCs w:val="32"/>
        </w:rPr>
        <w:t>归还债务本金所发生的支出。</w:t>
      </w:r>
    </w:p>
    <w:p>
      <w:pPr>
        <w:autoSpaceDE w:val="0"/>
        <w:autoSpaceDN w:val="0"/>
        <w:adjustRightInd w:val="0"/>
        <w:spacing w:line="560" w:lineRule="exact"/>
        <w:ind w:firstLine="640" w:firstLineChars="200"/>
        <w:rPr>
          <w:rFonts w:ascii="Times New Roman" w:hAnsi="Times New Roman" w:eastAsia="方正黑体_GBK"/>
          <w:sz w:val="32"/>
          <w:szCs w:val="32"/>
        </w:rPr>
      </w:pPr>
      <w:r>
        <w:rPr>
          <w:rFonts w:ascii="Times New Roman" w:hAnsi="Times New Roman" w:eastAsia="方正黑体_GBK"/>
          <w:sz w:val="32"/>
          <w:szCs w:val="32"/>
        </w:rPr>
        <w:t>预算公开评审：</w:t>
      </w:r>
      <w:r>
        <w:rPr>
          <w:rFonts w:ascii="Times New Roman" w:hAnsi="Times New Roman" w:eastAsia="方正仿宋_GBK"/>
          <w:sz w:val="32"/>
          <w:szCs w:val="32"/>
        </w:rPr>
        <w:t>在部门预算编制过程中，财政部门邀请人大代表、政协委员和相关领域专家，对部门申报的支出项目进行评审论证、提出意见和建议的预算管理活动。</w:t>
      </w:r>
    </w:p>
    <w:p>
      <w:pPr>
        <w:spacing w:line="560" w:lineRule="exact"/>
        <w:ind w:firstLine="640" w:firstLineChars="200"/>
        <w:rPr>
          <w:rFonts w:ascii="Times New Roman" w:hAnsi="Times New Roman" w:eastAsia="方正仿宋_GBK"/>
          <w:sz w:val="32"/>
          <w:szCs w:val="32"/>
        </w:rPr>
      </w:pPr>
      <w:r>
        <w:rPr>
          <w:rFonts w:ascii="Times New Roman" w:hAnsi="Times New Roman" w:eastAsia="方正黑体_GBK"/>
          <w:sz w:val="32"/>
          <w:szCs w:val="32"/>
        </w:rPr>
        <w:t>预算绩效评价：</w:t>
      </w:r>
      <w:r>
        <w:rPr>
          <w:rFonts w:ascii="Times New Roman" w:hAnsi="Times New Roman" w:eastAsia="方正仿宋_GBK"/>
          <w:sz w:val="32"/>
          <w:szCs w:val="32"/>
        </w:rPr>
        <w:t>财政或预算单位根据设定的绩效目标，运用科学合理的评价指标与方法，对支出的经济效益、社会效益进行客观、公正的评价，以此来提高财政资源配置效率和使用效益。</w:t>
      </w:r>
    </w:p>
    <w:p>
      <w:pPr>
        <w:autoSpaceDE w:val="0"/>
        <w:autoSpaceDN w:val="0"/>
        <w:adjustRightInd w:val="0"/>
        <w:spacing w:line="560" w:lineRule="exact"/>
        <w:ind w:firstLine="643" w:firstLineChars="200"/>
        <w:rPr>
          <w:rFonts w:ascii="Times New Roman" w:hAnsi="Times New Roman" w:eastAsia="方正黑体_GBK"/>
          <w:b/>
          <w:sz w:val="32"/>
          <w:szCs w:val="32"/>
        </w:rPr>
      </w:pPr>
    </w:p>
    <w:p>
      <w:pPr>
        <w:autoSpaceDE w:val="0"/>
        <w:autoSpaceDN w:val="0"/>
        <w:adjustRightInd w:val="0"/>
        <w:spacing w:line="560" w:lineRule="exact"/>
        <w:ind w:firstLine="643" w:firstLineChars="200"/>
        <w:rPr>
          <w:rFonts w:ascii="Times New Roman" w:hAnsi="Times New Roman" w:eastAsia="方正黑体_GBK"/>
          <w:b/>
          <w:sz w:val="32"/>
          <w:szCs w:val="32"/>
        </w:rPr>
      </w:pPr>
    </w:p>
    <w:p>
      <w:pPr>
        <w:autoSpaceDE w:val="0"/>
        <w:autoSpaceDN w:val="0"/>
        <w:adjustRightInd w:val="0"/>
        <w:spacing w:line="560" w:lineRule="exact"/>
        <w:ind w:firstLine="643" w:firstLineChars="200"/>
        <w:rPr>
          <w:rFonts w:ascii="Times New Roman" w:hAnsi="Times New Roman" w:eastAsia="方正黑体_GBK"/>
          <w:b/>
          <w:sz w:val="32"/>
          <w:szCs w:val="32"/>
        </w:rPr>
      </w:pPr>
    </w:p>
    <w:p>
      <w:pPr>
        <w:rPr>
          <w:rFonts w:ascii="Times New Roman" w:hAnsi="Times New Roman"/>
        </w:rPr>
      </w:pPr>
    </w:p>
    <w:sectPr>
      <w:headerReference r:id="rId3" w:type="default"/>
      <w:footerReference r:id="rId4" w:type="default"/>
      <w:footerReference r:id="rId5" w:type="even"/>
      <w:pgSz w:w="11906" w:h="16838"/>
      <w:pgMar w:top="2041" w:right="1531" w:bottom="1928" w:left="1588" w:header="851" w:footer="992" w:gutter="0"/>
      <w:pgNumType w:start="1"/>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panose1 w:val="03000509000000000000"/>
    <w:charset w:val="86"/>
    <w:family w:val="script"/>
    <w:pitch w:val="default"/>
    <w:sig w:usb0="00000001" w:usb1="080E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pPr>
    <w:r>
      <w:fldChar w:fldCharType="begin"/>
    </w:r>
    <w:r>
      <w:instrText xml:space="preserve">PAGE   \* MERGEFORMAT</w:instrText>
    </w:r>
    <w:r>
      <w:fldChar w:fldCharType="separate"/>
    </w:r>
    <w:r>
      <w:rPr>
        <w:lang w:val="zh-CN"/>
      </w:rPr>
      <w:t>1</w:t>
    </w:r>
    <w:r>
      <w:fldChar w:fldCharType="end"/>
    </w:r>
  </w:p>
  <w:p>
    <w:pPr>
      <w:pStyle w:val="4"/>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outside" w:y="1"/>
      <w:rPr>
        <w:rStyle w:val="12"/>
      </w:rPr>
    </w:pPr>
    <w:r>
      <w:fldChar w:fldCharType="begin"/>
    </w:r>
    <w:r>
      <w:rPr>
        <w:rStyle w:val="12"/>
      </w:rPr>
      <w:instrText xml:space="preserve">PAGE  </w:instrText>
    </w:r>
    <w:r>
      <w:fldChar w:fldCharType="separate"/>
    </w:r>
    <w:r>
      <w:rPr>
        <w:rStyle w:val="12"/>
      </w:rPr>
      <w:t>5</w:t>
    </w:r>
    <w:r>
      <w:fldChar w:fldCharType="end"/>
    </w:r>
  </w:p>
  <w:p>
    <w:pPr>
      <w:pStyle w:val="4"/>
      <w:ind w:right="360"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80750"/>
    <w:rsid w:val="00007EB4"/>
    <w:rsid w:val="00016327"/>
    <w:rsid w:val="00023306"/>
    <w:rsid w:val="00026898"/>
    <w:rsid w:val="00027913"/>
    <w:rsid w:val="00046279"/>
    <w:rsid w:val="00046552"/>
    <w:rsid w:val="000536DD"/>
    <w:rsid w:val="00054BF8"/>
    <w:rsid w:val="000662D3"/>
    <w:rsid w:val="000665CD"/>
    <w:rsid w:val="00072507"/>
    <w:rsid w:val="00076EA4"/>
    <w:rsid w:val="000806E7"/>
    <w:rsid w:val="00085653"/>
    <w:rsid w:val="00087934"/>
    <w:rsid w:val="000947A9"/>
    <w:rsid w:val="00094F95"/>
    <w:rsid w:val="000963F8"/>
    <w:rsid w:val="00097EFE"/>
    <w:rsid w:val="000A4FCA"/>
    <w:rsid w:val="000B013E"/>
    <w:rsid w:val="000B0586"/>
    <w:rsid w:val="000B05E2"/>
    <w:rsid w:val="000B36A0"/>
    <w:rsid w:val="000B4290"/>
    <w:rsid w:val="000C021E"/>
    <w:rsid w:val="000C1CBA"/>
    <w:rsid w:val="000C474C"/>
    <w:rsid w:val="000D277C"/>
    <w:rsid w:val="000D2ABF"/>
    <w:rsid w:val="000F0F30"/>
    <w:rsid w:val="000F2D64"/>
    <w:rsid w:val="001015D6"/>
    <w:rsid w:val="00111782"/>
    <w:rsid w:val="00114BD4"/>
    <w:rsid w:val="00116EB9"/>
    <w:rsid w:val="00131A9F"/>
    <w:rsid w:val="00131D9D"/>
    <w:rsid w:val="0013669C"/>
    <w:rsid w:val="001371A3"/>
    <w:rsid w:val="001418DB"/>
    <w:rsid w:val="00146183"/>
    <w:rsid w:val="00151BF9"/>
    <w:rsid w:val="00152BDB"/>
    <w:rsid w:val="001608F5"/>
    <w:rsid w:val="00161BE2"/>
    <w:rsid w:val="00167295"/>
    <w:rsid w:val="00170494"/>
    <w:rsid w:val="00170AA9"/>
    <w:rsid w:val="001723F9"/>
    <w:rsid w:val="001765DD"/>
    <w:rsid w:val="0017696A"/>
    <w:rsid w:val="00177A6B"/>
    <w:rsid w:val="00183F84"/>
    <w:rsid w:val="001858F1"/>
    <w:rsid w:val="001971BD"/>
    <w:rsid w:val="0019794F"/>
    <w:rsid w:val="001A1129"/>
    <w:rsid w:val="001A1AB7"/>
    <w:rsid w:val="001A3181"/>
    <w:rsid w:val="001B41F8"/>
    <w:rsid w:val="001B6730"/>
    <w:rsid w:val="001B738B"/>
    <w:rsid w:val="001D1D0E"/>
    <w:rsid w:val="001D3FCF"/>
    <w:rsid w:val="001E21AD"/>
    <w:rsid w:val="001E4F7C"/>
    <w:rsid w:val="001E74A9"/>
    <w:rsid w:val="001E7CF1"/>
    <w:rsid w:val="001F0700"/>
    <w:rsid w:val="001F0954"/>
    <w:rsid w:val="001F70A2"/>
    <w:rsid w:val="002046DA"/>
    <w:rsid w:val="00204F26"/>
    <w:rsid w:val="00206EE9"/>
    <w:rsid w:val="00210A51"/>
    <w:rsid w:val="00212791"/>
    <w:rsid w:val="002152D6"/>
    <w:rsid w:val="00230EEE"/>
    <w:rsid w:val="00234774"/>
    <w:rsid w:val="0023767F"/>
    <w:rsid w:val="002472FC"/>
    <w:rsid w:val="00252ABC"/>
    <w:rsid w:val="00255346"/>
    <w:rsid w:val="00257B79"/>
    <w:rsid w:val="00264D93"/>
    <w:rsid w:val="00270E68"/>
    <w:rsid w:val="00272B57"/>
    <w:rsid w:val="0028250B"/>
    <w:rsid w:val="0028306A"/>
    <w:rsid w:val="00284E26"/>
    <w:rsid w:val="00286811"/>
    <w:rsid w:val="002A1BC3"/>
    <w:rsid w:val="002B2E59"/>
    <w:rsid w:val="002B52A4"/>
    <w:rsid w:val="002B7C10"/>
    <w:rsid w:val="002C214A"/>
    <w:rsid w:val="002C2176"/>
    <w:rsid w:val="002C221B"/>
    <w:rsid w:val="002D20A3"/>
    <w:rsid w:val="002D24C1"/>
    <w:rsid w:val="002E10CC"/>
    <w:rsid w:val="002F3305"/>
    <w:rsid w:val="0030372E"/>
    <w:rsid w:val="00303CC4"/>
    <w:rsid w:val="00304776"/>
    <w:rsid w:val="003062B1"/>
    <w:rsid w:val="00307301"/>
    <w:rsid w:val="0031155A"/>
    <w:rsid w:val="00313859"/>
    <w:rsid w:val="003153E6"/>
    <w:rsid w:val="003168E3"/>
    <w:rsid w:val="00317B99"/>
    <w:rsid w:val="00320C37"/>
    <w:rsid w:val="00331350"/>
    <w:rsid w:val="00336F37"/>
    <w:rsid w:val="00352F65"/>
    <w:rsid w:val="003577FA"/>
    <w:rsid w:val="00363B58"/>
    <w:rsid w:val="003649BC"/>
    <w:rsid w:val="00372062"/>
    <w:rsid w:val="00372274"/>
    <w:rsid w:val="00384B93"/>
    <w:rsid w:val="003854F7"/>
    <w:rsid w:val="0038769F"/>
    <w:rsid w:val="00391288"/>
    <w:rsid w:val="003917A8"/>
    <w:rsid w:val="0039400B"/>
    <w:rsid w:val="003A10FE"/>
    <w:rsid w:val="003A1181"/>
    <w:rsid w:val="003A2362"/>
    <w:rsid w:val="003A2F16"/>
    <w:rsid w:val="003B5458"/>
    <w:rsid w:val="003B5923"/>
    <w:rsid w:val="003B6D43"/>
    <w:rsid w:val="003C2A36"/>
    <w:rsid w:val="003C44B6"/>
    <w:rsid w:val="003C499F"/>
    <w:rsid w:val="003C75CC"/>
    <w:rsid w:val="003E0171"/>
    <w:rsid w:val="003E1B9C"/>
    <w:rsid w:val="003E21E5"/>
    <w:rsid w:val="003E4AA3"/>
    <w:rsid w:val="003E4AD0"/>
    <w:rsid w:val="003E6D61"/>
    <w:rsid w:val="003E7586"/>
    <w:rsid w:val="003F69F9"/>
    <w:rsid w:val="00402867"/>
    <w:rsid w:val="00410AE4"/>
    <w:rsid w:val="00412450"/>
    <w:rsid w:val="0041579E"/>
    <w:rsid w:val="00415BD0"/>
    <w:rsid w:val="00430A56"/>
    <w:rsid w:val="00441F59"/>
    <w:rsid w:val="004427B7"/>
    <w:rsid w:val="00443585"/>
    <w:rsid w:val="00443F2C"/>
    <w:rsid w:val="00445D69"/>
    <w:rsid w:val="00455E02"/>
    <w:rsid w:val="00461AF1"/>
    <w:rsid w:val="00470B1D"/>
    <w:rsid w:val="00472B15"/>
    <w:rsid w:val="004757AD"/>
    <w:rsid w:val="00475A28"/>
    <w:rsid w:val="00477AA3"/>
    <w:rsid w:val="00482B07"/>
    <w:rsid w:val="00487FBE"/>
    <w:rsid w:val="004912CA"/>
    <w:rsid w:val="00493F9F"/>
    <w:rsid w:val="004A09D2"/>
    <w:rsid w:val="004A16BA"/>
    <w:rsid w:val="004A3A48"/>
    <w:rsid w:val="004A71EC"/>
    <w:rsid w:val="004C392B"/>
    <w:rsid w:val="004D1786"/>
    <w:rsid w:val="004D7FB9"/>
    <w:rsid w:val="004E10FA"/>
    <w:rsid w:val="00500465"/>
    <w:rsid w:val="00505867"/>
    <w:rsid w:val="0051385E"/>
    <w:rsid w:val="0052449E"/>
    <w:rsid w:val="00525B01"/>
    <w:rsid w:val="00531AE9"/>
    <w:rsid w:val="00532F4C"/>
    <w:rsid w:val="0054113B"/>
    <w:rsid w:val="0054162A"/>
    <w:rsid w:val="005426CD"/>
    <w:rsid w:val="00545B27"/>
    <w:rsid w:val="0055171C"/>
    <w:rsid w:val="0057064D"/>
    <w:rsid w:val="00570DB8"/>
    <w:rsid w:val="00573703"/>
    <w:rsid w:val="00580750"/>
    <w:rsid w:val="00583383"/>
    <w:rsid w:val="0058680B"/>
    <w:rsid w:val="00590200"/>
    <w:rsid w:val="00595867"/>
    <w:rsid w:val="005B6D76"/>
    <w:rsid w:val="005C0FCD"/>
    <w:rsid w:val="005C4C65"/>
    <w:rsid w:val="005D3D0B"/>
    <w:rsid w:val="005E03E9"/>
    <w:rsid w:val="005E15CE"/>
    <w:rsid w:val="005E38E4"/>
    <w:rsid w:val="005F1109"/>
    <w:rsid w:val="005F1316"/>
    <w:rsid w:val="005F2241"/>
    <w:rsid w:val="005F5F7B"/>
    <w:rsid w:val="005F68B7"/>
    <w:rsid w:val="0060590C"/>
    <w:rsid w:val="006121B5"/>
    <w:rsid w:val="006169C1"/>
    <w:rsid w:val="006217EA"/>
    <w:rsid w:val="00624494"/>
    <w:rsid w:val="0063373C"/>
    <w:rsid w:val="00634580"/>
    <w:rsid w:val="00642892"/>
    <w:rsid w:val="006449B9"/>
    <w:rsid w:val="00653DFC"/>
    <w:rsid w:val="00655471"/>
    <w:rsid w:val="00664D67"/>
    <w:rsid w:val="00664F1B"/>
    <w:rsid w:val="006657E8"/>
    <w:rsid w:val="00670F82"/>
    <w:rsid w:val="00680853"/>
    <w:rsid w:val="00683820"/>
    <w:rsid w:val="00683910"/>
    <w:rsid w:val="006958B2"/>
    <w:rsid w:val="006A7A29"/>
    <w:rsid w:val="006B06AD"/>
    <w:rsid w:val="006B637F"/>
    <w:rsid w:val="006D367E"/>
    <w:rsid w:val="006E2F01"/>
    <w:rsid w:val="006E3EF9"/>
    <w:rsid w:val="006E5962"/>
    <w:rsid w:val="006E679A"/>
    <w:rsid w:val="006E7DAE"/>
    <w:rsid w:val="00705D7C"/>
    <w:rsid w:val="00707EE3"/>
    <w:rsid w:val="007110E6"/>
    <w:rsid w:val="0071466D"/>
    <w:rsid w:val="00715C9E"/>
    <w:rsid w:val="0071793D"/>
    <w:rsid w:val="00727A84"/>
    <w:rsid w:val="00731E80"/>
    <w:rsid w:val="00734538"/>
    <w:rsid w:val="007430C1"/>
    <w:rsid w:val="00750EE2"/>
    <w:rsid w:val="0075367F"/>
    <w:rsid w:val="007648CB"/>
    <w:rsid w:val="00775549"/>
    <w:rsid w:val="00782001"/>
    <w:rsid w:val="00783B6C"/>
    <w:rsid w:val="007A440D"/>
    <w:rsid w:val="007B0938"/>
    <w:rsid w:val="007B23FA"/>
    <w:rsid w:val="007C15E1"/>
    <w:rsid w:val="007C2C0A"/>
    <w:rsid w:val="007C4928"/>
    <w:rsid w:val="007D2DF6"/>
    <w:rsid w:val="007D49A8"/>
    <w:rsid w:val="007D667E"/>
    <w:rsid w:val="007D6FF2"/>
    <w:rsid w:val="007E05A8"/>
    <w:rsid w:val="0080247E"/>
    <w:rsid w:val="0080432C"/>
    <w:rsid w:val="008260AC"/>
    <w:rsid w:val="00827420"/>
    <w:rsid w:val="0083361E"/>
    <w:rsid w:val="00836641"/>
    <w:rsid w:val="0085601D"/>
    <w:rsid w:val="0085723B"/>
    <w:rsid w:val="0086326B"/>
    <w:rsid w:val="00863365"/>
    <w:rsid w:val="00865247"/>
    <w:rsid w:val="0088514A"/>
    <w:rsid w:val="00885363"/>
    <w:rsid w:val="00893B2B"/>
    <w:rsid w:val="00895A92"/>
    <w:rsid w:val="00896161"/>
    <w:rsid w:val="0089680F"/>
    <w:rsid w:val="008A21A3"/>
    <w:rsid w:val="008B2E50"/>
    <w:rsid w:val="008B2F98"/>
    <w:rsid w:val="008B3FBF"/>
    <w:rsid w:val="008C5EC3"/>
    <w:rsid w:val="008F3B6F"/>
    <w:rsid w:val="008F4DF7"/>
    <w:rsid w:val="009002DE"/>
    <w:rsid w:val="009027A8"/>
    <w:rsid w:val="00903069"/>
    <w:rsid w:val="009040B1"/>
    <w:rsid w:val="00907F18"/>
    <w:rsid w:val="009314A9"/>
    <w:rsid w:val="00931769"/>
    <w:rsid w:val="00936A08"/>
    <w:rsid w:val="00945CB2"/>
    <w:rsid w:val="00951513"/>
    <w:rsid w:val="00951A67"/>
    <w:rsid w:val="009520BE"/>
    <w:rsid w:val="00966A64"/>
    <w:rsid w:val="00972E65"/>
    <w:rsid w:val="00973823"/>
    <w:rsid w:val="00974A6B"/>
    <w:rsid w:val="00977538"/>
    <w:rsid w:val="009852BE"/>
    <w:rsid w:val="00987834"/>
    <w:rsid w:val="00992164"/>
    <w:rsid w:val="00994BF0"/>
    <w:rsid w:val="009A19EA"/>
    <w:rsid w:val="009B2BE1"/>
    <w:rsid w:val="009B7305"/>
    <w:rsid w:val="009C02ED"/>
    <w:rsid w:val="009D1290"/>
    <w:rsid w:val="009D5582"/>
    <w:rsid w:val="009E08CF"/>
    <w:rsid w:val="009F119C"/>
    <w:rsid w:val="009F58C1"/>
    <w:rsid w:val="00A02F0A"/>
    <w:rsid w:val="00A13995"/>
    <w:rsid w:val="00A150A4"/>
    <w:rsid w:val="00A1699D"/>
    <w:rsid w:val="00A22E92"/>
    <w:rsid w:val="00A2529D"/>
    <w:rsid w:val="00A272B6"/>
    <w:rsid w:val="00A31EDF"/>
    <w:rsid w:val="00A348F2"/>
    <w:rsid w:val="00A3752C"/>
    <w:rsid w:val="00A40493"/>
    <w:rsid w:val="00A43324"/>
    <w:rsid w:val="00A443F5"/>
    <w:rsid w:val="00A46692"/>
    <w:rsid w:val="00A47F39"/>
    <w:rsid w:val="00A54CA5"/>
    <w:rsid w:val="00A56174"/>
    <w:rsid w:val="00A611F0"/>
    <w:rsid w:val="00A6502F"/>
    <w:rsid w:val="00A7041C"/>
    <w:rsid w:val="00A7422A"/>
    <w:rsid w:val="00A75E94"/>
    <w:rsid w:val="00A80CAE"/>
    <w:rsid w:val="00A865DA"/>
    <w:rsid w:val="00A94A9E"/>
    <w:rsid w:val="00A9625F"/>
    <w:rsid w:val="00A97F64"/>
    <w:rsid w:val="00AA158C"/>
    <w:rsid w:val="00AA280D"/>
    <w:rsid w:val="00AB0A43"/>
    <w:rsid w:val="00AB7E17"/>
    <w:rsid w:val="00AC0689"/>
    <w:rsid w:val="00AC078A"/>
    <w:rsid w:val="00AC2C91"/>
    <w:rsid w:val="00AC5ADF"/>
    <w:rsid w:val="00AC759E"/>
    <w:rsid w:val="00AD2783"/>
    <w:rsid w:val="00AD611F"/>
    <w:rsid w:val="00AE05D7"/>
    <w:rsid w:val="00AE37B6"/>
    <w:rsid w:val="00AF071D"/>
    <w:rsid w:val="00B079E4"/>
    <w:rsid w:val="00B10D04"/>
    <w:rsid w:val="00B1704D"/>
    <w:rsid w:val="00B20915"/>
    <w:rsid w:val="00B21822"/>
    <w:rsid w:val="00B2202F"/>
    <w:rsid w:val="00B2432A"/>
    <w:rsid w:val="00B24D20"/>
    <w:rsid w:val="00B26D2C"/>
    <w:rsid w:val="00B35C50"/>
    <w:rsid w:val="00B42BFD"/>
    <w:rsid w:val="00B510B3"/>
    <w:rsid w:val="00B70DB0"/>
    <w:rsid w:val="00B7268E"/>
    <w:rsid w:val="00B80FB3"/>
    <w:rsid w:val="00B84122"/>
    <w:rsid w:val="00B84F22"/>
    <w:rsid w:val="00B93FF6"/>
    <w:rsid w:val="00B9554B"/>
    <w:rsid w:val="00BA0DDC"/>
    <w:rsid w:val="00BC07A4"/>
    <w:rsid w:val="00BC2C45"/>
    <w:rsid w:val="00BC3E2A"/>
    <w:rsid w:val="00BD4BD0"/>
    <w:rsid w:val="00BD7955"/>
    <w:rsid w:val="00BE6098"/>
    <w:rsid w:val="00BE64E9"/>
    <w:rsid w:val="00BF4F60"/>
    <w:rsid w:val="00C01EBD"/>
    <w:rsid w:val="00C03B84"/>
    <w:rsid w:val="00C17B46"/>
    <w:rsid w:val="00C22156"/>
    <w:rsid w:val="00C233C8"/>
    <w:rsid w:val="00C242D5"/>
    <w:rsid w:val="00C31939"/>
    <w:rsid w:val="00C4387F"/>
    <w:rsid w:val="00C509EE"/>
    <w:rsid w:val="00C52065"/>
    <w:rsid w:val="00C638F2"/>
    <w:rsid w:val="00C64D20"/>
    <w:rsid w:val="00C662E0"/>
    <w:rsid w:val="00C67518"/>
    <w:rsid w:val="00C7134B"/>
    <w:rsid w:val="00C75BFC"/>
    <w:rsid w:val="00C86E8E"/>
    <w:rsid w:val="00C95162"/>
    <w:rsid w:val="00C95BD0"/>
    <w:rsid w:val="00CA2521"/>
    <w:rsid w:val="00CA3904"/>
    <w:rsid w:val="00CA558E"/>
    <w:rsid w:val="00CB2AE4"/>
    <w:rsid w:val="00CB6956"/>
    <w:rsid w:val="00CC6321"/>
    <w:rsid w:val="00CC63F9"/>
    <w:rsid w:val="00CD2989"/>
    <w:rsid w:val="00CD4F81"/>
    <w:rsid w:val="00CD7B65"/>
    <w:rsid w:val="00CE2602"/>
    <w:rsid w:val="00D04BCF"/>
    <w:rsid w:val="00D06514"/>
    <w:rsid w:val="00D11217"/>
    <w:rsid w:val="00D15644"/>
    <w:rsid w:val="00D20DC9"/>
    <w:rsid w:val="00D24E88"/>
    <w:rsid w:val="00D34CCE"/>
    <w:rsid w:val="00D36CBE"/>
    <w:rsid w:val="00D374E6"/>
    <w:rsid w:val="00D46973"/>
    <w:rsid w:val="00D4708B"/>
    <w:rsid w:val="00D56CDA"/>
    <w:rsid w:val="00D57189"/>
    <w:rsid w:val="00D746F8"/>
    <w:rsid w:val="00D867CE"/>
    <w:rsid w:val="00D93172"/>
    <w:rsid w:val="00DB4330"/>
    <w:rsid w:val="00DC2758"/>
    <w:rsid w:val="00DC2CDB"/>
    <w:rsid w:val="00DD36F6"/>
    <w:rsid w:val="00DD477A"/>
    <w:rsid w:val="00DE1AB8"/>
    <w:rsid w:val="00DE1B35"/>
    <w:rsid w:val="00DE5777"/>
    <w:rsid w:val="00DE7082"/>
    <w:rsid w:val="00DE7B5A"/>
    <w:rsid w:val="00DF1659"/>
    <w:rsid w:val="00DF486B"/>
    <w:rsid w:val="00E07399"/>
    <w:rsid w:val="00E1019D"/>
    <w:rsid w:val="00E105C8"/>
    <w:rsid w:val="00E117BA"/>
    <w:rsid w:val="00E1319D"/>
    <w:rsid w:val="00E169F2"/>
    <w:rsid w:val="00E25BE5"/>
    <w:rsid w:val="00E3162E"/>
    <w:rsid w:val="00E32230"/>
    <w:rsid w:val="00E33428"/>
    <w:rsid w:val="00E444FF"/>
    <w:rsid w:val="00E45432"/>
    <w:rsid w:val="00E50F19"/>
    <w:rsid w:val="00E51DF1"/>
    <w:rsid w:val="00E54442"/>
    <w:rsid w:val="00E55027"/>
    <w:rsid w:val="00E55609"/>
    <w:rsid w:val="00E55637"/>
    <w:rsid w:val="00E61B9B"/>
    <w:rsid w:val="00E6324D"/>
    <w:rsid w:val="00E75093"/>
    <w:rsid w:val="00E751FC"/>
    <w:rsid w:val="00E766B2"/>
    <w:rsid w:val="00E77F30"/>
    <w:rsid w:val="00E82248"/>
    <w:rsid w:val="00E83286"/>
    <w:rsid w:val="00E8786B"/>
    <w:rsid w:val="00E87EC1"/>
    <w:rsid w:val="00EA2A2F"/>
    <w:rsid w:val="00EA4E11"/>
    <w:rsid w:val="00EA628B"/>
    <w:rsid w:val="00EA7F33"/>
    <w:rsid w:val="00EB1511"/>
    <w:rsid w:val="00EB3CDB"/>
    <w:rsid w:val="00EB40C3"/>
    <w:rsid w:val="00EC1664"/>
    <w:rsid w:val="00ED662F"/>
    <w:rsid w:val="00EE2B09"/>
    <w:rsid w:val="00EF37C0"/>
    <w:rsid w:val="00EF4288"/>
    <w:rsid w:val="00F00AEA"/>
    <w:rsid w:val="00F03887"/>
    <w:rsid w:val="00F0464C"/>
    <w:rsid w:val="00F04CA0"/>
    <w:rsid w:val="00F16B0E"/>
    <w:rsid w:val="00F16FE2"/>
    <w:rsid w:val="00F17194"/>
    <w:rsid w:val="00F17226"/>
    <w:rsid w:val="00F23BE1"/>
    <w:rsid w:val="00F2730B"/>
    <w:rsid w:val="00F30943"/>
    <w:rsid w:val="00F30ED0"/>
    <w:rsid w:val="00F30F5B"/>
    <w:rsid w:val="00F31349"/>
    <w:rsid w:val="00F31EC1"/>
    <w:rsid w:val="00F3545F"/>
    <w:rsid w:val="00F4253E"/>
    <w:rsid w:val="00F50911"/>
    <w:rsid w:val="00F526BE"/>
    <w:rsid w:val="00F5275B"/>
    <w:rsid w:val="00F76EF7"/>
    <w:rsid w:val="00F83F08"/>
    <w:rsid w:val="00F86E95"/>
    <w:rsid w:val="00F9020C"/>
    <w:rsid w:val="00F9648A"/>
    <w:rsid w:val="00F965DD"/>
    <w:rsid w:val="00FA1359"/>
    <w:rsid w:val="00FA1475"/>
    <w:rsid w:val="00FA6278"/>
    <w:rsid w:val="00FB0904"/>
    <w:rsid w:val="00FB3046"/>
    <w:rsid w:val="00FB731E"/>
    <w:rsid w:val="00FC3509"/>
    <w:rsid w:val="00FD1C26"/>
    <w:rsid w:val="00FD5995"/>
    <w:rsid w:val="00FE1984"/>
    <w:rsid w:val="00FE6CF1"/>
    <w:rsid w:val="5CCE63AD"/>
    <w:rsid w:val="7BB26D7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qFormat="1"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nhideWhenUsed="0" w:uiPriority="0" w:semiHidden="0" w:name="Balloon Text"/>
    <w:lsdException w:unhideWhenUsed="0" w:uiPriority="5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8">
    <w:name w:val="Default Paragraph Font"/>
    <w:semiHidden/>
    <w:unhideWhenUsed/>
    <w:uiPriority w:val="1"/>
  </w:style>
  <w:style w:type="table" w:default="1" w:styleId="6">
    <w:name w:val="Normal Table"/>
    <w:semiHidden/>
    <w:unhideWhenUsed/>
    <w:uiPriority w:val="99"/>
    <w:tblPr>
      <w:tblCellMar>
        <w:top w:w="0" w:type="dxa"/>
        <w:left w:w="108" w:type="dxa"/>
        <w:bottom w:w="0" w:type="dxa"/>
        <w:right w:w="108" w:type="dxa"/>
      </w:tblCellMar>
    </w:tblPr>
  </w:style>
  <w:style w:type="paragraph" w:styleId="2">
    <w:name w:val="Body Text"/>
    <w:basedOn w:val="1"/>
    <w:link w:val="15"/>
    <w:unhideWhenUsed/>
    <w:qFormat/>
    <w:uiPriority w:val="99"/>
    <w:pPr>
      <w:spacing w:after="240"/>
      <w:ind w:firstLine="720"/>
    </w:pPr>
    <w:rPr>
      <w:lang w:val="zh-CN" w:eastAsia="zh-CN"/>
    </w:rPr>
  </w:style>
  <w:style w:type="paragraph" w:styleId="3">
    <w:name w:val="Balloon Text"/>
    <w:basedOn w:val="1"/>
    <w:link w:val="11"/>
    <w:uiPriority w:val="0"/>
    <w:rPr>
      <w:rFonts w:asciiTheme="minorHAnsi" w:hAnsiTheme="minorHAnsi" w:eastAsiaTheme="minorEastAsia" w:cstheme="minorBidi"/>
      <w:sz w:val="18"/>
      <w:szCs w:val="18"/>
    </w:rPr>
  </w:style>
  <w:style w:type="paragraph" w:styleId="4">
    <w:name w:val="footer"/>
    <w:basedOn w:val="1"/>
    <w:link w:val="10"/>
    <w:unhideWhenUsed/>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5">
    <w:name w:val="header"/>
    <w:basedOn w:val="1"/>
    <w:link w:val="9"/>
    <w:unhideWhenUsed/>
    <w:qFormat/>
    <w:uiPriority w:val="0"/>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table" w:styleId="7">
    <w:name w:val="Table Grid"/>
    <w:basedOn w:val="6"/>
    <w:uiPriority w:val="59"/>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9">
    <w:name w:val="页眉 Char"/>
    <w:basedOn w:val="8"/>
    <w:link w:val="5"/>
    <w:uiPriority w:val="0"/>
    <w:rPr>
      <w:sz w:val="18"/>
      <w:szCs w:val="18"/>
    </w:rPr>
  </w:style>
  <w:style w:type="character" w:customStyle="1" w:styleId="10">
    <w:name w:val="页脚 Char"/>
    <w:basedOn w:val="8"/>
    <w:link w:val="4"/>
    <w:uiPriority w:val="99"/>
    <w:rPr>
      <w:sz w:val="18"/>
      <w:szCs w:val="18"/>
    </w:rPr>
  </w:style>
  <w:style w:type="character" w:customStyle="1" w:styleId="11">
    <w:name w:val="批注框文本 Char"/>
    <w:link w:val="3"/>
    <w:uiPriority w:val="0"/>
    <w:rPr>
      <w:sz w:val="18"/>
      <w:szCs w:val="18"/>
    </w:rPr>
  </w:style>
  <w:style w:type="character" w:customStyle="1" w:styleId="12">
    <w:name w:val="页码1"/>
    <w:basedOn w:val="8"/>
    <w:uiPriority w:val="0"/>
  </w:style>
  <w:style w:type="character" w:customStyle="1" w:styleId="13">
    <w:name w:val="批注框文本 Char1"/>
    <w:basedOn w:val="8"/>
    <w:semiHidden/>
    <w:qFormat/>
    <w:uiPriority w:val="99"/>
    <w:rPr>
      <w:rFonts w:ascii="Calibri" w:hAnsi="Calibri" w:eastAsia="宋体" w:cs="Times New Roman"/>
      <w:sz w:val="18"/>
      <w:szCs w:val="18"/>
    </w:rPr>
  </w:style>
  <w:style w:type="paragraph" w:customStyle="1" w:styleId="14">
    <w:name w:val="列出段落1"/>
    <w:basedOn w:val="1"/>
    <w:qFormat/>
    <w:uiPriority w:val="0"/>
    <w:pPr>
      <w:ind w:firstLine="420" w:firstLineChars="200"/>
    </w:pPr>
  </w:style>
  <w:style w:type="character" w:customStyle="1" w:styleId="15">
    <w:name w:val="正文文本 Char"/>
    <w:basedOn w:val="8"/>
    <w:link w:val="2"/>
    <w:qFormat/>
    <w:uiPriority w:val="99"/>
    <w:rPr>
      <w:rFonts w:ascii="Calibri" w:hAnsi="Calibri" w:eastAsia="宋体" w:cs="Times New Roman"/>
      <w:lang w:val="zh-CN" w:eastAsia="zh-CN"/>
    </w:rPr>
  </w:style>
  <w:style w:type="paragraph" w:styleId="16">
    <w:name w:val="List Paragraph"/>
    <w:basedOn w:val="1"/>
    <w:qFormat/>
    <w:uiPriority w:val="34"/>
    <w:pPr>
      <w:ind w:firstLine="420" w:firstLineChars="200"/>
    </w:pPr>
  </w:style>
  <w:style w:type="paragraph" w:styleId="17">
    <w:name w:val="No Spacing"/>
    <w:qFormat/>
    <w:uiPriority w:val="1"/>
    <w:pPr>
      <w:widowControl w:val="0"/>
      <w:jc w:val="both"/>
    </w:pPr>
    <w:rPr>
      <w:rFonts w:ascii="Times New Roman" w:hAnsi="Times New Roman" w:eastAsia="宋体" w:cs="Times New Roman"/>
      <w:kern w:val="2"/>
      <w:sz w:val="21"/>
      <w:szCs w:val="20"/>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2.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CDD03C1-07F8-4040-B445-6F412CD4A794}">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23</Pages>
  <Words>1881</Words>
  <Characters>10723</Characters>
  <Lines>89</Lines>
  <Paragraphs>25</Paragraphs>
  <TotalTime>653</TotalTime>
  <ScaleCrop>false</ScaleCrop>
  <LinksUpToDate>false</LinksUpToDate>
  <CharactersWithSpaces>12579</CharactersWithSpaces>
  <Application>WPS Office_11.8.2.8875_F1E327BC-269C-435d-A152-05C5408002CA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2023-02-02T02:51:00Z</dcterms:created>
  <dc:creator>蒋小文</dc:creator>
  <cp:lastModifiedBy>杨倩怡</cp:lastModifiedBy>
  <cp:lastPrinted>2023-02-03T01:29:00Z</cp:lastPrinted>
  <dcterms:modified xsi:type="dcterms:W3CDTF">2023-11-14T01:57:23Z</dcterms:modified>
  <cp:revision>66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2052-11.8.2.8875</vt:lpwstr>
  </property>
</Properties>
</file>