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tabs>
          <w:tab w:val="center" w:pos="4422"/>
          <w:tab w:val="right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Style w:val="10"/>
          <w:rFonts w:ascii="方正小标宋_GBK" w:hAnsi="方正小标宋_GBK" w:eastAsia="方正小标宋_GBK" w:cs="方正小标宋_GBK"/>
          <w:b w:val="0"/>
          <w:sz w:val="44"/>
          <w:szCs w:val="44"/>
          <w:shd w:val="clear" w:color="auto" w:fill="FFFFFF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sz w:val="44"/>
          <w:szCs w:val="44"/>
          <w:shd w:val="clear" w:color="auto" w:fill="FFFFFF"/>
        </w:rPr>
        <w:t>重庆市渝北区人民政府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Style w:val="10"/>
          <w:rFonts w:hint="default" w:ascii="方正小标宋_GBK" w:hAnsi="方正小标宋_GBK" w:eastAsia="方正小标宋_GBK" w:cs="方正小标宋_GBK"/>
          <w:b w:val="0"/>
          <w:sz w:val="44"/>
          <w:szCs w:val="44"/>
          <w:shd w:val="clear" w:color="auto" w:fill="FFFFFF"/>
          <w:lang w:val="en-US" w:eastAsia="zh-CN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sz w:val="44"/>
          <w:szCs w:val="44"/>
          <w:shd w:val="clear" w:color="auto" w:fill="FFFFFF"/>
        </w:rPr>
        <w:t>关于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sz w:val="44"/>
          <w:szCs w:val="44"/>
          <w:shd w:val="clear" w:color="auto" w:fill="FFFFFF"/>
          <w:lang w:val="en-US" w:eastAsia="zh-CN"/>
        </w:rPr>
        <w:t>划定全区禁止开垦陡坡地范围的公告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ascii="Times New Roman" w:hAnsi="Times New Roman" w:eastAsia="方正仿宋_GBK" w:cs="Times New Roman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渝北府发〔2025〕4号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宋体" w:hAnsi="宋体" w:eastAsia="宋体" w:cs="宋体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为预防和减轻水土流失，根据《中华人民共和国水土保持法》《重庆市实施〈中华人民共和国水土保持法〉办法》等法律法规，我区划定了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度以上禁止开垦陡坡地范围，现将有关事项公告如下：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一、重庆市渝北区禁止开垦陡坡地范围分布在双凤桥街道、王家街道、石船镇、洛碛镇、古路镇、龙兴镇、大湾镇、统景镇、大盛镇、木耳镇、兴隆镇以及茨竹镇等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个镇街行政区域内。具体分布区域详见附件。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二、划定范围内禁止新开垦种植农作物，已经开垦的按照国家有关法律法规及耕地保护、生态建设相关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政策进行生态保护修复和监督管理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度以上陡坡地种植经济林的，应当科学选择树种，合理确定规模，采取水土保持措施，防止水土流失。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三、本公告自发布之日起执行。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附件：1. 渝北区禁止开垦陡坡地分布示意图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2. 渝北区禁止开垦陡坡地面积统计表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420" w:rightChars="2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重庆市渝北区人民政府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420" w:rightChars="2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7"/>
        <w:spacing w:before="0" w:beforeAutospacing="0" w:after="0" w:afterAutospacing="0" w:line="540" w:lineRule="exact"/>
        <w:jc w:val="both"/>
        <w:rPr>
          <w:rFonts w:ascii="Times New Roman" w:hAnsi="方正黑体_GBK" w:eastAsia="方正黑体_GBK" w:cs="Times New Roman"/>
          <w:sz w:val="32"/>
          <w:szCs w:val="32"/>
        </w:rPr>
      </w:pPr>
    </w:p>
    <w:p>
      <w:pPr>
        <w:pStyle w:val="7"/>
        <w:spacing w:before="0" w:beforeAutospacing="0" w:after="0" w:afterAutospacing="0" w:line="540" w:lineRule="exact"/>
        <w:jc w:val="both"/>
        <w:rPr>
          <w:rFonts w:ascii="Times New Roman" w:hAnsi="方正黑体_GBK" w:eastAsia="方正黑体_GBK" w:cs="Times New Roman"/>
          <w:sz w:val="32"/>
          <w:szCs w:val="32"/>
        </w:rPr>
      </w:pPr>
    </w:p>
    <w:p>
      <w:pPr>
        <w:pStyle w:val="7"/>
        <w:spacing w:before="0" w:beforeAutospacing="0" w:after="0" w:afterAutospacing="0" w:line="540" w:lineRule="exact"/>
        <w:jc w:val="both"/>
        <w:rPr>
          <w:rFonts w:ascii="Times New Roman" w:hAnsi="方正黑体_GBK" w:eastAsia="方正黑体_GBK" w:cs="Times New Roman"/>
          <w:sz w:val="32"/>
          <w:szCs w:val="32"/>
        </w:rPr>
      </w:pPr>
    </w:p>
    <w:p>
      <w:pPr>
        <w:pStyle w:val="7"/>
        <w:spacing w:before="0" w:beforeAutospacing="0" w:after="0" w:afterAutospacing="0" w:line="540" w:lineRule="exact"/>
        <w:jc w:val="both"/>
        <w:rPr>
          <w:rFonts w:ascii="Times New Roman" w:hAnsi="方正黑体_GBK" w:eastAsia="方正黑体_GBK" w:cs="Times New Roman"/>
          <w:sz w:val="32"/>
          <w:szCs w:val="32"/>
        </w:rPr>
      </w:pPr>
    </w:p>
    <w:p>
      <w:pPr>
        <w:pStyle w:val="7"/>
        <w:spacing w:before="0" w:beforeAutospacing="0" w:after="0" w:afterAutospacing="0" w:line="540" w:lineRule="exact"/>
        <w:jc w:val="both"/>
        <w:rPr>
          <w:rFonts w:ascii="Times New Roman" w:hAnsi="方正黑体_GBK" w:eastAsia="方正黑体_GBK" w:cs="Times New Roman"/>
          <w:sz w:val="32"/>
          <w:szCs w:val="32"/>
        </w:rPr>
      </w:pPr>
    </w:p>
    <w:p>
      <w:pPr>
        <w:pStyle w:val="7"/>
        <w:spacing w:before="0" w:beforeAutospacing="0" w:after="0" w:afterAutospacing="0" w:line="540" w:lineRule="exact"/>
        <w:jc w:val="both"/>
        <w:rPr>
          <w:rFonts w:ascii="Times New Roman" w:hAnsi="方正黑体_GBK" w:eastAsia="方正黑体_GBK" w:cs="Times New Roman"/>
          <w:sz w:val="32"/>
          <w:szCs w:val="32"/>
        </w:rPr>
      </w:pPr>
    </w:p>
    <w:p>
      <w:pPr>
        <w:pStyle w:val="7"/>
        <w:spacing w:before="0" w:beforeAutospacing="0" w:after="0" w:afterAutospacing="0" w:line="540" w:lineRule="exact"/>
        <w:jc w:val="both"/>
        <w:rPr>
          <w:rFonts w:ascii="Times New Roman" w:hAnsi="方正黑体_GBK" w:eastAsia="方正黑体_GBK" w:cs="Times New Roman"/>
          <w:sz w:val="32"/>
          <w:szCs w:val="32"/>
        </w:rPr>
      </w:pPr>
    </w:p>
    <w:p>
      <w:pPr>
        <w:pStyle w:val="7"/>
        <w:spacing w:before="0" w:beforeAutospacing="0" w:after="0" w:afterAutospacing="0" w:line="540" w:lineRule="exact"/>
        <w:jc w:val="both"/>
        <w:rPr>
          <w:rFonts w:ascii="Times New Roman" w:hAnsi="方正黑体_GBK" w:eastAsia="方正黑体_GBK" w:cs="Times New Roman"/>
          <w:sz w:val="32"/>
          <w:szCs w:val="32"/>
        </w:rPr>
      </w:pPr>
    </w:p>
    <w:p>
      <w:pPr>
        <w:pStyle w:val="7"/>
        <w:spacing w:before="0" w:beforeAutospacing="0" w:after="0" w:afterAutospacing="0" w:line="540" w:lineRule="exact"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1</w:t>
      </w:r>
    </w:p>
    <w:p>
      <w:pPr>
        <w:spacing w:line="600" w:lineRule="exact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ascii="方正黑体_GBK" w:hAnsi="方正黑体_GBK" w:eastAsia="方正黑体_GBK" w:cs="方正黑体_GBK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309245</wp:posOffset>
            </wp:positionV>
            <wp:extent cx="5570220" cy="7436485"/>
            <wp:effectExtent l="0" t="0" r="11430" b="12065"/>
            <wp:wrapNone/>
            <wp:docPr id="1" name="图片 2" descr="渝北区禁止开垦陡坡地分布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渝北区禁止开垦陡坡地分布示意图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0220" cy="743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eastAsia" w:ascii="方正黑体_GBK" w:hAnsi="方正黑体_GBK" w:eastAsia="方正黑体_GBK" w:cs="方正黑体_GBK"/>
          <w:szCs w:val="32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Cs w:val="32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Cs w:val="32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Cs w:val="32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Cs w:val="32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Cs w:val="32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Cs w:val="32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Cs w:val="32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Cs w:val="32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Cs w:val="32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Cs w:val="32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Cs w:val="32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Cs w:val="32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Cs w:val="32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Cs w:val="32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Cs w:val="32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Cs w:val="32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Cs w:val="32"/>
        </w:rPr>
      </w:pPr>
    </w:p>
    <w:p>
      <w:pPr>
        <w:pStyle w:val="7"/>
        <w:spacing w:before="0" w:beforeAutospacing="0" w:after="0" w:afterAutospacing="0" w:line="540" w:lineRule="exact"/>
        <w:jc w:val="both"/>
        <w:rPr>
          <w:rFonts w:hint="eastAsia" w:ascii="Times New Roman" w:hAnsi="方正黑体_GBK" w:eastAsia="方正黑体_GBK" w:cs="Times New Roman"/>
          <w:sz w:val="32"/>
          <w:szCs w:val="32"/>
        </w:rPr>
      </w:pPr>
      <w:r>
        <w:rPr>
          <w:rFonts w:hint="eastAsia" w:ascii="Times New Roman" w:hAnsi="方正黑体_GBK" w:eastAsia="方正黑体_GBK" w:cs="Times New Roman"/>
          <w:sz w:val="32"/>
          <w:szCs w:val="32"/>
        </w:rPr>
        <w:t>附件2</w:t>
      </w:r>
    </w:p>
    <w:p>
      <w:pPr>
        <w:spacing w:line="500" w:lineRule="exac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7964805</wp:posOffset>
                </wp:positionV>
                <wp:extent cx="1980565" cy="82931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none" lIns="90043" tIns="46863" rIns="90043" bIns="46863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pt;margin-top:627.15pt;height:65.3pt;width:155.95pt;mso-wrap-style:none;z-index:-251656192;mso-width-relative:page;mso-height-relative:page;" filled="f" stroked="f" coordsize="21600,21600" o:gfxdata="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emVADXAAAADQEAAA8AAAAAAAAA&#10;AQAgAAAAIgAAAGRycy9kb3ducmV2LnhtbFBLAQIUABQAAAAIAIdO4kAdXkdr2QEAAKgDAAAOAAAA&#10;AAAAAAEAIAAAACYBAABkcnMvZTJvRG9jLnhtbFBLBQYAAAAABgAGAFkBAABxBQAAAAA=&#10;">
                <v:fill on="f" focussize="0,0"/>
                <v:stroke on="f"/>
                <v:imagedata o:title=""/>
                <o:lock v:ext="edit" aspectratio="f"/>
                <v:textbox inset="7.09pt,1.30175mm,7.09pt,1.30175mm"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渝北区禁止开垦陡坡地面积统计表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787"/>
        <w:gridCol w:w="3632"/>
        <w:gridCol w:w="28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镇街名称</w:t>
            </w:r>
          </w:p>
        </w:tc>
        <w:tc>
          <w:tcPr>
            <w:tcW w:w="20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禁止开垦陡坡地面积（km²）</w:t>
            </w:r>
          </w:p>
        </w:tc>
        <w:tc>
          <w:tcPr>
            <w:tcW w:w="15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辖区国土面积（km²）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茨竹镇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9.50</w:t>
            </w:r>
          </w:p>
        </w:tc>
        <w:tc>
          <w:tcPr>
            <w:tcW w:w="1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109.75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大盛镇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8.80</w:t>
            </w:r>
          </w:p>
        </w:tc>
        <w:tc>
          <w:tcPr>
            <w:tcW w:w="1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97.69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大湾镇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9.34</w:t>
            </w:r>
          </w:p>
        </w:tc>
        <w:tc>
          <w:tcPr>
            <w:tcW w:w="1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117.53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古路镇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9.13</w:t>
            </w:r>
          </w:p>
        </w:tc>
        <w:tc>
          <w:tcPr>
            <w:tcW w:w="1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88.63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龙兴镇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0.72</w:t>
            </w:r>
          </w:p>
        </w:tc>
        <w:tc>
          <w:tcPr>
            <w:tcW w:w="1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111.96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洛碛镇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10.53</w:t>
            </w:r>
          </w:p>
        </w:tc>
        <w:tc>
          <w:tcPr>
            <w:tcW w:w="1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96.98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木耳镇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9.01</w:t>
            </w:r>
          </w:p>
        </w:tc>
        <w:tc>
          <w:tcPr>
            <w:tcW w:w="1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石船镇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4.16</w:t>
            </w:r>
          </w:p>
        </w:tc>
        <w:tc>
          <w:tcPr>
            <w:tcW w:w="1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126.84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双凤桥街道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0.23</w:t>
            </w:r>
          </w:p>
        </w:tc>
        <w:tc>
          <w:tcPr>
            <w:tcW w:w="1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26.84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统景镇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21.04</w:t>
            </w:r>
          </w:p>
        </w:tc>
        <w:tc>
          <w:tcPr>
            <w:tcW w:w="1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127.91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王家街道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0.99</w:t>
            </w:r>
          </w:p>
        </w:tc>
        <w:tc>
          <w:tcPr>
            <w:tcW w:w="1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兴隆镇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10.31</w:t>
            </w:r>
          </w:p>
        </w:tc>
        <w:tc>
          <w:tcPr>
            <w:tcW w:w="1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88.11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144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93.75</w:t>
            </w:r>
          </w:p>
        </w:tc>
        <w:tc>
          <w:tcPr>
            <w:tcW w:w="1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1105.42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sectPr>
          <w:headerReference r:id="rId3" w:type="default"/>
          <w:footerReference r:id="rId4" w:type="default"/>
          <w:type w:val="continuous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rtlGutter w:val="0"/>
          <w:docGrid w:type="lines" w:linePitch="316" w:charSpace="0"/>
        </w:sectPr>
      </w:pPr>
    </w:p>
    <w:p>
      <w:pPr>
        <w:keepNext w:val="0"/>
        <w:keepLines w:val="0"/>
        <w:pageBreakBefore w:val="0"/>
        <w:tabs>
          <w:tab w:val="left" w:pos="3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1906" w:h="16838"/>
      <w:pgMar w:top="1474" w:right="1848" w:bottom="1588" w:left="1962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5125085</wp:posOffset>
              </wp:positionH>
              <wp:positionV relativeFrom="paragraph">
                <wp:posOffset>26035</wp:posOffset>
              </wp:positionV>
              <wp:extent cx="1828800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3.55pt;margin-top:2.05pt;height:26.2pt;width:144pt;mso-position-horizontal-relative:margin;mso-wrap-style:none;z-index:251662336;mso-width-relative:page;mso-height-relative:page;" filled="f" stroked="f" coordsize="21600,21600" o:gfxdata="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2X6m3YAAAACQEAAA8AAAAAAAAAAQAgAAAAIgAAAGRycy9kb3ducmV2LnhtbFBL&#10;AQIUABQAAAAIAIdO4kCRJZbBLwIAAFQEAAAOAAAAAAAAAAEAIAAAACc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6"/>
      <w:wordWrap w:val="0"/>
      <w:ind w:left="1067" w:leftChars="508" w:firstLine="10115" w:firstLineChars="3161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20320</wp:posOffset>
              </wp:positionH>
              <wp:positionV relativeFrom="paragraph">
                <wp:posOffset>175895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6pt;margin-top:13.85pt;height:0.15pt;width:442.25pt;z-index:251661312;mso-width-relative:page;mso-height-relative:page;" filled="f" stroked="t" coordsize="21600,21600" o:gfxdata="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+96QDTAAAA&#10;BwEAAA8AAAAAAAAAAQAgAAAAIgAAAGRycy9kb3ducmV2LnhtbFBLAQIUABQAAAAIAIdO4kDwNi0p&#10;6QEAALUDAAAOAAAAAAAAAAEAIAAAACIBAABkcnMvZTJvRG9jLnhtbFBLBQYAAAAABgAGAFkBAAB9&#10;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 xml:space="preserve"> </w:t>
    </w:r>
    <w:r>
      <w:rPr>
        <w:rFonts w:ascii="宋体" w:hAnsi="宋体" w:eastAsia="宋体" w:cs="宋体"/>
        <w:b/>
        <w:bCs/>
        <w:color w:val="005192"/>
        <w:sz w:val="28"/>
        <w:szCs w:val="44"/>
        <w:lang w:eastAsia="zh-Hans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重庆市渝北</w:t>
    </w:r>
    <w:r>
      <w:rPr>
        <w:rFonts w:ascii="宋体" w:hAnsi="宋体" w:eastAsia="宋体" w:cs="宋体"/>
        <w:b/>
        <w:bCs/>
        <w:color w:val="005192"/>
        <w:sz w:val="28"/>
        <w:szCs w:val="44"/>
        <w:lang w:eastAsia="zh-Hans"/>
      </w:rPr>
      <w:t>区人民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政府</w:t>
    </w:r>
    <w:r>
      <w:rPr>
        <w:rFonts w:ascii="宋体" w:hAnsi="宋体" w:eastAsia="宋体" w:cs="宋体"/>
        <w:b/>
        <w:bCs/>
        <w:color w:val="005192"/>
        <w:sz w:val="28"/>
        <w:szCs w:val="44"/>
        <w:lang w:eastAsia="zh-Hans"/>
      </w:rPr>
      <w:t>办公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室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val="en-US"/>
      </w:rPr>
      <w:t xml:space="preserve">  </w:t>
    </w:r>
  </w:p>
  <w:p>
    <w:pPr>
      <w:pStyle w:val="6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ascii="宋体" w:hAnsi="宋体" w:eastAsia="宋体" w:cs="宋体"/>
        <w:b/>
        <w:bCs/>
        <w:color w:val="005192"/>
        <w:sz w:val="28"/>
        <w:szCs w:val="44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14" name="图片 14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</w:t>
    </w:r>
    <w:r>
      <w:rPr>
        <w:rFonts w:ascii="宋体" w:hAnsi="宋体" w:eastAsia="宋体" w:cs="宋体"/>
        <w:b/>
        <w:bCs/>
        <w:color w:val="005192"/>
        <w:sz w:val="32"/>
      </w:rPr>
      <w:t>渝北区人民政府规范性文件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4ED"/>
    <w:rsid w:val="00172A27"/>
    <w:rsid w:val="0032608D"/>
    <w:rsid w:val="0035047A"/>
    <w:rsid w:val="003A33F8"/>
    <w:rsid w:val="0051712A"/>
    <w:rsid w:val="0054010A"/>
    <w:rsid w:val="005F292A"/>
    <w:rsid w:val="00717528"/>
    <w:rsid w:val="00866FDE"/>
    <w:rsid w:val="00875657"/>
    <w:rsid w:val="00976D92"/>
    <w:rsid w:val="009E1FF2"/>
    <w:rsid w:val="00B75250"/>
    <w:rsid w:val="00D57686"/>
    <w:rsid w:val="00D722F5"/>
    <w:rsid w:val="00E575FE"/>
    <w:rsid w:val="00FA4DBC"/>
    <w:rsid w:val="00FE0CC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B690AE3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D953D9"/>
    <w:rsid w:val="25EB1AF4"/>
    <w:rsid w:val="2DD05FE1"/>
    <w:rsid w:val="2DFF02D6"/>
    <w:rsid w:val="2EAE3447"/>
    <w:rsid w:val="31A15F24"/>
    <w:rsid w:val="33286C84"/>
    <w:rsid w:val="36FB1DF0"/>
    <w:rsid w:val="395347B5"/>
    <w:rsid w:val="39A232A0"/>
    <w:rsid w:val="39E745AA"/>
    <w:rsid w:val="3B5A6BBB"/>
    <w:rsid w:val="3CA154E3"/>
    <w:rsid w:val="3D4EEB77"/>
    <w:rsid w:val="3EDA13A6"/>
    <w:rsid w:val="3FF56C14"/>
    <w:rsid w:val="417B75E9"/>
    <w:rsid w:val="419E54BE"/>
    <w:rsid w:val="42430A63"/>
    <w:rsid w:val="42F058B7"/>
    <w:rsid w:val="436109F6"/>
    <w:rsid w:val="441A38D4"/>
    <w:rsid w:val="4504239D"/>
    <w:rsid w:val="4BC77339"/>
    <w:rsid w:val="4C9236C5"/>
    <w:rsid w:val="4E250A85"/>
    <w:rsid w:val="4F0A0ABA"/>
    <w:rsid w:val="4FE2F52F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BFE8519"/>
    <w:rsid w:val="5DC34279"/>
    <w:rsid w:val="5FCD688E"/>
    <w:rsid w:val="5FF9BDAA"/>
    <w:rsid w:val="608816D1"/>
    <w:rsid w:val="60EF4E7F"/>
    <w:rsid w:val="648B0A32"/>
    <w:rsid w:val="658F6764"/>
    <w:rsid w:val="665233C1"/>
    <w:rsid w:val="67F5F100"/>
    <w:rsid w:val="69AC0D42"/>
    <w:rsid w:val="6AD9688B"/>
    <w:rsid w:val="6B68303F"/>
    <w:rsid w:val="6CF42259"/>
    <w:rsid w:val="6D0E3F22"/>
    <w:rsid w:val="6FBF77D9"/>
    <w:rsid w:val="744E4660"/>
    <w:rsid w:val="753355A2"/>
    <w:rsid w:val="759F1C61"/>
    <w:rsid w:val="769F2DE8"/>
    <w:rsid w:val="76FDEB7C"/>
    <w:rsid w:val="79C65162"/>
    <w:rsid w:val="79EE7E31"/>
    <w:rsid w:val="7C9011D9"/>
    <w:rsid w:val="7CE7C300"/>
    <w:rsid w:val="7D3FD552"/>
    <w:rsid w:val="7DC651C5"/>
    <w:rsid w:val="7DFF8CF0"/>
    <w:rsid w:val="7F736EDF"/>
    <w:rsid w:val="7F7B636A"/>
    <w:rsid w:val="7FBBFB31"/>
    <w:rsid w:val="7FCC2834"/>
    <w:rsid w:val="7FFB9527"/>
    <w:rsid w:val="7FFE0AF3"/>
    <w:rsid w:val="7FFF57F5"/>
    <w:rsid w:val="8EFD0CA3"/>
    <w:rsid w:val="92DD1CEF"/>
    <w:rsid w:val="BD9D1569"/>
    <w:rsid w:val="BFEF2424"/>
    <w:rsid w:val="C9B5CC52"/>
    <w:rsid w:val="C9D9C0D3"/>
    <w:rsid w:val="CFBDF3E8"/>
    <w:rsid w:val="CFEBC10A"/>
    <w:rsid w:val="D7395CE0"/>
    <w:rsid w:val="DA8F81F2"/>
    <w:rsid w:val="DBDCC17A"/>
    <w:rsid w:val="E5796372"/>
    <w:rsid w:val="EBBF223C"/>
    <w:rsid w:val="EBDDA9D0"/>
    <w:rsid w:val="F05B4F69"/>
    <w:rsid w:val="F7F902F6"/>
    <w:rsid w:val="F93D79CA"/>
    <w:rsid w:val="F97D9566"/>
    <w:rsid w:val="F9CF26DB"/>
    <w:rsid w:val="FBAFC9E7"/>
    <w:rsid w:val="FDB76129"/>
    <w:rsid w:val="FDF97F01"/>
    <w:rsid w:val="FDFF411C"/>
    <w:rsid w:val="FDFF4EEA"/>
    <w:rsid w:val="FFFA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3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2470</Words>
  <Characters>2528</Characters>
  <Lines>31</Lines>
  <Paragraphs>8</Paragraphs>
  <TotalTime>3</TotalTime>
  <ScaleCrop>false</ScaleCrop>
  <LinksUpToDate>false</LinksUpToDate>
  <CharactersWithSpaces>2587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2024-01-04T02:15:00Z</dcterms:created>
  <dc:creator>t</dc:creator>
  <cp:lastModifiedBy>曹瑜</cp:lastModifiedBy>
  <cp:lastPrinted>2022-06-08T16:09:00Z</cp:lastPrinted>
  <dcterms:modified xsi:type="dcterms:W3CDTF">2025-06-26T02:13:45Z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48C61CB29D3F4D9384F5922CF0F7FFB4</vt:lpwstr>
  </property>
  <property fmtid="{D5CDD505-2E9C-101B-9397-08002B2CF9AE}" pid="4" name="KSOTemplateDocerSaveRecord">
    <vt:lpwstr>eyJoZGlkIjoiZDJiMWRlMjExMGZhNjI4NzQyNDEzOTdkODIzNzU4NmIiLCJ1c2VySWQiOiIyMjA0MjY4MzkifQ==</vt:lpwstr>
  </property>
</Properties>
</file>