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zCs w:val="32"/>
          <w:highlight w:val="none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重庆市渝北区人民政府办公室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kern w:val="0"/>
          <w:sz w:val="31"/>
          <w:szCs w:val="31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</w:rPr>
        <w:t>关于印发《渝北区促进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</w:rPr>
        <w:t>专精特新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shd w:val="clear" w:color="auto" w:fill="FFFFFF"/>
        </w:rPr>
        <w:t>中小企业发展若干政策措施》的通知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楷体_GBK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渝北府办发〔</w:t>
      </w:r>
      <w:r>
        <w:rPr>
          <w:rFonts w:hint="default" w:ascii="Times New Roman" w:hAnsi="Times New Roman" w:cs="Times New Roman"/>
          <w:szCs w:val="32"/>
          <w:highlight w:val="none"/>
        </w:rPr>
        <w:t>2024</w:t>
      </w:r>
      <w:r>
        <w:rPr>
          <w:rFonts w:hint="default" w:ascii="Times New Roman" w:hAnsi="Times New Roman" w:cs="Times New Roman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szCs w:val="32"/>
          <w:highlight w:val="none"/>
        </w:rPr>
        <w:t>34</w:t>
      </w:r>
      <w:r>
        <w:rPr>
          <w:rFonts w:hint="default" w:ascii="Times New Roman" w:hAnsi="Times New Roman" w:cs="Times New Roman"/>
          <w:szCs w:val="32"/>
          <w:highlight w:val="none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微软雅黑" w:cs="Times New Roman"/>
          <w:kern w:val="0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1"/>
          <w:szCs w:val="31"/>
          <w:highlight w:val="none"/>
          <w:shd w:val="clear" w:color="auto" w:fill="FFFFFF"/>
        </w:rPr>
        <w:t>各镇人民政府，区政府各部门，各街道办事处，各区属国有公司，有关单位：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《渝北区促进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中小企业发展若干政策措施》已经区政府领导同意，现印发给你们，请认真抓好贯彻落实。《重庆市渝北区人民政府办公室关于印发〈渝北区促进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中小企业发展若干政策措施〉的通知》（渝北府办发〔2022〕38号）同时废止。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4406" w:firstLineChars="1377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重庆市渝北区人民政府办公室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5190" w:firstLineChars="1622"/>
        <w:jc w:val="left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2024</w:t>
      </w:r>
      <w:r>
        <w:rPr>
          <w:rFonts w:hint="default" w:ascii="Times New Roman" w:hAnsi="Times New Roman" w:cs="Times New Roman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szCs w:val="32"/>
          <w:highlight w:val="none"/>
        </w:rPr>
        <w:t>12</w:t>
      </w:r>
      <w:r>
        <w:rPr>
          <w:rFonts w:hint="default" w:ascii="Times New Roman" w:hAnsi="Times New Roman" w:cs="Times New Roman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szCs w:val="32"/>
          <w:highlight w:val="none"/>
        </w:rPr>
        <w:t>12</w:t>
      </w:r>
      <w:r>
        <w:rPr>
          <w:rFonts w:hint="default" w:ascii="Times New Roman" w:hAnsi="Times New Roman" w:cs="Times New Roman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渝北区促进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专精特新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中小企业发展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若干政策措施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pacing w:val="6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根据《重庆市人民政府办公厅关于印发重庆市推进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企业高质量发展行动计划（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-</w:t>
      </w:r>
      <w:r>
        <w:rPr>
          <w:rFonts w:hint="default" w:ascii="Times New Roman" w:hAnsi="Times New Roman" w:cs="Times New Roman"/>
          <w:szCs w:val="32"/>
          <w:highlight w:val="none"/>
        </w:rPr>
        <w:t>2025</w:t>
      </w:r>
      <w:r>
        <w:rPr>
          <w:rFonts w:hint="default" w:ascii="Times New Roman" w:hAnsi="Times New Roman" w:cs="Times New Roman"/>
          <w:szCs w:val="32"/>
          <w:highlight w:val="none"/>
        </w:rPr>
        <w:t>）的通知》精神，为培育壮大一批专注细分市场、创新能力强、质量效益高、产业支撑作用大的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中小企业（包含市级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企业、国家专精特新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企业），引领带动全区中小企业高质量发展，力争到</w:t>
      </w:r>
      <w:r>
        <w:rPr>
          <w:rFonts w:hint="default" w:ascii="Times New Roman" w:hAnsi="Times New Roman" w:cs="Times New Roman"/>
          <w:szCs w:val="32"/>
          <w:highlight w:val="none"/>
        </w:rPr>
        <w:t>2025</w:t>
      </w:r>
      <w:r>
        <w:rPr>
          <w:rFonts w:hint="default" w:ascii="Times New Roman" w:hAnsi="Times New Roman" w:cs="Times New Roman"/>
          <w:szCs w:val="32"/>
          <w:highlight w:val="none"/>
        </w:rPr>
        <w:t>年，全区市级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企业达到</w:t>
      </w:r>
      <w:r>
        <w:rPr>
          <w:rFonts w:hint="default" w:ascii="Times New Roman" w:hAnsi="Times New Roman" w:cs="Times New Roman"/>
          <w:szCs w:val="32"/>
          <w:highlight w:val="none"/>
        </w:rPr>
        <w:t>180</w:t>
      </w:r>
      <w:r>
        <w:rPr>
          <w:rFonts w:hint="default" w:ascii="Times New Roman" w:hAnsi="Times New Roman" w:cs="Times New Roman"/>
          <w:szCs w:val="32"/>
          <w:highlight w:val="none"/>
        </w:rPr>
        <w:t>家，国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家专精特新</w:t>
      </w:r>
      <w:r>
        <w:rPr>
          <w:rFonts w:hint="eastAsia" w:ascii="Times New Roman" w:hAnsi="Times New Roman" w:cs="Times New Roman"/>
          <w:spacing w:val="6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pacing w:val="6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企业达到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23</w:t>
      </w:r>
      <w:r>
        <w:rPr>
          <w:rFonts w:hint="default" w:ascii="Times New Roman" w:hAnsi="Times New Roman" w:cs="Times New Roman"/>
          <w:spacing w:val="6"/>
          <w:szCs w:val="32"/>
          <w:highlight w:val="none"/>
        </w:rPr>
        <w:t>家，结合渝北实际，制定本措施。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一、引育双管齐下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pacing w:val="-6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>1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. 强化招商引资。</w:t>
      </w:r>
      <w:r>
        <w:rPr>
          <w:rFonts w:hint="default" w:ascii="Times New Roman" w:hAnsi="Times New Roman" w:cs="Times New Roman"/>
          <w:szCs w:val="32"/>
          <w:highlight w:val="none"/>
        </w:rPr>
        <w:t>立足全区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2335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现代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制造业集群</w:t>
      </w:r>
      <w:r>
        <w:rPr>
          <w:rFonts w:hint="default" w:ascii="Times New Roman" w:hAnsi="Times New Roman" w:cs="Times New Roman"/>
          <w:szCs w:val="32"/>
          <w:highlight w:val="none"/>
        </w:rPr>
        <w:t>体系、放眼战新产业和先导产业，围绕汽车、电子等支柱产业深入开展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延链补链强链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，聚焦元宇宙、人工智能、生物医药等前沿领域的初创企业下好先手棋。</w:t>
      </w:r>
      <w:r>
        <w:rPr>
          <w:rFonts w:hint="default" w:ascii="Times New Roman" w:hAnsi="Times New Roman" w:cs="Times New Roman"/>
          <w:spacing w:val="-6"/>
          <w:szCs w:val="32"/>
          <w:highlight w:val="none"/>
        </w:rPr>
        <w:t>（责任单位：区经济信息委、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pacing w:val="-6"/>
          <w:szCs w:val="32"/>
          <w:highlight w:val="none"/>
        </w:rPr>
        <w:t>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2.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引导集聚发展。</w:t>
      </w:r>
      <w:r>
        <w:rPr>
          <w:rFonts w:hint="default" w:ascii="Times New Roman" w:hAnsi="Times New Roman" w:cs="Times New Roman"/>
          <w:szCs w:val="32"/>
          <w:highlight w:val="none"/>
        </w:rPr>
        <w:t>鼓励国有平台公司和民营企业利用标准厂房和楼宇资源，建立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孵化园区。重点支持创新经济走廊打造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汽车电子及智能终端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科技型初创企业园区；仙桃数据谷、三龙地区打造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软件和信息服务业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科技型初创企业园区。（责任单位：区经济信息委、相关区级国有公司）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3.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保障生产用房。</w:t>
      </w:r>
      <w:r>
        <w:rPr>
          <w:rFonts w:hint="default" w:ascii="Times New Roman" w:hAnsi="Times New Roman" w:cs="Times New Roman"/>
          <w:szCs w:val="32"/>
          <w:highlight w:val="none"/>
        </w:rPr>
        <w:t>对上年度生产产值（主营业务收入）增速超过</w:t>
      </w:r>
      <w:r>
        <w:rPr>
          <w:rFonts w:hint="default" w:ascii="Times New Roman" w:hAnsi="Times New Roman" w:cs="Times New Roman"/>
          <w:szCs w:val="32"/>
          <w:highlight w:val="none"/>
        </w:rPr>
        <w:t>20%</w:t>
      </w:r>
      <w:r>
        <w:rPr>
          <w:rFonts w:hint="default" w:ascii="Times New Roman" w:hAnsi="Times New Roman" w:cs="Times New Roman"/>
          <w:szCs w:val="32"/>
          <w:highlight w:val="none"/>
        </w:rPr>
        <w:t>的市级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企业给予房租补贴。其中租用国有厂房（楼宇）且租金超过</w:t>
      </w:r>
      <w:r>
        <w:rPr>
          <w:rFonts w:hint="default" w:ascii="Times New Roman" w:hAnsi="Times New Roman" w:cs="Times New Roman"/>
          <w:szCs w:val="32"/>
          <w:highlight w:val="none"/>
        </w:rPr>
        <w:t>20</w:t>
      </w:r>
      <w:r>
        <w:rPr>
          <w:rFonts w:hint="default" w:ascii="Times New Roman" w:hAnsi="Times New Roman" w:cs="Times New Roman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szCs w:val="32"/>
          <w:highlight w:val="none"/>
        </w:rPr>
        <w:t>/</w:t>
      </w:r>
      <w:r>
        <w:rPr>
          <w:rFonts w:hint="default" w:ascii="Times New Roman" w:hAnsi="Times New Roman" w:cs="Times New Roman"/>
          <w:szCs w:val="32"/>
          <w:highlight w:val="none"/>
        </w:rPr>
        <w:t>平方米·月的，厂房（楼宇）所属国有平台公司或镇街按照</w:t>
      </w:r>
      <w:r>
        <w:rPr>
          <w:rFonts w:hint="default" w:ascii="Times New Roman" w:hAnsi="Times New Roman" w:cs="Times New Roman"/>
          <w:szCs w:val="32"/>
          <w:highlight w:val="none"/>
        </w:rPr>
        <w:t>5</w:t>
      </w:r>
      <w:r>
        <w:rPr>
          <w:rFonts w:hint="default" w:ascii="Times New Roman" w:hAnsi="Times New Roman" w:cs="Times New Roman"/>
          <w:szCs w:val="32"/>
          <w:highlight w:val="none"/>
        </w:rPr>
        <w:t>元</w:t>
      </w:r>
      <w:r>
        <w:rPr>
          <w:rFonts w:hint="default" w:ascii="Times New Roman" w:hAnsi="Times New Roman" w:cs="Times New Roman"/>
          <w:szCs w:val="32"/>
          <w:highlight w:val="none"/>
        </w:rPr>
        <w:t>/</w:t>
      </w:r>
      <w:r>
        <w:rPr>
          <w:rFonts w:hint="default" w:ascii="Times New Roman" w:hAnsi="Times New Roman" w:cs="Times New Roman"/>
          <w:szCs w:val="32"/>
          <w:highlight w:val="none"/>
        </w:rPr>
        <w:t>平方米·月的标准对企业给予减免，每家企业减免额度不超过</w:t>
      </w:r>
      <w:r>
        <w:rPr>
          <w:rFonts w:hint="default" w:ascii="Times New Roman" w:hAnsi="Times New Roman" w:cs="Times New Roman"/>
          <w:szCs w:val="32"/>
          <w:highlight w:val="none"/>
        </w:rPr>
        <w:t>50</w:t>
      </w:r>
      <w:r>
        <w:rPr>
          <w:rFonts w:hint="default" w:ascii="Times New Roman" w:hAnsi="Times New Roman" w:cs="Times New Roman"/>
          <w:szCs w:val="32"/>
          <w:highlight w:val="none"/>
        </w:rPr>
        <w:t>万元</w:t>
      </w:r>
      <w:r>
        <w:rPr>
          <w:rFonts w:hint="default" w:ascii="Times New Roman" w:hAnsi="Times New Roman" w:cs="Times New Roman"/>
          <w:szCs w:val="32"/>
          <w:highlight w:val="none"/>
        </w:rPr>
        <w:t>/</w:t>
      </w:r>
      <w:r>
        <w:rPr>
          <w:rFonts w:hint="default" w:ascii="Times New Roman" w:hAnsi="Times New Roman" w:cs="Times New Roman"/>
          <w:szCs w:val="32"/>
          <w:highlight w:val="none"/>
        </w:rPr>
        <w:t>年；利用社会闲置厂房（楼宇）的，企业所属国有平台公司或镇街参照租用国有厂房（楼宇）的减免标准对企业进行补贴审核，区经济信息委复核后给予补贴。（责任单位：区经济信息委、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zCs w:val="32"/>
          <w:highlight w:val="none"/>
        </w:rPr>
        <w:t>、各镇街、相关区级国有公司）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4.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聚焦汽车电子。</w:t>
      </w:r>
      <w:r>
        <w:rPr>
          <w:rFonts w:hint="default" w:ascii="Times New Roman" w:hAnsi="Times New Roman" w:cs="Times New Roman"/>
          <w:szCs w:val="32"/>
          <w:highlight w:val="none"/>
        </w:rPr>
        <w:t>重点打造市级汽车电子重点关键产业园，围绕智能座舱、自动驾驶</w:t>
      </w:r>
      <w:r>
        <w:rPr>
          <w:rFonts w:hint="default" w:ascii="Times New Roman" w:hAnsi="Times New Roman" w:cs="Times New Roman"/>
          <w:szCs w:val="32"/>
          <w:highlight w:val="none"/>
        </w:rPr>
        <w:t>/</w:t>
      </w:r>
      <w:r>
        <w:rPr>
          <w:rFonts w:hint="default" w:ascii="Times New Roman" w:hAnsi="Times New Roman" w:cs="Times New Roman"/>
          <w:szCs w:val="32"/>
          <w:highlight w:val="none"/>
        </w:rPr>
        <w:t>辅助驾驶、大小三电等关键领域，引导企业开发新品、拓展市场、聚焦发展、挂牌上市。力争到</w:t>
      </w:r>
      <w:r>
        <w:rPr>
          <w:rFonts w:hint="default" w:ascii="Times New Roman" w:hAnsi="Times New Roman" w:cs="Times New Roman"/>
          <w:szCs w:val="32"/>
          <w:highlight w:val="none"/>
        </w:rPr>
        <w:t>2025</w:t>
      </w:r>
      <w:r>
        <w:rPr>
          <w:rFonts w:hint="default" w:ascii="Times New Roman" w:hAnsi="Times New Roman" w:cs="Times New Roman"/>
          <w:szCs w:val="32"/>
          <w:highlight w:val="none"/>
        </w:rPr>
        <w:t>年区内汽车电子企业专精特新普及率达到</w:t>
      </w:r>
      <w:r>
        <w:rPr>
          <w:rFonts w:hint="default" w:ascii="Times New Roman" w:hAnsi="Times New Roman" w:cs="Times New Roman"/>
          <w:szCs w:val="32"/>
          <w:highlight w:val="none"/>
        </w:rPr>
        <w:t>40%</w:t>
      </w:r>
      <w:r>
        <w:rPr>
          <w:rFonts w:hint="default" w:ascii="Times New Roman" w:hAnsi="Times New Roman" w:cs="Times New Roman"/>
          <w:szCs w:val="32"/>
          <w:highlight w:val="none"/>
        </w:rPr>
        <w:t>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二、加强财税扶持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5.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给予认定奖励。</w:t>
      </w:r>
      <w:r>
        <w:rPr>
          <w:rFonts w:hint="default" w:ascii="Times New Roman" w:hAnsi="Times New Roman" w:cs="Times New Roman"/>
          <w:szCs w:val="32"/>
          <w:highlight w:val="none"/>
        </w:rPr>
        <w:t>对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年以后（包括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年）获得市级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的区内企业给予奖励，其中市级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</w:t>
      </w:r>
      <w:r>
        <w:rPr>
          <w:rFonts w:hint="default" w:ascii="Times New Roman" w:hAnsi="Times New Roman" w:cs="Times New Roman"/>
          <w:szCs w:val="32"/>
          <w:highlight w:val="none"/>
        </w:rPr>
        <w:t>10</w:t>
      </w:r>
      <w:r>
        <w:rPr>
          <w:rFonts w:hint="default" w:ascii="Times New Roman" w:hAnsi="Times New Roman" w:cs="Times New Roman"/>
          <w:szCs w:val="32"/>
          <w:highlight w:val="none"/>
        </w:rPr>
        <w:t>万元、国家专精特新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企业给予</w:t>
      </w:r>
      <w:r>
        <w:rPr>
          <w:rFonts w:hint="default" w:ascii="Times New Roman" w:hAnsi="Times New Roman" w:cs="Times New Roman"/>
          <w:szCs w:val="32"/>
          <w:highlight w:val="none"/>
        </w:rPr>
        <w:t>50</w:t>
      </w:r>
      <w:r>
        <w:rPr>
          <w:rFonts w:hint="default" w:ascii="Times New Roman" w:hAnsi="Times New Roman" w:cs="Times New Roman"/>
          <w:szCs w:val="32"/>
          <w:highlight w:val="none"/>
        </w:rPr>
        <w:t>万元；以后每次通过复核且近</w:t>
      </w:r>
      <w:r>
        <w:rPr>
          <w:rFonts w:hint="default" w:ascii="Times New Roman" w:hAnsi="Times New Roman" w:cs="Times New Roman"/>
          <w:szCs w:val="32"/>
          <w:highlight w:val="none"/>
        </w:rPr>
        <w:t>2</w:t>
      </w:r>
      <w:r>
        <w:rPr>
          <w:rFonts w:hint="default" w:ascii="Times New Roman" w:hAnsi="Times New Roman" w:cs="Times New Roman"/>
          <w:szCs w:val="32"/>
          <w:highlight w:val="none"/>
        </w:rPr>
        <w:t>年生产产值（主营业务收入）平均增长率超过</w:t>
      </w:r>
      <w:r>
        <w:rPr>
          <w:rFonts w:hint="default" w:ascii="Times New Roman" w:hAnsi="Times New Roman" w:cs="Times New Roman"/>
          <w:szCs w:val="32"/>
          <w:highlight w:val="none"/>
        </w:rPr>
        <w:t>10%</w:t>
      </w:r>
      <w:r>
        <w:rPr>
          <w:rFonts w:hint="default" w:ascii="Times New Roman" w:hAnsi="Times New Roman" w:cs="Times New Roman"/>
          <w:szCs w:val="32"/>
          <w:highlight w:val="none"/>
        </w:rPr>
        <w:t>的企业，再分别给予</w:t>
      </w:r>
      <w:r>
        <w:rPr>
          <w:rFonts w:hint="default" w:ascii="Times New Roman" w:hAnsi="Times New Roman" w:cs="Times New Roman"/>
          <w:szCs w:val="32"/>
          <w:highlight w:val="none"/>
        </w:rPr>
        <w:t>5</w:t>
      </w:r>
      <w:r>
        <w:rPr>
          <w:rFonts w:hint="default" w:ascii="Times New Roman" w:hAnsi="Times New Roman" w:cs="Times New Roman"/>
          <w:szCs w:val="32"/>
          <w:highlight w:val="none"/>
        </w:rPr>
        <w:t>万元、</w:t>
      </w:r>
      <w:r>
        <w:rPr>
          <w:rFonts w:hint="default" w:ascii="Times New Roman" w:hAnsi="Times New Roman" w:cs="Times New Roman"/>
          <w:szCs w:val="32"/>
          <w:highlight w:val="none"/>
        </w:rPr>
        <w:t>25</w:t>
      </w:r>
      <w:r>
        <w:rPr>
          <w:rFonts w:hint="default" w:ascii="Times New Roman" w:hAnsi="Times New Roman" w:cs="Times New Roman"/>
          <w:szCs w:val="32"/>
          <w:highlight w:val="none"/>
        </w:rPr>
        <w:t>万元奖励。对于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年以前认定的市级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和国家专精特新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小巨人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企业，首次复核通过后分别给予</w:t>
      </w:r>
      <w:r>
        <w:rPr>
          <w:rFonts w:hint="default" w:ascii="Times New Roman" w:hAnsi="Times New Roman" w:cs="Times New Roman"/>
          <w:szCs w:val="32"/>
          <w:highlight w:val="none"/>
        </w:rPr>
        <w:t>10</w:t>
      </w:r>
      <w:r>
        <w:rPr>
          <w:rFonts w:hint="default" w:ascii="Times New Roman" w:hAnsi="Times New Roman" w:cs="Times New Roman"/>
          <w:szCs w:val="32"/>
          <w:highlight w:val="none"/>
        </w:rPr>
        <w:t>万元、</w:t>
      </w:r>
      <w:r>
        <w:rPr>
          <w:rFonts w:hint="default" w:ascii="Times New Roman" w:hAnsi="Times New Roman" w:cs="Times New Roman"/>
          <w:szCs w:val="32"/>
          <w:highlight w:val="none"/>
        </w:rPr>
        <w:t>50</w:t>
      </w:r>
      <w:r>
        <w:rPr>
          <w:rFonts w:hint="default" w:ascii="Times New Roman" w:hAnsi="Times New Roman" w:cs="Times New Roman"/>
          <w:szCs w:val="32"/>
          <w:highlight w:val="none"/>
        </w:rPr>
        <w:t>万元奖励；以后每次通过复核且近</w:t>
      </w:r>
      <w:r>
        <w:rPr>
          <w:rFonts w:hint="default" w:ascii="Times New Roman" w:hAnsi="Times New Roman" w:cs="Times New Roman"/>
          <w:szCs w:val="32"/>
          <w:highlight w:val="none"/>
        </w:rPr>
        <w:t>2</w:t>
      </w:r>
      <w:r>
        <w:rPr>
          <w:rFonts w:hint="default" w:ascii="Times New Roman" w:hAnsi="Times New Roman" w:cs="Times New Roman"/>
          <w:szCs w:val="32"/>
          <w:highlight w:val="none"/>
        </w:rPr>
        <w:t>年生产产值（主营业务收入）平均增长率超过</w:t>
      </w:r>
      <w:r>
        <w:rPr>
          <w:rFonts w:hint="default" w:ascii="Times New Roman" w:hAnsi="Times New Roman" w:cs="Times New Roman"/>
          <w:szCs w:val="32"/>
          <w:highlight w:val="none"/>
        </w:rPr>
        <w:t>10%</w:t>
      </w:r>
      <w:r>
        <w:rPr>
          <w:rFonts w:hint="default" w:ascii="Times New Roman" w:hAnsi="Times New Roman" w:cs="Times New Roman"/>
          <w:szCs w:val="32"/>
          <w:highlight w:val="none"/>
        </w:rPr>
        <w:t>的企业，再分别给予</w:t>
      </w:r>
      <w:r>
        <w:rPr>
          <w:rFonts w:hint="default" w:ascii="Times New Roman" w:hAnsi="Times New Roman" w:cs="Times New Roman"/>
          <w:szCs w:val="32"/>
          <w:highlight w:val="none"/>
        </w:rPr>
        <w:t>5</w:t>
      </w:r>
      <w:r>
        <w:rPr>
          <w:rFonts w:hint="default" w:ascii="Times New Roman" w:hAnsi="Times New Roman" w:cs="Times New Roman"/>
          <w:szCs w:val="32"/>
          <w:highlight w:val="none"/>
        </w:rPr>
        <w:t>万元、</w:t>
      </w:r>
      <w:r>
        <w:rPr>
          <w:rFonts w:hint="default" w:ascii="Times New Roman" w:hAnsi="Times New Roman" w:cs="Times New Roman"/>
          <w:szCs w:val="32"/>
          <w:highlight w:val="none"/>
        </w:rPr>
        <w:t>25</w:t>
      </w:r>
      <w:r>
        <w:rPr>
          <w:rFonts w:hint="default" w:ascii="Times New Roman" w:hAnsi="Times New Roman" w:cs="Times New Roman"/>
          <w:szCs w:val="32"/>
          <w:highlight w:val="none"/>
        </w:rPr>
        <w:t>万元奖励。（责任单位：区财政局、区经济信息委）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6.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用好专项资金。</w:t>
      </w:r>
      <w:r>
        <w:rPr>
          <w:rFonts w:hint="default" w:ascii="Times New Roman" w:hAnsi="Times New Roman" w:cs="Times New Roman"/>
          <w:szCs w:val="32"/>
          <w:highlight w:val="none"/>
        </w:rPr>
        <w:t>调整优化全区工业和信息化政策，对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企业实施智能化改造、绿色化改造给予重点支持。对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企业运用新一代信息技术，发展数字化管理、定制、服务等新模式和新场景，给予重点支持。（责任单位：区财政局、区经济信息委）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7.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支持企业上市。</w:t>
      </w:r>
      <w:r>
        <w:rPr>
          <w:rFonts w:hint="default" w:ascii="Times New Roman" w:hAnsi="Times New Roman" w:cs="Times New Roman"/>
          <w:szCs w:val="32"/>
          <w:highlight w:val="none"/>
        </w:rPr>
        <w:t>区内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企业在重庆市</w:t>
      </w:r>
      <w:r>
        <w:rPr>
          <w:rFonts w:hint="default" w:ascii="Times New Roman" w:hAnsi="Times New Roman" w:cs="Times New Roman"/>
          <w:szCs w:val="32"/>
          <w:highlight w:val="none"/>
        </w:rPr>
        <w:t>OTC</w:t>
      </w:r>
      <w:r>
        <w:rPr>
          <w:rFonts w:hint="default" w:ascii="Times New Roman" w:hAnsi="Times New Roman" w:cs="Times New Roman"/>
          <w:szCs w:val="32"/>
          <w:highlight w:val="none"/>
        </w:rPr>
        <w:t>成长板、专精特新板挂牌的，给予</w:t>
      </w:r>
      <w:r>
        <w:rPr>
          <w:rFonts w:hint="default" w:ascii="Times New Roman" w:hAnsi="Times New Roman" w:cs="Times New Roman"/>
          <w:szCs w:val="32"/>
          <w:highlight w:val="none"/>
        </w:rPr>
        <w:t>60</w:t>
      </w:r>
      <w:r>
        <w:rPr>
          <w:rFonts w:hint="default" w:ascii="Times New Roman" w:hAnsi="Times New Roman" w:cs="Times New Roman"/>
          <w:szCs w:val="32"/>
          <w:highlight w:val="none"/>
        </w:rPr>
        <w:t>万元奖励。在新三板挂牌的，分阶段给予</w:t>
      </w:r>
      <w:r>
        <w:rPr>
          <w:rFonts w:hint="default" w:ascii="Times New Roman" w:hAnsi="Times New Roman" w:cs="Times New Roman"/>
          <w:szCs w:val="32"/>
          <w:highlight w:val="none"/>
        </w:rPr>
        <w:t>300</w:t>
      </w:r>
      <w:r>
        <w:rPr>
          <w:rFonts w:hint="default" w:ascii="Times New Roman" w:hAnsi="Times New Roman" w:cs="Times New Roman"/>
          <w:szCs w:val="32"/>
          <w:highlight w:val="none"/>
        </w:rPr>
        <w:t>万元奖励，其中：通过券商内核并报送挂牌备案文件给予</w:t>
      </w:r>
      <w:r>
        <w:rPr>
          <w:rFonts w:hint="default" w:ascii="Times New Roman" w:hAnsi="Times New Roman" w:cs="Times New Roman"/>
          <w:szCs w:val="32"/>
          <w:highlight w:val="none"/>
        </w:rPr>
        <w:t>100</w:t>
      </w:r>
      <w:r>
        <w:rPr>
          <w:rFonts w:hint="default" w:ascii="Times New Roman" w:hAnsi="Times New Roman" w:cs="Times New Roman"/>
          <w:szCs w:val="32"/>
          <w:highlight w:val="none"/>
        </w:rPr>
        <w:t>万元奖励；首次在基础层或创新层成功挂牌后给予</w:t>
      </w:r>
      <w:r>
        <w:rPr>
          <w:rFonts w:hint="default" w:ascii="Times New Roman" w:hAnsi="Times New Roman" w:cs="Times New Roman"/>
          <w:szCs w:val="32"/>
          <w:highlight w:val="none"/>
        </w:rPr>
        <w:t>100</w:t>
      </w:r>
      <w:r>
        <w:rPr>
          <w:rFonts w:hint="default" w:ascii="Times New Roman" w:hAnsi="Times New Roman" w:cs="Times New Roman"/>
          <w:szCs w:val="32"/>
          <w:highlight w:val="none"/>
        </w:rPr>
        <w:t>万元奖励；首次在精选层成功挂牌后给予</w:t>
      </w:r>
      <w:r>
        <w:rPr>
          <w:rFonts w:hint="default" w:ascii="Times New Roman" w:hAnsi="Times New Roman" w:cs="Times New Roman"/>
          <w:szCs w:val="32"/>
          <w:highlight w:val="none"/>
        </w:rPr>
        <w:t>200</w:t>
      </w:r>
      <w:r>
        <w:rPr>
          <w:rFonts w:hint="default" w:ascii="Times New Roman" w:hAnsi="Times New Roman" w:cs="Times New Roman"/>
          <w:szCs w:val="32"/>
          <w:highlight w:val="none"/>
        </w:rPr>
        <w:t>万元奖励。在境内首发上市的，分阶段给予</w:t>
      </w:r>
      <w:r>
        <w:rPr>
          <w:rFonts w:hint="default" w:ascii="Times New Roman" w:hAnsi="Times New Roman" w:cs="Times New Roman"/>
          <w:szCs w:val="32"/>
          <w:highlight w:val="none"/>
        </w:rPr>
        <w:t>1000</w:t>
      </w:r>
      <w:r>
        <w:rPr>
          <w:rFonts w:hint="default" w:ascii="Times New Roman" w:hAnsi="Times New Roman" w:cs="Times New Roman"/>
          <w:szCs w:val="32"/>
          <w:highlight w:val="none"/>
        </w:rPr>
        <w:t>万元奖励，其中：进入首次公开发行股票辅导程序，向重庆证监局提交《股票发行上市辅导报告》并通过辅导验收备案后给予</w:t>
      </w:r>
      <w:r>
        <w:rPr>
          <w:rFonts w:hint="default" w:ascii="Times New Roman" w:hAnsi="Times New Roman" w:cs="Times New Roman"/>
          <w:szCs w:val="32"/>
          <w:highlight w:val="none"/>
        </w:rPr>
        <w:t>200</w:t>
      </w:r>
      <w:r>
        <w:rPr>
          <w:rFonts w:hint="default" w:ascii="Times New Roman" w:hAnsi="Times New Roman" w:cs="Times New Roman"/>
          <w:szCs w:val="32"/>
          <w:highlight w:val="none"/>
        </w:rPr>
        <w:t>万元奖励；向证监会或交易所提交拟发行股票上市的申请被受理后给予</w:t>
      </w:r>
      <w:r>
        <w:rPr>
          <w:rFonts w:hint="default" w:ascii="Times New Roman" w:hAnsi="Times New Roman" w:cs="Times New Roman"/>
          <w:szCs w:val="32"/>
          <w:highlight w:val="none"/>
        </w:rPr>
        <w:t>300</w:t>
      </w:r>
      <w:r>
        <w:rPr>
          <w:rFonts w:hint="default" w:ascii="Times New Roman" w:hAnsi="Times New Roman" w:cs="Times New Roman"/>
          <w:szCs w:val="32"/>
          <w:highlight w:val="none"/>
        </w:rPr>
        <w:t>万元奖励；企业完成首发上市后给予</w:t>
      </w:r>
      <w:r>
        <w:rPr>
          <w:rFonts w:hint="default" w:ascii="Times New Roman" w:hAnsi="Times New Roman" w:cs="Times New Roman"/>
          <w:szCs w:val="32"/>
          <w:highlight w:val="none"/>
        </w:rPr>
        <w:t>500</w:t>
      </w:r>
      <w:r>
        <w:rPr>
          <w:rFonts w:hint="default" w:ascii="Times New Roman" w:hAnsi="Times New Roman" w:cs="Times New Roman"/>
          <w:szCs w:val="32"/>
          <w:highlight w:val="none"/>
        </w:rPr>
        <w:t>万元奖励。（责任单位：区财政局、区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8.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切实减税减负。</w:t>
      </w:r>
      <w:r>
        <w:rPr>
          <w:rFonts w:hint="default" w:ascii="Times New Roman" w:hAnsi="Times New Roman" w:cs="Times New Roman"/>
          <w:szCs w:val="32"/>
          <w:highlight w:val="none"/>
        </w:rPr>
        <w:t>自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szCs w:val="32"/>
          <w:highlight w:val="none"/>
        </w:rPr>
        <w:t>1</w:t>
      </w:r>
      <w:r>
        <w:rPr>
          <w:rFonts w:hint="default" w:ascii="Times New Roman" w:hAnsi="Times New Roman" w:cs="Times New Roman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szCs w:val="32"/>
          <w:highlight w:val="none"/>
        </w:rPr>
        <w:t>1</w:t>
      </w:r>
      <w:r>
        <w:rPr>
          <w:rFonts w:hint="default" w:ascii="Times New Roman" w:hAnsi="Times New Roman" w:cs="Times New Roman"/>
          <w:szCs w:val="32"/>
          <w:highlight w:val="none"/>
        </w:rPr>
        <w:t>日起至</w:t>
      </w:r>
      <w:r>
        <w:rPr>
          <w:rFonts w:hint="default" w:ascii="Times New Roman" w:hAnsi="Times New Roman" w:cs="Times New Roman"/>
          <w:szCs w:val="32"/>
          <w:highlight w:val="none"/>
        </w:rPr>
        <w:t>2024</w:t>
      </w:r>
      <w:r>
        <w:rPr>
          <w:rFonts w:hint="default" w:ascii="Times New Roman" w:hAnsi="Times New Roman" w:cs="Times New Roman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szCs w:val="32"/>
          <w:highlight w:val="none"/>
        </w:rPr>
        <w:t>12</w:t>
      </w:r>
      <w:r>
        <w:rPr>
          <w:rFonts w:hint="default" w:ascii="Times New Roman" w:hAnsi="Times New Roman" w:cs="Times New Roman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szCs w:val="32"/>
          <w:highlight w:val="none"/>
        </w:rPr>
        <w:t>31</w:t>
      </w:r>
      <w:r>
        <w:rPr>
          <w:rFonts w:hint="default" w:ascii="Times New Roman" w:hAnsi="Times New Roman" w:cs="Times New Roman"/>
          <w:szCs w:val="32"/>
          <w:highlight w:val="none"/>
        </w:rPr>
        <w:t>日，小微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企业在</w:t>
      </w:r>
      <w:r>
        <w:rPr>
          <w:rFonts w:hint="default" w:ascii="Times New Roman" w:hAnsi="Times New Roman" w:cs="Times New Roman"/>
          <w:szCs w:val="32"/>
          <w:highlight w:val="none"/>
        </w:rPr>
        <w:t>50%</w:t>
      </w:r>
      <w:r>
        <w:rPr>
          <w:rFonts w:hint="default" w:ascii="Times New Roman" w:hAnsi="Times New Roman" w:cs="Times New Roman"/>
          <w:szCs w:val="32"/>
          <w:highlight w:val="none"/>
        </w:rPr>
        <w:t>税额幅度内减征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六税两费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；科技型中小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企业开展研发活动中实际发生的研发费用，未形成无形资产计入当期损益的，在按规定据实扣除的基础上，自</w:t>
      </w:r>
      <w:r>
        <w:rPr>
          <w:rFonts w:hint="default" w:ascii="Times New Roman" w:hAnsi="Times New Roman" w:cs="Times New Roman"/>
          <w:szCs w:val="32"/>
          <w:highlight w:val="none"/>
        </w:rPr>
        <w:t>2022</w:t>
      </w:r>
      <w:r>
        <w:rPr>
          <w:rFonts w:hint="default" w:ascii="Times New Roman" w:hAnsi="Times New Roman" w:cs="Times New Roman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szCs w:val="32"/>
          <w:highlight w:val="none"/>
        </w:rPr>
        <w:t>1</w:t>
      </w:r>
      <w:r>
        <w:rPr>
          <w:rFonts w:hint="default" w:ascii="Times New Roman" w:hAnsi="Times New Roman" w:cs="Times New Roman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szCs w:val="32"/>
          <w:highlight w:val="none"/>
        </w:rPr>
        <w:t>1</w:t>
      </w:r>
      <w:r>
        <w:rPr>
          <w:rFonts w:hint="default" w:ascii="Times New Roman" w:hAnsi="Times New Roman" w:cs="Times New Roman"/>
          <w:szCs w:val="32"/>
          <w:highlight w:val="none"/>
        </w:rPr>
        <w:t>日起，再按照实际发生额的</w:t>
      </w:r>
      <w:r>
        <w:rPr>
          <w:rFonts w:hint="default" w:ascii="Times New Roman" w:hAnsi="Times New Roman" w:cs="Times New Roman"/>
          <w:szCs w:val="32"/>
          <w:highlight w:val="none"/>
        </w:rPr>
        <w:t>100%</w:t>
      </w:r>
      <w:r>
        <w:rPr>
          <w:rFonts w:hint="default" w:ascii="Times New Roman" w:hAnsi="Times New Roman" w:cs="Times New Roman"/>
          <w:szCs w:val="32"/>
          <w:highlight w:val="none"/>
        </w:rPr>
        <w:t>在税前扣除；形成无形资产的，按照无形资产</w:t>
      </w:r>
      <w:r>
        <w:rPr>
          <w:rFonts w:hint="default" w:ascii="Times New Roman" w:hAnsi="Times New Roman" w:cs="Times New Roman"/>
          <w:szCs w:val="32"/>
          <w:highlight w:val="none"/>
        </w:rPr>
        <w:t>200%</w:t>
      </w:r>
      <w:r>
        <w:rPr>
          <w:rFonts w:hint="default" w:ascii="Times New Roman" w:hAnsi="Times New Roman" w:cs="Times New Roman"/>
          <w:szCs w:val="32"/>
          <w:highlight w:val="none"/>
        </w:rPr>
        <w:t>在税前摊销。（责任单位：区税务局）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三、强化科技支撑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9.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夯实科技支撑。</w:t>
      </w:r>
      <w:r>
        <w:rPr>
          <w:rFonts w:hint="default" w:ascii="Times New Roman" w:hAnsi="Times New Roman" w:cs="Times New Roman"/>
          <w:szCs w:val="32"/>
          <w:highlight w:val="none"/>
        </w:rPr>
        <w:t>探索以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揭榜挂帅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等形式开展技术攻关，对新能源及智能网联汽车、高端装备、新材料等领域重大创新攻关项目给予重点资金支持，落实研发补贴政策，破解产业链卡脖子技术瓶颈，填补国内空白。（责任单位：区科技局）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10.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加强资源共享。</w:t>
      </w:r>
      <w:r>
        <w:rPr>
          <w:rFonts w:hint="default" w:ascii="Times New Roman" w:hAnsi="Times New Roman" w:cs="Times New Roman"/>
          <w:szCs w:val="32"/>
          <w:highlight w:val="none"/>
        </w:rPr>
        <w:t>推动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企业与研发机构、检验检测机构等搭建交流平台、创建技术创新战略联盟，开展学术交流、产学研技术供需对接，促进设备共享，提升科技研发资源使用效率。（责任单位：区科技局）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11.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做好孵化培育。</w:t>
      </w:r>
      <w:r>
        <w:rPr>
          <w:rFonts w:hint="default" w:ascii="Times New Roman" w:hAnsi="Times New Roman" w:cs="Times New Roman"/>
          <w:szCs w:val="32"/>
          <w:highlight w:val="none"/>
        </w:rPr>
        <w:t>支持中小企业孵化器建设，围绕战略性新兴产业，建设一批集资源要素供给、教育培训服务、产供销运联动，融合技术交流交易、工作生活于一体的科技型初创企业孵化载体。（责任单位：区科技局）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四、加大金融支持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12.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强化基金支持。</w:t>
      </w:r>
      <w:r>
        <w:rPr>
          <w:rFonts w:hint="default" w:ascii="Times New Roman" w:hAnsi="Times New Roman" w:cs="Times New Roman"/>
          <w:szCs w:val="32"/>
          <w:highlight w:val="none"/>
        </w:rPr>
        <w:t>积极参投市级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专项发展基金。创新投资方式，引导政府产业基金和社会资本重点支持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企业。（责任单位：</w:t>
      </w:r>
      <w:r>
        <w:rPr>
          <w:rFonts w:hint="default" w:ascii="Times New Roman" w:hAnsi="Times New Roman" w:cs="Times New Roman"/>
          <w:spacing w:val="-6"/>
          <w:szCs w:val="32"/>
          <w:highlight w:val="none"/>
          <w:lang w:val="en-US" w:eastAsia="zh-CN"/>
        </w:rPr>
        <w:t>临空经济示范区管委会</w:t>
      </w:r>
      <w:r>
        <w:rPr>
          <w:rFonts w:hint="default" w:ascii="Times New Roman" w:hAnsi="Times New Roman" w:cs="Times New Roman"/>
          <w:szCs w:val="32"/>
          <w:highlight w:val="none"/>
        </w:rPr>
        <w:t>、临空投资公司）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13.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优化金融产品。</w:t>
      </w:r>
      <w:r>
        <w:rPr>
          <w:rFonts w:hint="default" w:ascii="Times New Roman" w:hAnsi="Times New Roman" w:cs="Times New Roman"/>
          <w:szCs w:val="32"/>
          <w:highlight w:val="none"/>
        </w:rPr>
        <w:t>鼓励商业银行为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企业量身定制高额度、利率低的全新金融服务产品，推广无还本续贷产品。加大中长期融资支持力度，对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企业再贷款、再贴现业务开通绿色通道。（责任单位：区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14.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强化上市培育。</w:t>
      </w:r>
      <w:r>
        <w:rPr>
          <w:rFonts w:hint="default" w:ascii="Times New Roman" w:hAnsi="Times New Roman" w:cs="Times New Roman"/>
          <w:szCs w:val="32"/>
          <w:highlight w:val="none"/>
        </w:rPr>
        <w:t>搭建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企业上市培育服务平台，动态遴选一批有成长力的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企业纳入拟上市企业储备库，并开展投融资对接、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一对一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上市辅导，力争到</w:t>
      </w:r>
      <w:r>
        <w:rPr>
          <w:rFonts w:hint="default" w:ascii="Times New Roman" w:hAnsi="Times New Roman" w:cs="Times New Roman"/>
          <w:szCs w:val="32"/>
          <w:highlight w:val="none"/>
        </w:rPr>
        <w:t>2025</w:t>
      </w:r>
      <w:r>
        <w:rPr>
          <w:rFonts w:hint="default" w:ascii="Times New Roman" w:hAnsi="Times New Roman" w:cs="Times New Roman"/>
          <w:szCs w:val="32"/>
          <w:highlight w:val="none"/>
        </w:rPr>
        <w:t>年全区上市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企业数量累计达</w:t>
      </w:r>
      <w:r>
        <w:rPr>
          <w:rFonts w:hint="default" w:ascii="Times New Roman" w:hAnsi="Times New Roman" w:cs="Times New Roman"/>
          <w:szCs w:val="32"/>
          <w:highlight w:val="none"/>
        </w:rPr>
        <w:t>5</w:t>
      </w:r>
      <w:r>
        <w:rPr>
          <w:rFonts w:hint="default" w:ascii="Times New Roman" w:hAnsi="Times New Roman" w:cs="Times New Roman"/>
          <w:szCs w:val="32"/>
          <w:highlight w:val="none"/>
        </w:rPr>
        <w:t>家。（责任单位：区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金融服务办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Cs w:val="32"/>
          <w:highlight w:val="none"/>
        </w:rPr>
        <w:t>五、优化公共服务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15.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建立联系机制。</w:t>
      </w:r>
      <w:r>
        <w:rPr>
          <w:rFonts w:hint="default" w:ascii="Times New Roman" w:hAnsi="Times New Roman" w:cs="Times New Roman"/>
          <w:szCs w:val="32"/>
          <w:highlight w:val="none"/>
        </w:rPr>
        <w:t>建立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企业服务联系机制，实行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一企一策一人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，配备服务专员，及时发现并解决企业在生产经营过程中遇到的困难。（责任单位：区经济信息委）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16.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发挥三方作用。</w:t>
      </w:r>
      <w:r>
        <w:rPr>
          <w:rFonts w:hint="default" w:ascii="Times New Roman" w:hAnsi="Times New Roman" w:cs="Times New Roman"/>
          <w:szCs w:val="32"/>
          <w:highlight w:val="none"/>
        </w:rPr>
        <w:t>通过政府购买服务、充分利用重庆市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服务包、鼓励市场公平竞争等方式，组织各类三方服务平台、专家等为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企业上门问诊，提供法律援助、企业管理、专利申报、政务代办和人才培训等各项服务。（责任单位：区经济信息委、区科技局、区商务委）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17.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加强人才引培。</w:t>
      </w:r>
      <w:r>
        <w:rPr>
          <w:rFonts w:hint="default" w:ascii="Times New Roman" w:hAnsi="Times New Roman" w:cs="Times New Roman"/>
          <w:szCs w:val="32"/>
          <w:highlight w:val="none"/>
        </w:rPr>
        <w:t>做好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企业专业人才评定工作，按照《渝北区临空英才培育引进实施办法》，做好政策落实和服务工作。广泛联系高校、科研院所，建立人才合作机制，帮助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企业建立高端科研人员互派、互聘等人才柔性引进和使用机制。联合开展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企业人才专场招聘会，对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企业实现培训服务全覆盖。（责任单位：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区人力社保局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18.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增强品牌建设。</w:t>
      </w:r>
      <w:r>
        <w:rPr>
          <w:rFonts w:hint="default" w:ascii="Times New Roman" w:hAnsi="Times New Roman" w:cs="Times New Roman"/>
          <w:szCs w:val="32"/>
          <w:highlight w:val="none"/>
        </w:rPr>
        <w:t>积极推荐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企业申报中国质量奖、重庆市市长质量奖等，推动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企业提升产品质量，促进标准化建设和质量管理体系认证提升。对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企业发明专利和参与标准化工作按政策给予扶持。（责任单位：区市场监管局）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19.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做好政府采购。</w:t>
      </w:r>
      <w:r>
        <w:rPr>
          <w:rFonts w:hint="default" w:ascii="Times New Roman" w:hAnsi="Times New Roman" w:cs="Times New Roman"/>
          <w:szCs w:val="32"/>
          <w:highlight w:val="none"/>
        </w:rPr>
        <w:t>对适宜由中小企业提供的政府采购项目，预留份额面向中小企业采购。对于未预留份额专门面向中小企业采购的采购项目，对符合规定的小微企业报价给予价格扣除，用扣除后的价格参加评审。（责任单位：区财政局、相关责任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Cs w:val="32"/>
          <w:highlight w:val="none"/>
        </w:rPr>
        <w:t xml:space="preserve">20. </w:t>
      </w:r>
      <w:r>
        <w:rPr>
          <w:rFonts w:hint="default" w:ascii="Times New Roman" w:hAnsi="Times New Roman" w:eastAsia="方正楷体_GBK" w:cs="Times New Roman"/>
          <w:szCs w:val="32"/>
          <w:highlight w:val="none"/>
        </w:rPr>
        <w:t>突出示范效应。</w:t>
      </w:r>
      <w:r>
        <w:rPr>
          <w:rFonts w:hint="default" w:ascii="Times New Roman" w:hAnsi="Times New Roman" w:cs="Times New Roman"/>
          <w:szCs w:val="32"/>
          <w:highlight w:val="none"/>
        </w:rPr>
        <w:t>每年遴选</w:t>
      </w:r>
      <w:r>
        <w:rPr>
          <w:rFonts w:hint="default" w:ascii="Times New Roman" w:hAnsi="Times New Roman" w:cs="Times New Roman"/>
          <w:szCs w:val="32"/>
          <w:highlight w:val="none"/>
        </w:rPr>
        <w:t>10</w:t>
      </w:r>
      <w:r>
        <w:rPr>
          <w:rFonts w:hint="default" w:ascii="Times New Roman" w:hAnsi="Times New Roman" w:cs="Times New Roman"/>
          <w:szCs w:val="32"/>
          <w:highlight w:val="none"/>
        </w:rPr>
        <w:t>家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企业，做好宣传报道，树立标杆。同时加大对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企业的宣传和引导，切实提高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Cs w:val="32"/>
          <w:highlight w:val="none"/>
        </w:rPr>
        <w:t>专精特新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Cs w:val="32"/>
          <w:highlight w:val="none"/>
        </w:rPr>
        <w:t>企业荣誉感。（责任单位：区经济信息委、相关区级国有公司）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00172A27"/>
    <w:rsid w:val="019E71BD"/>
    <w:rsid w:val="01D66BDF"/>
    <w:rsid w:val="03321D76"/>
    <w:rsid w:val="04B679C3"/>
    <w:rsid w:val="04CB5151"/>
    <w:rsid w:val="05F07036"/>
    <w:rsid w:val="06E00104"/>
    <w:rsid w:val="0752751D"/>
    <w:rsid w:val="080F63D8"/>
    <w:rsid w:val="09341458"/>
    <w:rsid w:val="098254C2"/>
    <w:rsid w:val="0A766EDE"/>
    <w:rsid w:val="0A8D7D5C"/>
    <w:rsid w:val="0AD64BE8"/>
    <w:rsid w:val="0B0912D7"/>
    <w:rsid w:val="0E025194"/>
    <w:rsid w:val="0F380424"/>
    <w:rsid w:val="116E2416"/>
    <w:rsid w:val="13641FB7"/>
    <w:rsid w:val="14795A57"/>
    <w:rsid w:val="152D2DCA"/>
    <w:rsid w:val="169F551D"/>
    <w:rsid w:val="178C32C2"/>
    <w:rsid w:val="187168EA"/>
    <w:rsid w:val="196673CA"/>
    <w:rsid w:val="1B3F2F35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3781B3D"/>
    <w:rsid w:val="34AB41DD"/>
    <w:rsid w:val="36FB1DF0"/>
    <w:rsid w:val="39047388"/>
    <w:rsid w:val="395347B5"/>
    <w:rsid w:val="39A232A0"/>
    <w:rsid w:val="39E745AA"/>
    <w:rsid w:val="3ABB1C49"/>
    <w:rsid w:val="3B5A6BBB"/>
    <w:rsid w:val="3EDA13A6"/>
    <w:rsid w:val="40F57964"/>
    <w:rsid w:val="417B75E9"/>
    <w:rsid w:val="41E70519"/>
    <w:rsid w:val="426D59DF"/>
    <w:rsid w:val="42A713BD"/>
    <w:rsid w:val="42F058B7"/>
    <w:rsid w:val="436109F6"/>
    <w:rsid w:val="441A38D4"/>
    <w:rsid w:val="44726A9A"/>
    <w:rsid w:val="4504239D"/>
    <w:rsid w:val="45290A2C"/>
    <w:rsid w:val="469634CD"/>
    <w:rsid w:val="48854BEF"/>
    <w:rsid w:val="48F96348"/>
    <w:rsid w:val="4BC77339"/>
    <w:rsid w:val="4C9236C5"/>
    <w:rsid w:val="4D186EB4"/>
    <w:rsid w:val="4E250A85"/>
    <w:rsid w:val="4FFD4925"/>
    <w:rsid w:val="505C172E"/>
    <w:rsid w:val="506405EA"/>
    <w:rsid w:val="52F46F0B"/>
    <w:rsid w:val="532B6A10"/>
    <w:rsid w:val="53543C14"/>
    <w:rsid w:val="53A9759F"/>
    <w:rsid w:val="53D8014D"/>
    <w:rsid w:val="53DB0C3B"/>
    <w:rsid w:val="549332C4"/>
    <w:rsid w:val="54A704F4"/>
    <w:rsid w:val="55E064E0"/>
    <w:rsid w:val="572C6D10"/>
    <w:rsid w:val="5AF820D3"/>
    <w:rsid w:val="5DC34279"/>
    <w:rsid w:val="5F320395"/>
    <w:rsid w:val="5FCD688E"/>
    <w:rsid w:val="5FF9BDAA"/>
    <w:rsid w:val="608816D1"/>
    <w:rsid w:val="60946969"/>
    <w:rsid w:val="60EF4E7F"/>
    <w:rsid w:val="648B0A32"/>
    <w:rsid w:val="65B732B6"/>
    <w:rsid w:val="662A7F2C"/>
    <w:rsid w:val="665233C1"/>
    <w:rsid w:val="66DB1F08"/>
    <w:rsid w:val="69AC0D42"/>
    <w:rsid w:val="69AE7C10"/>
    <w:rsid w:val="6A4C5812"/>
    <w:rsid w:val="6AD9688B"/>
    <w:rsid w:val="6B5E5F82"/>
    <w:rsid w:val="6D0E3F22"/>
    <w:rsid w:val="6E105C5A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F070CA"/>
    <w:rsid w:val="7C9011D9"/>
    <w:rsid w:val="7CCE3EE4"/>
    <w:rsid w:val="7D741635"/>
    <w:rsid w:val="7DC651C5"/>
    <w:rsid w:val="7FCC2834"/>
    <w:rsid w:val="92DD1CEF"/>
    <w:rsid w:val="F05B4F69"/>
    <w:rsid w:val="F97D9566"/>
    <w:rsid w:val="FBF3D490"/>
    <w:rsid w:val="FDFF411C"/>
    <w:rsid w:val="FFFFA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640"/>
      <w:jc w:val="left"/>
      <w:outlineLvl w:val="0"/>
    </w:pPr>
    <w:rPr>
      <w:rFonts w:ascii="Calibri" w:hAnsi="Calibri" w:eastAsia="方正黑体_GBK"/>
      <w:szCs w:val="2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Body Text First Indent"/>
    <w:basedOn w:val="5"/>
    <w:qFormat/>
    <w:uiPriority w:val="0"/>
    <w:pPr>
      <w:spacing w:after="160"/>
      <w:ind w:firstLine="420" w:firstLineChars="100"/>
    </w:p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码1"/>
    <w:basedOn w:val="13"/>
    <w:qFormat/>
    <w:uiPriority w:val="0"/>
    <w:rPr>
      <w:rFonts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8">
    <w:name w:val="NormalCharacter"/>
    <w:link w:val="19"/>
    <w:qFormat/>
    <w:uiPriority w:val="0"/>
  </w:style>
  <w:style w:type="paragraph" w:customStyle="1" w:styleId="19">
    <w:name w:val="UserStyle_1"/>
    <w:basedOn w:val="1"/>
    <w:link w:val="18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3256</Words>
  <Characters>3388</Characters>
  <Lines>1</Lines>
  <Paragraphs>1</Paragraphs>
  <TotalTime>2</TotalTime>
  <ScaleCrop>false</ScaleCrop>
  <LinksUpToDate>false</LinksUpToDate>
  <CharactersWithSpaces>3439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曹瑜</cp:lastModifiedBy>
  <cp:lastPrinted>2022-05-11T16:46:00Z</cp:lastPrinted>
  <dcterms:modified xsi:type="dcterms:W3CDTF">2025-01-03T06:35:54Z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21C7760ECBA44816BC9A2D5E27C9D256_13</vt:lpwstr>
  </property>
  <property fmtid="{D5CDD505-2E9C-101B-9397-08002B2CF9AE}" pid="4" name="KSOTemplateDocerSaveRecord">
    <vt:lpwstr>eyJoZGlkIjoiYzU4ZTEyOTdjMjk0NTJjMTg5YmYyY2M5MmZkYzI3ZDkiLCJ1c2VySWQiOiIzMDQ0Njk5OTEifQ==</vt:lpwstr>
  </property>
</Properties>
</file>