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hint="eastAsia" w:eastAsia="方正小标宋_GBK"/>
          <w:sz w:val="44"/>
          <w:szCs w:val="44"/>
        </w:rPr>
        <w:t>重庆市渝北区人民政府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pacing w:val="-14"/>
          <w:sz w:val="44"/>
          <w:szCs w:val="44"/>
        </w:rPr>
      </w:pPr>
      <w:r>
        <w:rPr>
          <w:rFonts w:hint="eastAsia" w:eastAsia="方正小标宋_GBK"/>
          <w:spacing w:val="-14"/>
          <w:sz w:val="44"/>
          <w:szCs w:val="44"/>
        </w:rPr>
        <w:t>关于印发《渝北区生态保护红线、环境质量底线、资源利用上线、生态环境准入清单及生态环境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pacing w:val="-14"/>
          <w:sz w:val="44"/>
          <w:szCs w:val="44"/>
        </w:rPr>
      </w:pPr>
      <w:r>
        <w:rPr>
          <w:rFonts w:hint="eastAsia" w:eastAsia="方正小标宋_GBK"/>
          <w:spacing w:val="-14"/>
          <w:sz w:val="44"/>
          <w:szCs w:val="44"/>
        </w:rPr>
        <w:t>分区管控总体方案》的通知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仿宋_GBK"/>
          <w:sz w:val="32"/>
          <w:szCs w:val="20"/>
        </w:rPr>
      </w:pPr>
      <w:r>
        <w:rPr>
          <w:rFonts w:hint="eastAsia" w:eastAsia="方正仿宋_GBK"/>
          <w:sz w:val="32"/>
          <w:szCs w:val="20"/>
        </w:rPr>
        <w:t>渝北府发〔</w:t>
      </w:r>
      <w:r>
        <w:rPr>
          <w:rFonts w:eastAsia="方正仿宋_GBK"/>
          <w:sz w:val="32"/>
          <w:szCs w:val="20"/>
        </w:rPr>
        <w:t>2020</w:t>
      </w:r>
      <w:r>
        <w:rPr>
          <w:rFonts w:hint="eastAsia" w:eastAsia="方正仿宋_GBK"/>
          <w:sz w:val="32"/>
          <w:szCs w:val="20"/>
        </w:rPr>
        <w:t>〕23号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rPr>
      </w:pPr>
      <w:r>
        <w:rPr>
          <w:rFonts w:hint="eastAsia" w:eastAsia="方正仿宋_GBK"/>
          <w:sz w:val="32"/>
          <w:szCs w:val="32"/>
        </w:rPr>
        <w:t>各镇人民政府，区政府各部门，各街道办事处，有关区属国有公司，有关单位：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sz w:val="32"/>
          <w:szCs w:val="32"/>
        </w:rPr>
        <w:t>《渝北区生态保护红线、环境质量底线、资源利用上线、生态环境准入清单及生态环境分区管控总体方案》已经区第十八届人民政府第97次常务会议审议同意，现印发给你们，请认真贯彻执行。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eastAsia="方正仿宋_GBK"/>
          <w:sz w:val="32"/>
          <w:szCs w:val="32"/>
        </w:rPr>
      </w:pPr>
      <w:r>
        <w:rPr>
          <w:rFonts w:eastAsia="方正仿宋_GBK"/>
          <w:sz w:val="32"/>
          <w:szCs w:val="32"/>
        </w:rPr>
        <w:t>重庆市渝北区人民政府</w:t>
      </w:r>
    </w:p>
    <w:p>
      <w:pPr>
        <w:keepNext w:val="0"/>
        <w:keepLines w:val="0"/>
        <w:pageBreakBefore w:val="0"/>
        <w:widowControl w:val="0"/>
        <w:kinsoku/>
        <w:wordWrap/>
        <w:overflowPunct/>
        <w:topLinePunct w:val="0"/>
        <w:autoSpaceDE/>
        <w:autoSpaceDN/>
        <w:bidi w:val="0"/>
        <w:adjustRightInd/>
        <w:snapToGrid/>
        <w:spacing w:line="600" w:lineRule="exact"/>
        <w:ind w:right="1142" w:rightChars="357" w:firstLine="640" w:firstLineChars="200"/>
        <w:jc w:val="right"/>
        <w:textAlignment w:val="auto"/>
        <w:rPr>
          <w:rFonts w:hint="eastAsia" w:eastAsia="方正仿宋_GBK"/>
          <w:sz w:val="32"/>
          <w:szCs w:val="32"/>
        </w:rPr>
      </w:pPr>
      <w:r>
        <w:rPr>
          <w:rFonts w:eastAsia="方正仿宋_GBK"/>
          <w:sz w:val="32"/>
          <w:szCs w:val="32"/>
        </w:rPr>
        <w:t>2020</w:t>
      </w:r>
      <w:r>
        <w:rPr>
          <w:rFonts w:hint="eastAsia" w:eastAsia="方正仿宋_GBK"/>
          <w:sz w:val="32"/>
          <w:szCs w:val="32"/>
        </w:rPr>
        <w:t>年12月9日</w:t>
      </w:r>
    </w:p>
    <w:p>
      <w:pPr>
        <w:keepNext w:val="0"/>
        <w:keepLines w:val="0"/>
        <w:pageBreakBefore w:val="0"/>
        <w:widowControl w:val="0"/>
        <w:kinsoku/>
        <w:wordWrap/>
        <w:overflowPunct/>
        <w:topLinePunct w:val="0"/>
        <w:autoSpaceDE/>
        <w:autoSpaceDN/>
        <w:bidi w:val="0"/>
        <w:adjustRightInd/>
        <w:snapToGrid/>
        <w:spacing w:line="600" w:lineRule="exact"/>
        <w:ind w:right="1680" w:rightChars="525" w:firstLine="640" w:firstLineChars="200"/>
        <w:jc w:val="left"/>
        <w:textAlignment w:val="auto"/>
        <w:rPr>
          <w:rFonts w:hint="eastAsia" w:eastAsia="方正仿宋_GBK"/>
          <w:sz w:val="32"/>
          <w:szCs w:val="32"/>
        </w:rPr>
      </w:pPr>
      <w:r>
        <w:rPr>
          <w:rFonts w:hint="eastAsia" w:eastAsia="方正仿宋_GBK"/>
          <w:sz w:val="32"/>
          <w:szCs w:val="32"/>
        </w:rPr>
        <w:t>（此件公开发布）</w:t>
      </w:r>
    </w:p>
    <w:p>
      <w:pPr>
        <w:spacing w:line="540" w:lineRule="exact"/>
        <w:jc w:val="center"/>
        <w:rPr>
          <w:rFonts w:hint="eastAsia" w:eastAsia="宋体"/>
          <w:sz w:val="21"/>
          <w:szCs w:val="20"/>
        </w:rPr>
      </w:pPr>
      <w:r>
        <w:rPr>
          <w:rFonts w:eastAsia="宋体"/>
          <w:sz w:val="21"/>
          <w:szCs w:val="20"/>
        </w:rPr>
        <w:br w:type="page"/>
      </w:r>
    </w:p>
    <w:p>
      <w:pPr>
        <w:spacing w:line="540" w:lineRule="exact"/>
        <w:jc w:val="center"/>
        <w:rPr>
          <w:rFonts w:hint="eastAsia" w:eastAsia="方正小标宋_GBK"/>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eastAsia="方正小标宋_GBK"/>
          <w:sz w:val="44"/>
          <w:szCs w:val="44"/>
        </w:rPr>
      </w:pPr>
      <w:r>
        <w:rPr>
          <w:rFonts w:hint="eastAsia" w:eastAsia="方正小标宋_GBK"/>
          <w:sz w:val="44"/>
          <w:szCs w:val="44"/>
        </w:rPr>
        <w:t>渝北区生态保护红线、环境质量底线、</w:t>
      </w:r>
    </w:p>
    <w:p>
      <w:pPr>
        <w:keepNext w:val="0"/>
        <w:keepLines w:val="0"/>
        <w:pageBreakBefore w:val="0"/>
        <w:widowControl w:val="0"/>
        <w:kinsoku/>
        <w:wordWrap/>
        <w:overflowPunct/>
        <w:topLinePunct w:val="0"/>
        <w:autoSpaceDE/>
        <w:autoSpaceDN/>
        <w:bidi w:val="0"/>
        <w:spacing w:line="600" w:lineRule="exact"/>
        <w:jc w:val="center"/>
        <w:textAlignment w:val="auto"/>
        <w:rPr>
          <w:rFonts w:eastAsia="方正小标宋_GBK"/>
          <w:sz w:val="44"/>
          <w:szCs w:val="44"/>
        </w:rPr>
      </w:pPr>
      <w:r>
        <w:rPr>
          <w:rFonts w:hint="eastAsia" w:eastAsia="方正小标宋_GBK"/>
          <w:sz w:val="44"/>
          <w:szCs w:val="44"/>
        </w:rPr>
        <w:t>资源利用上线、生态环境准入清单及生态环境</w:t>
      </w:r>
    </w:p>
    <w:p>
      <w:pPr>
        <w:keepNext w:val="0"/>
        <w:keepLines w:val="0"/>
        <w:pageBreakBefore w:val="0"/>
        <w:widowControl w:val="0"/>
        <w:kinsoku/>
        <w:wordWrap/>
        <w:overflowPunct/>
        <w:topLinePunct w:val="0"/>
        <w:autoSpaceDE/>
        <w:autoSpaceDN/>
        <w:bidi w:val="0"/>
        <w:spacing w:line="600" w:lineRule="exact"/>
        <w:jc w:val="center"/>
        <w:textAlignment w:val="auto"/>
        <w:rPr>
          <w:rFonts w:eastAsia="方正小标宋_GBK"/>
          <w:sz w:val="44"/>
          <w:szCs w:val="44"/>
        </w:rPr>
      </w:pPr>
      <w:r>
        <w:rPr>
          <w:rFonts w:hint="eastAsia" w:eastAsia="方正小标宋_GBK"/>
          <w:sz w:val="44"/>
          <w:szCs w:val="44"/>
        </w:rPr>
        <w:t>分区管控总体方案</w:t>
      </w:r>
    </w:p>
    <w:p>
      <w:pPr>
        <w:keepNext w:val="0"/>
        <w:keepLines w:val="0"/>
        <w:pageBreakBefore w:val="0"/>
        <w:widowControl w:val="0"/>
        <w:kinsoku/>
        <w:wordWrap/>
        <w:overflowPunct/>
        <w:topLinePunct w:val="0"/>
        <w:autoSpaceDE/>
        <w:autoSpaceDN/>
        <w:bidi w:val="0"/>
        <w:adjustRightInd w:val="0"/>
        <w:snapToGrid w:val="0"/>
        <w:spacing w:line="600" w:lineRule="exact"/>
        <w:ind w:firstLine="880" w:firstLineChars="200"/>
        <w:jc w:val="center"/>
        <w:textAlignment w:val="auto"/>
        <w:rPr>
          <w:rFonts w:eastAsia="方正小标宋_GBK"/>
          <w:color w:val="000000"/>
          <w:sz w:val="44"/>
          <w:szCs w:val="44"/>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为深入贯彻落实《中共中央国务院关于全面加强生态环境保护坚决打好污染防治攻坚战的意见》《重庆市人民政府关于落实生态保护红线、环境质量底线、资源利用上线制定生态环境准入清单实施生态环境分区管控的实施意见》（渝府发〔</w:t>
      </w:r>
      <w:r>
        <w:rPr>
          <w:rFonts w:eastAsia="方正仿宋_GBK"/>
          <w:sz w:val="32"/>
          <w:szCs w:val="32"/>
        </w:rPr>
        <w:t>2020</w:t>
      </w:r>
      <w:r>
        <w:rPr>
          <w:rFonts w:hint="eastAsia" w:eastAsia="方正仿宋_GBK"/>
          <w:sz w:val="32"/>
          <w:szCs w:val="32"/>
        </w:rPr>
        <w:t>〕</w:t>
      </w:r>
      <w:r>
        <w:rPr>
          <w:rFonts w:eastAsia="方正仿宋_GBK"/>
          <w:sz w:val="32"/>
          <w:szCs w:val="32"/>
        </w:rPr>
        <w:t>11</w:t>
      </w:r>
      <w:r>
        <w:rPr>
          <w:rFonts w:hint="eastAsia" w:eastAsia="方正仿宋_GBK"/>
          <w:sz w:val="32"/>
          <w:szCs w:val="32"/>
        </w:rPr>
        <w:t>号）精神，深入贯彻“共抓大保护、不搞大开发”要求，推动长江经济带高质量发展，根据市政府相关工作安排，结合我区实际，制定生态保护红线、环境质量底线、资源利用上线、生态环境准入清单及生态环境分区管控总体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黑体_GBK"/>
          <w:sz w:val="32"/>
          <w:szCs w:val="32"/>
        </w:rPr>
      </w:pPr>
      <w:r>
        <w:rPr>
          <w:rFonts w:hint="eastAsia" w:eastAsia="方正黑体_GBK"/>
          <w:sz w:val="32"/>
          <w:szCs w:val="32"/>
        </w:rPr>
        <w:t>一、总体要求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楷体_GBK"/>
          <w:sz w:val="32"/>
          <w:szCs w:val="32"/>
        </w:rPr>
      </w:pPr>
      <w:r>
        <w:rPr>
          <w:rFonts w:hint="eastAsia" w:eastAsia="方正楷体_GBK"/>
          <w:sz w:val="32"/>
          <w:szCs w:val="32"/>
        </w:rPr>
        <w:t>（一）指导思想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以习近平新时代中国特色社会主义思想为指导，全面贯彻党的十九大、</w:t>
      </w:r>
      <w:r>
        <w:rPr>
          <w:rFonts w:hint="eastAsia" w:eastAsia="方正仿宋_GBK"/>
          <w:sz w:val="32"/>
          <w:szCs w:val="32"/>
          <w:lang w:eastAsia="zh-CN"/>
        </w:rPr>
        <w:t>十九届二中、三中、四中、五中全会</w:t>
      </w:r>
      <w:r>
        <w:rPr>
          <w:rFonts w:hint="eastAsia" w:eastAsia="方正仿宋_GBK"/>
          <w:sz w:val="32"/>
          <w:szCs w:val="32"/>
        </w:rPr>
        <w:t>精神和中央经济工作会议精神，深化落实习近平总书记对重庆提出的“两点”定位、“两地”“两高”目标、发挥“三个作用”和营造良好政治生态的重要指示要求，深学笃用习近平生态文明思想，助力成渝地区双城经济圈建设，推动“一区两群”协调发展，建立以三线一单为核心的生态环境分区管控体系，加快建设山清水秀美丽之地，筑牢长江上游重要生态屏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 w:val="32"/>
          <w:szCs w:val="32"/>
        </w:rPr>
      </w:pPr>
      <w:r>
        <w:rPr>
          <w:rFonts w:hint="eastAsia" w:eastAsia="方正楷体_GBK"/>
          <w:sz w:val="32"/>
          <w:szCs w:val="32"/>
        </w:rPr>
        <w:t>（二）基本原则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坚持保护优先。落实生态保护红线、环境质量底线、资源利用上线硬约束，推动形成绿色发展方式和生活方式。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坚持分类施策。针对流域、区域、行业特点，聚焦问题和目标，实施生态环境分区管控。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坚持稳中求进。坚持生态环境管控内容不突破、管理要求不降低，结合经济社会发展新形势和环境质量改善新要求，定期评估调整和动态更新。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 w:val="32"/>
          <w:szCs w:val="32"/>
        </w:rPr>
      </w:pPr>
      <w:r>
        <w:rPr>
          <w:rFonts w:hint="eastAsia" w:eastAsia="方正楷体_GBK"/>
          <w:sz w:val="32"/>
          <w:szCs w:val="32"/>
        </w:rPr>
        <w:t>（三）总体目标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到</w:t>
      </w:r>
      <w:r>
        <w:rPr>
          <w:rFonts w:eastAsia="方正仿宋_GBK"/>
          <w:sz w:val="32"/>
          <w:szCs w:val="32"/>
        </w:rPr>
        <w:t>2020</w:t>
      </w:r>
      <w:r>
        <w:rPr>
          <w:rFonts w:hint="eastAsia" w:eastAsia="方正仿宋_GBK"/>
          <w:sz w:val="32"/>
          <w:szCs w:val="32"/>
        </w:rPr>
        <w:t>年，生态环境质量总体改善，主要污染物排放总量大幅减少，生态环境保护水平同全面建成小康社会目标相适应。</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到</w:t>
      </w:r>
      <w:r>
        <w:rPr>
          <w:rFonts w:eastAsia="方正仿宋_GBK"/>
          <w:sz w:val="32"/>
          <w:szCs w:val="32"/>
        </w:rPr>
        <w:t>2025</w:t>
      </w:r>
      <w:r>
        <w:rPr>
          <w:rFonts w:hint="eastAsia" w:eastAsia="方正仿宋_GBK"/>
          <w:sz w:val="32"/>
          <w:szCs w:val="32"/>
        </w:rPr>
        <w:t>年，产业结构调整深入推进，绿色发展和绿色生活水平显著提升，生态环境质量持续改善，主要污染物排放量持续减少，环境风险得到有效管控，生态系统稳定性进一步提升，环境治理体系和治理能力现代化水平明显提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到</w:t>
      </w:r>
      <w:r>
        <w:rPr>
          <w:rFonts w:eastAsia="方正仿宋_GBK"/>
          <w:sz w:val="32"/>
          <w:szCs w:val="32"/>
        </w:rPr>
        <w:t>2035</w:t>
      </w:r>
      <w:r>
        <w:rPr>
          <w:rFonts w:hint="eastAsia" w:eastAsia="方正仿宋_GBK"/>
          <w:sz w:val="32"/>
          <w:szCs w:val="32"/>
        </w:rPr>
        <w:t>年，节约资源和保护生态环境的空间格局、产业结构、生产方式、生活方式总体形成，生态环境质量实现根本好转。</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到本世纪中叶，生态文明全面提升，实现生态环境领域治理体系和治理能力现代化。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黑体_GBK"/>
          <w:sz w:val="32"/>
          <w:szCs w:val="32"/>
        </w:rPr>
      </w:pPr>
      <w:r>
        <w:rPr>
          <w:rFonts w:hint="eastAsia" w:eastAsia="方正黑体_GBK"/>
          <w:sz w:val="32"/>
          <w:szCs w:val="32"/>
        </w:rPr>
        <w:t>二、分区管控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 w:val="32"/>
          <w:szCs w:val="32"/>
        </w:rPr>
      </w:pPr>
      <w:r>
        <w:rPr>
          <w:rFonts w:hint="eastAsia" w:eastAsia="方正楷体_GBK"/>
          <w:sz w:val="32"/>
          <w:szCs w:val="32"/>
        </w:rPr>
        <w:t>（四）环境管控单元划分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环境管控单元包括优先保护单元、重点管控单元、一般管控单元三类。优先保护单元指以生态环境保护为主的区域，主要包括饮用水水源保护区、环境空气一类功能区等。重点管控单元指涉及水、大气、土壤、自然资源等资源环境要素重点管控的区域，主要包括人口密集的城镇规划区和产业集聚的工业园区（工业集聚区）。一般管控单元指除优先保护单元和重点管控单元之外的其他区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全区国土空间按优先保护、重点管控、一般管控三大类划分为</w:t>
      </w:r>
      <w:r>
        <w:rPr>
          <w:rFonts w:eastAsia="方正仿宋_GBK"/>
          <w:sz w:val="32"/>
          <w:szCs w:val="32"/>
        </w:rPr>
        <w:t>23</w:t>
      </w:r>
      <w:r>
        <w:rPr>
          <w:rFonts w:hint="eastAsia" w:eastAsia="方正仿宋_GBK"/>
          <w:sz w:val="32"/>
          <w:szCs w:val="32"/>
        </w:rPr>
        <w:t>个环境管控单元。其中，优先保护单元</w:t>
      </w:r>
      <w:r>
        <w:rPr>
          <w:rFonts w:eastAsia="方正仿宋_GBK"/>
          <w:sz w:val="32"/>
          <w:szCs w:val="32"/>
        </w:rPr>
        <w:t>13</w:t>
      </w:r>
      <w:r>
        <w:rPr>
          <w:rFonts w:hint="eastAsia" w:eastAsia="方正仿宋_GBK"/>
          <w:sz w:val="32"/>
          <w:szCs w:val="32"/>
        </w:rPr>
        <w:t>个，面积占比</w:t>
      </w:r>
      <w:r>
        <w:rPr>
          <w:rFonts w:eastAsia="方正仿宋_GBK"/>
          <w:sz w:val="32"/>
          <w:szCs w:val="32"/>
        </w:rPr>
        <w:t>39.3%</w:t>
      </w:r>
      <w:r>
        <w:rPr>
          <w:rFonts w:hint="eastAsia" w:eastAsia="方正仿宋_GBK"/>
          <w:sz w:val="32"/>
          <w:szCs w:val="32"/>
        </w:rPr>
        <w:t>；重点管控单元</w:t>
      </w:r>
      <w:r>
        <w:rPr>
          <w:rFonts w:eastAsia="方正仿宋_GBK"/>
          <w:sz w:val="32"/>
          <w:szCs w:val="32"/>
        </w:rPr>
        <w:t>8</w:t>
      </w:r>
      <w:r>
        <w:rPr>
          <w:rFonts w:hint="eastAsia" w:eastAsia="方正仿宋_GBK"/>
          <w:sz w:val="32"/>
          <w:szCs w:val="32"/>
        </w:rPr>
        <w:t>个，面积占比</w:t>
      </w:r>
      <w:r>
        <w:rPr>
          <w:rFonts w:eastAsia="方正仿宋_GBK"/>
          <w:sz w:val="32"/>
          <w:szCs w:val="32"/>
        </w:rPr>
        <w:t>48.5%</w:t>
      </w:r>
      <w:r>
        <w:rPr>
          <w:rFonts w:hint="eastAsia" w:eastAsia="方正仿宋_GBK"/>
          <w:sz w:val="32"/>
          <w:szCs w:val="32"/>
        </w:rPr>
        <w:t>；一般管控单元</w:t>
      </w:r>
      <w:r>
        <w:rPr>
          <w:rFonts w:eastAsia="方正仿宋_GBK"/>
          <w:sz w:val="32"/>
          <w:szCs w:val="32"/>
        </w:rPr>
        <w:t>2</w:t>
      </w:r>
      <w:r>
        <w:rPr>
          <w:rFonts w:hint="eastAsia" w:eastAsia="方正仿宋_GBK"/>
          <w:sz w:val="32"/>
          <w:szCs w:val="32"/>
        </w:rPr>
        <w:t>个，面积占比</w:t>
      </w:r>
      <w:r>
        <w:rPr>
          <w:rFonts w:eastAsia="方正仿宋_GBK"/>
          <w:sz w:val="32"/>
          <w:szCs w:val="32"/>
        </w:rPr>
        <w:t>12.2%</w:t>
      </w:r>
      <w:r>
        <w:rPr>
          <w:rFonts w:hint="eastAsia" w:eastAsia="方正仿宋_GBK"/>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 w:val="32"/>
          <w:szCs w:val="32"/>
        </w:rPr>
      </w:pPr>
      <w:r>
        <w:rPr>
          <w:rFonts w:hint="eastAsia" w:eastAsia="方正楷体_GBK"/>
          <w:sz w:val="32"/>
          <w:szCs w:val="32"/>
        </w:rPr>
        <w:t>（五）分区环境管控要求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优先保护单元依法禁止或限制大规模、高强度的工业和城镇建设，在功能受损的优先保护单元优先开展生态保护修复活动，恢复生态系统服务功能。重点管控单元优化空间布局，不断提升资源利用效率，有针对性地加强污染物排放控制和环境风险防控，解决生态环境质量不达标、生态环境风险高等问题。一般管控单元主要落实生态环境保护基本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实施差异化管理。对区内长江、嘉陵江、御临河等水体，中梁山、铜锣山、明月山山系生态屏障及各类自然保护地，持续加大保护力度，提升生态稳定性。沿江工业、港口有序发展，大力推进各园区产业升级，严格工业布局约束，强化污染物排放控制，提升绿色发展水平。优化工业区、商业区、居住区布局，持续推进城市水体治理保护，严控扬尘及生活大气污染，提升人居环境质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黑体_GBK"/>
          <w:sz w:val="32"/>
          <w:szCs w:val="32"/>
        </w:rPr>
      </w:pPr>
      <w:r>
        <w:rPr>
          <w:rFonts w:hint="eastAsia" w:eastAsia="方正黑体_GBK"/>
          <w:sz w:val="32"/>
          <w:szCs w:val="32"/>
        </w:rPr>
        <w:t>三、工作要求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 w:val="32"/>
          <w:szCs w:val="32"/>
        </w:rPr>
      </w:pPr>
      <w:r>
        <w:rPr>
          <w:rFonts w:hint="eastAsia" w:eastAsia="方正楷体_GBK"/>
          <w:sz w:val="32"/>
          <w:szCs w:val="32"/>
        </w:rPr>
        <w:t>（六）实施与应用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认真落实市级总体管控要求，制定我区总体管控要求与各具体单元管控要求，相应管控要求数据应上传至数据应用平台。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区域资源开发、产业布局和结构调整、城镇建设、重大项目选址应将环境管控单元及生态环境准入清单作为重要依据，相关政策、规划、方案需说明与三线一单的符合性，在政策制定、规划编制、执法监管中不得变通突破、降低标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国土空间规划、相关规划应将落实到具体空间的生态、水、大气、土壤、资源利用等红线、底线和上线要求作为编制的基础。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区域、流域等产业发展应将三线一单提出的要求作为产业准入负面清单编制基础，具体管控单元的管控要求作为产业准入负面清单在具体区域、园区和单元落地的支撑。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监管开发建设行为和生产活动时，应将三线一单作为重要依据。优先保护单元和重点管控单元应作为生态环境监管重点区域，生态环境分区管控要求应作为生态环境监管的重点内容。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 w:val="32"/>
          <w:szCs w:val="32"/>
        </w:rPr>
      </w:pPr>
      <w:r>
        <w:rPr>
          <w:rFonts w:hint="eastAsia" w:eastAsia="方正楷体_GBK"/>
          <w:sz w:val="32"/>
          <w:szCs w:val="32"/>
        </w:rPr>
        <w:t>（七）更新与调整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原则上每</w:t>
      </w:r>
      <w:r>
        <w:rPr>
          <w:rFonts w:eastAsia="方正仿宋_GBK"/>
          <w:sz w:val="32"/>
          <w:szCs w:val="32"/>
        </w:rPr>
        <w:t>5</w:t>
      </w:r>
      <w:r>
        <w:rPr>
          <w:rFonts w:hint="eastAsia" w:eastAsia="方正仿宋_GBK"/>
          <w:sz w:val="32"/>
          <w:szCs w:val="32"/>
        </w:rPr>
        <w:t>年组织开展一次三线一单实施情况评估，依据评估情况编制三线一单更新调整方案，并按程序和要求审议发布。</w:t>
      </w:r>
      <w:r>
        <w:rPr>
          <w:rFonts w:eastAsia="方正仿宋_GBK"/>
          <w:sz w:val="32"/>
          <w:szCs w:val="32"/>
        </w:rPr>
        <w:t>5</w:t>
      </w:r>
      <w:r>
        <w:rPr>
          <w:rFonts w:hint="eastAsia" w:eastAsia="方正仿宋_GBK"/>
          <w:sz w:val="32"/>
          <w:szCs w:val="32"/>
        </w:rPr>
        <w:t>年内因国家与地方发展战略、生态保护红线、自然保护地和生态环境质量目标调整，三线一单确需进行更新的，按程序报批。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黑体_GBK"/>
          <w:sz w:val="32"/>
          <w:szCs w:val="32"/>
        </w:rPr>
      </w:pPr>
      <w:r>
        <w:rPr>
          <w:rFonts w:hint="eastAsia" w:eastAsia="方正黑体_GBK"/>
          <w:sz w:val="32"/>
          <w:szCs w:val="32"/>
        </w:rPr>
        <w:t>四、保障措施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 w:val="32"/>
          <w:szCs w:val="32"/>
        </w:rPr>
      </w:pPr>
      <w:r>
        <w:rPr>
          <w:rFonts w:hint="eastAsia" w:eastAsia="方正楷体_GBK"/>
          <w:sz w:val="32"/>
          <w:szCs w:val="32"/>
        </w:rPr>
        <w:t>（八）组织保障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区生态环境局牵头组织全区三线一单实施、评估、更新调整和宣传工作，区级有关部门结合本单位职责职能做好全区三线一单实施工作，并积极参与评估、更新调整和宣传工作。各镇人民政府、街道办事处要履行属地管辖职责，配合做好本辖区三线一单实施和宣传等相关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楷体_GBK"/>
          <w:sz w:val="32"/>
          <w:szCs w:val="32"/>
        </w:rPr>
      </w:pPr>
      <w:r>
        <w:rPr>
          <w:rFonts w:hint="eastAsia" w:eastAsia="方正楷体_GBK"/>
          <w:sz w:val="32"/>
          <w:szCs w:val="32"/>
        </w:rPr>
        <w:t>（九）资金、技术保障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由区生态环境局牵头，组建长期稳定的专业技术团队，区财政安排专项财政资金，切实保障三线一单实施、评估、更新调整、数据应用和维护等。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本方案自印发之日起实施。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附件：</w:t>
      </w:r>
      <w:r>
        <w:rPr>
          <w:rFonts w:eastAsia="方正仿宋_GBK"/>
          <w:sz w:val="32"/>
          <w:szCs w:val="32"/>
        </w:rPr>
        <w:t>1</w:t>
      </w:r>
      <w:r>
        <w:rPr>
          <w:rFonts w:hint="eastAsia" w:eastAsia="方正仿宋_GBK"/>
          <w:sz w:val="32"/>
          <w:szCs w:val="32"/>
        </w:rPr>
        <w:t>. 渝北区环境管控单元分布图</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eastAsia="方正仿宋_GBK"/>
          <w:sz w:val="32"/>
          <w:szCs w:val="32"/>
        </w:rPr>
      </w:pPr>
      <w:r>
        <w:rPr>
          <w:rFonts w:eastAsia="方正仿宋_GBK"/>
          <w:sz w:val="32"/>
          <w:szCs w:val="32"/>
        </w:rPr>
        <w:t>2</w:t>
      </w:r>
      <w:r>
        <w:rPr>
          <w:rFonts w:hint="eastAsia" w:eastAsia="方正仿宋_GBK"/>
          <w:sz w:val="32"/>
          <w:szCs w:val="32"/>
        </w:rPr>
        <w:t>. 渝北区环境管控单元统计表</w:t>
      </w:r>
    </w:p>
    <w:p>
      <w:pPr>
        <w:snapToGrid w:val="0"/>
        <w:spacing w:line="560" w:lineRule="exact"/>
        <w:rPr>
          <w:rFonts w:eastAsia="方正仿宋_GBK"/>
          <w:sz w:val="32"/>
          <w:szCs w:val="32"/>
        </w:rPr>
      </w:pPr>
      <w:r>
        <w:rPr>
          <w:rFonts w:eastAsia="方正仿宋_GBK"/>
          <w:sz w:val="32"/>
          <w:szCs w:val="32"/>
        </w:rPr>
        <w:br w:type="page"/>
      </w:r>
    </w:p>
    <w:p>
      <w:pPr>
        <w:snapToGrid w:val="0"/>
        <w:spacing w:line="560" w:lineRule="exact"/>
        <w:jc w:val="both"/>
        <w:rPr>
          <w:rFonts w:hint="eastAsia" w:eastAsia="方正黑体_GBK"/>
          <w:bCs/>
          <w:color w:val="000000"/>
          <w:sz w:val="32"/>
          <w:szCs w:val="32"/>
        </w:rPr>
      </w:pPr>
      <w:r>
        <w:rPr>
          <w:rFonts w:hint="eastAsia" w:eastAsia="方正黑体_GBK"/>
          <w:bCs/>
          <w:color w:val="000000"/>
          <w:sz w:val="32"/>
          <w:szCs w:val="32"/>
        </w:rPr>
        <w:t>附件1</w:t>
      </w:r>
    </w:p>
    <w:p>
      <w:pPr>
        <w:snapToGrid w:val="0"/>
        <w:spacing w:line="560" w:lineRule="exact"/>
        <w:jc w:val="center"/>
        <w:rPr>
          <w:rFonts w:hint="eastAsia" w:eastAsia="方正小标宋_GBK"/>
          <w:bCs/>
          <w:color w:val="000000"/>
          <w:sz w:val="44"/>
          <w:szCs w:val="44"/>
        </w:rPr>
      </w:pPr>
      <w:r>
        <w:rPr>
          <w:rFonts w:hint="eastAsia" w:eastAsia="宋体"/>
          <w:color w:val="000000"/>
          <w:sz w:val="21"/>
          <w:szCs w:val="20"/>
        </w:rPr>
        <w:drawing>
          <wp:anchor distT="0" distB="0" distL="114300" distR="114300" simplePos="0" relativeHeight="251659264" behindDoc="0" locked="0" layoutInCell="1" allowOverlap="1">
            <wp:simplePos x="0" y="0"/>
            <wp:positionH relativeFrom="column">
              <wp:posOffset>200025</wp:posOffset>
            </wp:positionH>
            <wp:positionV relativeFrom="paragraph">
              <wp:posOffset>3175</wp:posOffset>
            </wp:positionV>
            <wp:extent cx="5161915" cy="7303770"/>
            <wp:effectExtent l="0" t="0" r="635" b="11430"/>
            <wp:wrapNone/>
            <wp:docPr id="2" name="图片 2" descr="38e732543d88e7b7fc48e6e8f21e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8e732543d88e7b7fc48e6e8f21e731"/>
                    <pic:cNvPicPr>
                      <a:picLocks noChangeAspect="1"/>
                    </pic:cNvPicPr>
                  </pic:nvPicPr>
                  <pic:blipFill>
                    <a:blip r:embed="rId8"/>
                    <a:stretch>
                      <a:fillRect/>
                    </a:stretch>
                  </pic:blipFill>
                  <pic:spPr>
                    <a:xfrm>
                      <a:off x="0" y="0"/>
                      <a:ext cx="5161915" cy="7303770"/>
                    </a:xfrm>
                    <a:prstGeom prst="rect">
                      <a:avLst/>
                    </a:prstGeom>
                    <a:noFill/>
                    <a:ln>
                      <a:noFill/>
                    </a:ln>
                  </pic:spPr>
                </pic:pic>
              </a:graphicData>
            </a:graphic>
          </wp:anchor>
        </w:drawing>
      </w:r>
      <w:r>
        <w:rPr>
          <w:rFonts w:hint="eastAsia" w:eastAsia="方正小标宋_GBK"/>
          <w:bCs/>
          <w:color w:val="000000"/>
          <w:sz w:val="44"/>
          <w:szCs w:val="44"/>
        </w:rPr>
        <w:t>渝北区环境管控单元分布图</w:t>
      </w:r>
    </w:p>
    <w:p>
      <w:pPr>
        <w:spacing w:line="600" w:lineRule="exact"/>
        <w:ind w:firstLine="640" w:firstLineChars="200"/>
        <w:rPr>
          <w:rFonts w:ascii="方正仿宋_GBK" w:hAnsi="方正仿宋_GBK" w:eastAsia="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280" w:firstLineChars="1650"/>
        <w:jc w:val="both"/>
        <w:textAlignment w:val="auto"/>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line="560" w:lineRule="exact"/>
        <w:jc w:val="left"/>
        <w:rPr>
          <w:rFonts w:hint="default" w:ascii="方正小标宋_GBK" w:hAnsi="方正小标宋_GBK" w:eastAsia="方正黑体_GBK" w:cs="方正小标宋_GBK"/>
          <w:szCs w:val="32"/>
          <w:lang w:val="en-US"/>
        </w:rPr>
      </w:pPr>
      <w:r>
        <w:rPr>
          <w:rFonts w:hint="eastAsia" w:ascii="方正小标宋_GBK" w:hAnsi="方正小标宋_GBK" w:eastAsia="方正黑体_GBK" w:cs="方正小标宋_GBK"/>
          <w:szCs w:val="32"/>
        </w:rPr>
        <w:t>附件</w:t>
      </w:r>
      <w:r>
        <w:rPr>
          <w:rFonts w:hint="default" w:ascii="方正小标宋_GBK" w:hAnsi="方正小标宋_GBK" w:eastAsia="方正黑体_GBK" w:cs="方正小标宋_GBK"/>
          <w:szCs w:val="32"/>
          <w:lang w:val="en-US"/>
        </w:rPr>
        <w:t>2</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渝北区</w:t>
      </w:r>
      <w:r>
        <w:rPr>
          <w:rFonts w:hint="eastAsia" w:ascii="方正小标宋_GBK" w:hAnsi="方正小标宋_GBK" w:eastAsia="方正小标宋_GBK" w:cs="方正小标宋_GBK"/>
          <w:sz w:val="44"/>
          <w:szCs w:val="44"/>
          <w:lang w:eastAsia="zh-CN"/>
        </w:rPr>
        <w:t>环境管控单元统计</w:t>
      </w:r>
      <w:r>
        <w:rPr>
          <w:rFonts w:hint="eastAsia" w:ascii="方正小标宋_GBK" w:hAnsi="方正小标宋_GBK" w:eastAsia="方正小标宋_GBK" w:cs="方正小标宋_GBK"/>
          <w:sz w:val="44"/>
          <w:szCs w:val="44"/>
        </w:rPr>
        <w:t>表</w:t>
      </w:r>
    </w:p>
    <w:tbl>
      <w:tblPr>
        <w:tblStyle w:val="7"/>
        <w:tblpPr w:leftFromText="180" w:rightFromText="180" w:vertAnchor="text" w:horzAnchor="page" w:tblpX="1606" w:tblpY="446"/>
        <w:tblOverlap w:val="never"/>
        <w:tblW w:w="137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851"/>
        <w:gridCol w:w="3439"/>
        <w:gridCol w:w="1968"/>
        <w:gridCol w:w="441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blHeader/>
        </w:trPr>
        <w:tc>
          <w:tcPr>
            <w:tcW w:w="1851"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hint="eastAsia" w:eastAsia="方正黑体_GBK"/>
                <w:sz w:val="24"/>
                <w:szCs w:val="24"/>
              </w:rPr>
            </w:pPr>
            <w:r>
              <w:rPr>
                <w:rFonts w:hint="eastAsia" w:eastAsia="方正黑体_GBK"/>
                <w:sz w:val="24"/>
                <w:szCs w:val="24"/>
              </w:rPr>
              <w:t>环境管控</w:t>
            </w:r>
          </w:p>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hint="eastAsia" w:eastAsia="方正黑体_GBK"/>
                <w:sz w:val="24"/>
                <w:szCs w:val="24"/>
              </w:rPr>
            </w:pPr>
            <w:r>
              <w:rPr>
                <w:rFonts w:hint="eastAsia" w:eastAsia="方正黑体_GBK"/>
                <w:sz w:val="24"/>
                <w:szCs w:val="24"/>
              </w:rPr>
              <w:t>单元编码</w:t>
            </w:r>
          </w:p>
        </w:tc>
        <w:tc>
          <w:tcPr>
            <w:tcW w:w="3439"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hint="eastAsia" w:eastAsia="方正黑体_GBK"/>
                <w:sz w:val="24"/>
                <w:szCs w:val="24"/>
              </w:rPr>
            </w:pPr>
            <w:r>
              <w:rPr>
                <w:rFonts w:hint="eastAsia" w:eastAsia="方正黑体_GBK"/>
                <w:sz w:val="24"/>
                <w:szCs w:val="24"/>
              </w:rPr>
              <w:t>环境管控单元名称</w:t>
            </w:r>
          </w:p>
        </w:tc>
        <w:tc>
          <w:tcPr>
            <w:tcW w:w="1968"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hint="eastAsia" w:eastAsia="方正黑体_GBK"/>
                <w:sz w:val="24"/>
                <w:szCs w:val="24"/>
              </w:rPr>
            </w:pPr>
            <w:r>
              <w:rPr>
                <w:rFonts w:hint="eastAsia" w:eastAsia="方正黑体_GBK"/>
                <w:sz w:val="24"/>
                <w:szCs w:val="24"/>
              </w:rPr>
              <w:t>环境管控</w:t>
            </w:r>
          </w:p>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hint="eastAsia" w:eastAsia="方正黑体_GBK"/>
                <w:sz w:val="24"/>
                <w:szCs w:val="24"/>
              </w:rPr>
            </w:pPr>
            <w:r>
              <w:rPr>
                <w:rFonts w:hint="eastAsia" w:eastAsia="方正黑体_GBK"/>
                <w:sz w:val="24"/>
                <w:szCs w:val="24"/>
              </w:rPr>
              <w:t>单元分类</w:t>
            </w:r>
          </w:p>
        </w:tc>
        <w:tc>
          <w:tcPr>
            <w:tcW w:w="6525" w:type="dxa"/>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eastAsia="方正黑体_GBK"/>
                <w:sz w:val="24"/>
                <w:szCs w:val="24"/>
              </w:rPr>
            </w:pPr>
            <w:r>
              <w:rPr>
                <w:rFonts w:hint="eastAsia"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blHeader/>
        </w:trPr>
        <w:tc>
          <w:tcPr>
            <w:tcW w:w="1851"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hint="eastAsia" w:eastAsia="方正黑体_GBK"/>
                <w:sz w:val="24"/>
                <w:szCs w:val="24"/>
              </w:rPr>
            </w:pPr>
          </w:p>
        </w:tc>
        <w:tc>
          <w:tcPr>
            <w:tcW w:w="343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hint="eastAsia" w:eastAsia="方正黑体_GBK"/>
                <w:sz w:val="24"/>
                <w:szCs w:val="24"/>
              </w:rPr>
            </w:pPr>
          </w:p>
        </w:tc>
        <w:tc>
          <w:tcPr>
            <w:tcW w:w="196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hint="eastAsia" w:eastAsia="方正黑体_GBK"/>
                <w:sz w:val="24"/>
                <w:szCs w:val="24"/>
              </w:rPr>
            </w:pP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eastAsia="方正黑体_GBK"/>
                <w:sz w:val="24"/>
                <w:szCs w:val="24"/>
              </w:rPr>
            </w:pPr>
            <w:r>
              <w:rPr>
                <w:rFonts w:hint="eastAsia" w:eastAsia="方正黑体_GBK"/>
                <w:sz w:val="24"/>
                <w:szCs w:val="24"/>
              </w:rPr>
              <w:t>渝北区</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eastAsia="方正黑体_GBK"/>
                <w:sz w:val="24"/>
                <w:szCs w:val="24"/>
              </w:rPr>
            </w:pPr>
            <w:r>
              <w:rPr>
                <w:rFonts w:hint="eastAsia" w:eastAsia="方正黑体_GBK"/>
                <w:sz w:val="24"/>
                <w:szCs w:val="24"/>
              </w:rPr>
              <w:t>两江新区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ZH50011210001</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渝北区悦来街道嘉陵江水源地</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优先保护单元1</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水源地一级、二级保护区</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ZH50011210002</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渝北华蓥山市级自然保护区</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优先保护单元2</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华蓥山市级自然保护区全区</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ZH50011210003</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统景风景名胜区</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优先保护单元3</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风景名胜区划入生态保护红线的区域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ZH50011210004</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张关-白岩风景名胜区</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优先保护单元4</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风景名胜区划入生态保护红线的区域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ZH50011210005</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重庆市玉峰山森林公园</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优先保护单元5</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重庆市玉峰山森林公园全域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ZH50011210006</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重庆市南天门森林公园</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优先保护单元6</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重庆市南天门森林公园全域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ZH50011210007</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重庆市照母山森林公园</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优先保护单元7</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照母山森林公园全域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ZH50011210008</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重庆市华蓥山森林公园</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优先保护单元8</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华蓥山森林公园全域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ZH50011210009</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重庆九曲河市级湿地公园</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优先保护单元9</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重庆市九曲河湿地公园全域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ZH50011210010</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渝北区四山管制禁建区</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优先保护单元10</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1~9单元以外的四山管制禁建区并纳入生态保护红线管理的区域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ZH50011210011</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渝北区三峡水库消落区</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优先保护单元11</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1~9单元以外的三峡水库消落区并纳入生态保护红线管理的区域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ZH50011210012</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渝北区水土保持功能区</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优先保护单元12</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1~9单元以外的水土保持生态保护红线区域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1~9单元以外的水土保持生态保护红线区域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ZH50011210013</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渝北区一般生态空间-水土保持</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优先保护单元13</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1~9单元以外的一般生态空间区域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ZH50011220001</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渝北区重点管控单元-后河观音洞水库</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重点管控单元1</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茨竹镇、兴隆镇、木耳镇除优先保护区以外区域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ZH50011220002</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渝北区重点管控单元-后河跳石</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重点管控单元2</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古路镇、王家街道、双凤桥街道、双龙湖街道、仙桃街道、两路街道除优先保护区以外的区域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翠云街道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ZH50011220003</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渝北区重点管控单元-嘉陵江梁沱</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重点管控单元3</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龙溪街道、龙山街道、悦来街道除优先保护区以外的区域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大竹林街道、康美街道、礼嘉街道、人和街道、鸳鸯街道除优先保护区以外的区域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ZH50011220004</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渝北区重点管控单元-长江寸滩渝北段</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重点管控单元4</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回兴街道、宝圣湖街道、龙塔街道</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天宫殿街道、金山街道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ZH50011220005</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渝北区重点管控单元-朝阳河金家河院子</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重点管控单元5</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玉峰山镇除优先保护区以外区域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ZH50011220006</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渝北区重点管控单元-御临河御临镇</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重点管控单元6</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龙兴镇、石船镇除优先保护区以外的区域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ZH50011220007</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渝北区城镇开发边界</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重点管控单元7</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大湾镇、大盛镇、统景镇、洛碛镇镇区</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ZH50011220008</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洛碛资源循环利用基地</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重点管控单元8</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洛碛资源循环利用基地</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ZH50011230001</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渝北区一般管控单元1-御临河上游</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一般管控单元1</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大湾镇、大盛镇、统景镇除镇区和优先保护单元以外的区域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7" w:hRule="atLeast"/>
        </w:trPr>
        <w:tc>
          <w:tcPr>
            <w:tcW w:w="1851"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ZH50011230002</w:t>
            </w:r>
          </w:p>
        </w:tc>
        <w:tc>
          <w:tcPr>
            <w:tcW w:w="3439"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渝北区一般管控单元2-长江扇沱</w:t>
            </w:r>
          </w:p>
        </w:tc>
        <w:tc>
          <w:tcPr>
            <w:tcW w:w="1968"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60" w:leftChars="-50" w:right="-160" w:rightChars="-50"/>
              <w:jc w:val="center"/>
              <w:textAlignment w:val="auto"/>
              <w:rPr>
                <w:rFonts w:eastAsia="方正仿宋_GBK"/>
                <w:sz w:val="24"/>
                <w:szCs w:val="24"/>
              </w:rPr>
            </w:pPr>
            <w:r>
              <w:rPr>
                <w:rFonts w:eastAsia="方正仿宋_GBK"/>
                <w:sz w:val="24"/>
                <w:szCs w:val="24"/>
              </w:rPr>
              <w:t>一般管控单元2</w:t>
            </w:r>
          </w:p>
        </w:tc>
        <w:tc>
          <w:tcPr>
            <w:tcW w:w="441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eastAsia="方正仿宋_GBK"/>
                <w:sz w:val="24"/>
                <w:szCs w:val="24"/>
              </w:rPr>
            </w:pPr>
            <w:r>
              <w:rPr>
                <w:rFonts w:eastAsia="方正仿宋_GBK"/>
                <w:sz w:val="24"/>
                <w:szCs w:val="24"/>
              </w:rPr>
              <w:t>洛碛镇除乡镇镇区、洛碛资源循环利用基地和优先保护单元以外的区域</w:t>
            </w:r>
          </w:p>
        </w:tc>
        <w:tc>
          <w:tcPr>
            <w:tcW w:w="211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方正仿宋_GBK"/>
                <w:sz w:val="24"/>
                <w:szCs w:val="24"/>
              </w:rPr>
            </w:pPr>
            <w:r>
              <w:rPr>
                <w:rFonts w:eastAsia="方正仿宋_GBK"/>
                <w:sz w:val="24"/>
                <w:szCs w:val="24"/>
              </w:rPr>
              <w:t>/</w:t>
            </w:r>
          </w:p>
        </w:tc>
      </w:tr>
    </w:tbl>
    <w:p>
      <w:pPr>
        <w:adjustRightInd w:val="0"/>
        <w:snapToGrid w:val="0"/>
        <w:spacing w:line="360" w:lineRule="exact"/>
        <w:ind w:left="-160" w:leftChars="-50" w:right="-160" w:rightChars="-50" w:firstLine="420" w:firstLineChars="200"/>
        <w:jc w:val="left"/>
        <w:rPr>
          <w:rFonts w:eastAsia="方正仿宋_GBK"/>
          <w:sz w:val="21"/>
          <w:szCs w:val="21"/>
        </w:rPr>
      </w:pPr>
      <w:r>
        <w:rPr>
          <w:rFonts w:hint="eastAsia" w:eastAsia="方正仿宋_GBK"/>
          <w:sz w:val="21"/>
          <w:szCs w:val="21"/>
        </w:rPr>
        <w:t>注：</w:t>
      </w:r>
      <w:r>
        <w:rPr>
          <w:rFonts w:eastAsia="方正仿宋_GBK"/>
          <w:sz w:val="21"/>
          <w:szCs w:val="21"/>
        </w:rPr>
        <w:t>1.</w:t>
      </w:r>
      <w:r>
        <w:rPr>
          <w:rFonts w:hint="eastAsia" w:eastAsia="方正仿宋_GBK"/>
          <w:sz w:val="21"/>
          <w:szCs w:val="21"/>
        </w:rPr>
        <w:t xml:space="preserve"> 优先保护单元依法禁止或限制大规模、高强度的工业和城镇建设，在功能受损的优先保护单元优先开展生态保护修复活动，恢复生态系统服务功能。</w:t>
      </w:r>
    </w:p>
    <w:p>
      <w:pPr>
        <w:adjustRightInd w:val="0"/>
        <w:snapToGrid w:val="0"/>
        <w:spacing w:line="360" w:lineRule="exact"/>
        <w:ind w:left="-160" w:leftChars="-50" w:right="-160" w:rightChars="-50"/>
        <w:jc w:val="left"/>
        <w:rPr>
          <w:rFonts w:hint="eastAsia"/>
          <w:lang w:val="en-US" w:eastAsia="zh-CN"/>
        </w:rPr>
      </w:pPr>
      <w:r>
        <w:rPr>
          <w:rFonts w:hint="eastAsia" w:eastAsia="方正仿宋_GBK"/>
          <w:sz w:val="21"/>
          <w:szCs w:val="21"/>
        </w:rPr>
        <w:t xml:space="preserve"> </w:t>
      </w:r>
      <w:r>
        <w:rPr>
          <w:rFonts w:hint="default" w:eastAsia="方正仿宋_GBK"/>
          <w:sz w:val="21"/>
          <w:szCs w:val="21"/>
          <w:lang w:val="en-US"/>
        </w:rPr>
        <w:t xml:space="preserve">       </w:t>
      </w:r>
      <w:r>
        <w:rPr>
          <w:rFonts w:hint="eastAsia" w:eastAsia="方正仿宋_GBK"/>
          <w:sz w:val="21"/>
          <w:szCs w:val="21"/>
        </w:rPr>
        <w:t>2. 优先管控单元中，饮用水水源保护区、自然保护区、风景名胜区、森林公园、湿地公园等有法律法规、政策管理的法定自然保护地，严格按照相关法律法规、管理制度和保护性规划进行管理。生态保护红线区域执行国家及重庆市制定的生态保护红线管理制度，其中四山管制禁建区严格执行《重庆市"四山"地区开发建设管制规定》等，三峡水库消落区严格执行《重庆市三峡水库消落区管理暂行办法》。渝北区一般生态空间-水土保持管控单元，严格控制新增建设占用生态保护红线外的生态空间，符合区域准入条件的建设项目，涉及占用生态空间中的林地、草原等，按有关法律法规规定办理；涉及占用生态空间中其他未作明确规定的用地，应当加强论证和管理。</w:t>
      </w:r>
    </w:p>
    <w:sectPr>
      <w:headerReference r:id="rId5" w:type="default"/>
      <w:footerReference r:id="rId6" w:type="default"/>
      <w:pgSz w:w="16838" w:h="11906" w:orient="landscape"/>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黑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69850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5.5pt;height:0.15pt;width:442.25pt;z-index:251661312;mso-width-relative:page;mso-height-relative:page;" filled="f" stroked="t" coordsize="21600,21600" o:gfxdata="UEsDBAoAAAAAAIdO4kAAAAAAAAAAAAAAAAAEAAAAZHJzL1BLAwQUAAAACACHTuJAk01iHNMAAAAH&#10;AQAADwAAAGRycy9kb3ducmV2LnhtbE2PzU7DMBCE70i8g7VI3KiTVFRRiFOJSJyAA225u7EbR7XX&#10;lu0m5e3ZnuC0PzOa/bbdXp1ls45p8iigXBXANA5eTTgKOOzfnmpgKUtU0nrUAn50gm13f9fKRvkF&#10;v/S8yyOjEEyNFGByDg3naTDaybTyQSNpJx+dzDTGkasoFwp3lldFseFOTkgXjAy6N3o47y5OQP8e&#10;qt587pdYvaaPcV7bcDp/C/H4UBYvwLK+5j8z3PAJHTpiOvoLqsQszc9kpFLSRyTX9Yaa422xBt61&#10;/D9/9wt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01iHNMAAAAH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124460</wp:posOffset>
              </wp:positionV>
              <wp:extent cx="8729980" cy="254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8729980"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9.8pt;height:0.2pt;width:687.4pt;z-index:251664384;mso-width-relative:page;mso-height-relative:page;" filled="f" stroked="t" coordsize="21600,21600" o:gfxdata="UEsDBAoAAAAAAIdO4kAAAAAAAAAAAAAAAAAEAAAAZHJzL1BLAwQUAAAACACHTuJAC5IAgdcAAAAH&#10;AQAADwAAAGRycy9kb3ducmV2LnhtbE2PzU7DMBCE70i8g7VIXCrqlKISQpxKJeqBA1Jbyn0bL0nU&#10;eB3F7h9Pz/YEx90ZzXyTz8+uU0caQuvZwGScgCKuvG25NrD9XD6koEJEtth5JgMXCjAvbm9yzKw/&#10;8ZqOm1grCeGQoYEmxj7TOlQNOQxj3xOL9u0Hh1HOodZ2wJOEu04/JslMO2xZGhrs6a2har85OAPl&#10;ohyt39OvUbX42JeX5Q+v0u3UmPu7SfIKKtI5/pnhii/oUAjTzh/YBtUZkCFRvi8zUFd1+vwkS3YG&#10;pBV0kev//MUvUEsDBBQAAAAIAIdO4kCjBGiZ1QEAAHMDAAAOAAAAZHJzL2Uyb0RvYy54bWytU72O&#10;EzEQ7pF4B8s92U1EIFllc8VFR4MgEj/9xGvvWvKfPCabvAQvgEQHFSU9b8PxGIydkDugQ7gY2TPj&#10;b/x9M15dHaxhexlRe9fy6aTmTDrhO+36lr95ffNowRkmcB0Y72TLjxL51frhg9UYGjnzgzedjIxA&#10;HDZjaPmQUmiqCsUgLeDEB+koqHy0kOgY+6qLMBK6NdWsrp9Uo49diF5IRPJuTkG+LvhKSZFeKoUy&#10;MdNyelsqNha7y7Zar6DpI4RBi/Mz4B9eYUE7KnqB2kAC9i7qv6CsFtGjV2kivK28UlrIwoHYTOs/&#10;2LwaIMjChcTBcJEJ/x+seLHfRqY76h3J48BSj24/fP3+/tOPbx/J3n75zChCMo0BG8q+dtt4PmHY&#10;xsz5oKJlyujwllCKCsSLHYrIx4vI8pCYIOfi6Wy5XFAxQbHZ/HEBr04oGS1ETM+ktyxvWm60yxJA&#10;A/vnmKgypf5KyW7nb7QxpY3GsZEgac0JHWialIFEWxuIH7qeMzA9jalIsUCiN7rL1zMQxn53bSLb&#10;Qx6Vej5dzjJtKvdbWq69ARxOeSV0GiKrE02y0ZYo1nmdbxtHIFm8k1x5t/PdsahY/NTZUuY8hXl0&#10;7p/L7bu/sv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5IAgdcAAAAHAQAADwAAAAAAAAABACAA&#10;AAAiAAAAZHJzL2Rvd25yZXYueG1sUEsBAhQAFAAAAAgAh07iQKMEaJnVAQAAcwMAAA4AAAAAAAAA&#10;AQAgAAAAJgEAAGRycy9lMm9Eb2MueG1sUEsFBgAAAAAGAAYAWQEAAG0FAAAAAA==&#10;">
              <v:fill on="f" focussize="0,0"/>
              <v:stroke weight="1.75pt" color="#005192 [3204]" miterlimit="8" joinstyle="miter"/>
              <v:imagedata o:title=""/>
              <o:lock v:ext="edit" aspectratio="f"/>
            </v:line>
          </w:pict>
        </mc:Fallback>
      </mc:AlternateConten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0288;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18415</wp:posOffset>
              </wp:positionH>
              <wp:positionV relativeFrom="paragraph">
                <wp:posOffset>378460</wp:posOffset>
              </wp:positionV>
              <wp:extent cx="8729980" cy="635"/>
              <wp:effectExtent l="0" t="0" r="0" b="0"/>
              <wp:wrapNone/>
              <wp:docPr id="3" name="直接连接符 3"/>
              <wp:cNvGraphicFramePr/>
              <a:graphic xmlns:a="http://schemas.openxmlformats.org/drawingml/2006/main">
                <a:graphicData uri="http://schemas.microsoft.com/office/word/2010/wordprocessingShape">
                  <wps:wsp>
                    <wps:cNvCnPr/>
                    <wps:spPr>
                      <a:xfrm flipV="1">
                        <a:off x="4133850" y="864870"/>
                        <a:ext cx="872998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5pt;margin-top:29.8pt;height:0.05pt;width:687.4pt;z-index:251663360;mso-width-relative:page;mso-height-relative:page;" filled="f" stroked="t" coordsize="21600,21600" o:gfxdata="UEsDBAoAAAAAAIdO4kAAAAAAAAAAAAAAAAAEAAAAZHJzL1BLAwQUAAAACACHTuJAYcmZZtkAAAAI&#10;AQAADwAAAGRycy9kb3ducmV2LnhtbE2PzW7CMBCE75X6DtZW6gUVB1BJSLNBohGHHioVCncTL0lE&#10;vI5i89enr3Nqj7Mzmvk2W95MKy7Uu8YywmQcgSAurW64Qth9r18SEM4r1qq1TAh3crDMHx8ylWp7&#10;5Q1dtr4SoYRdqhBq77tUSlfWZJQb2444eEfbG+WD7Cupe3UN5aaV0yiaS6MaDgu16ui9pvK0PRuE&#10;YlWMNh/JflSuPk/Fff3DX8luhvj8NIneQHi6+b8wDPgBHfLAdLBn1k60CNNFCCK8LuYgBnsWxzGI&#10;w3CJQeaZ/P9A/gtQSwMEFAAAAAgAh07iQDHYkHjiAQAAewMAAA4AAABkcnMvZTJvRG9jLnhtbK1T&#10;S44TMRDdI3EHy3vSnWSS6bTSmcVEwwZBJGD2Fbfdbck/2SadXIILILGDFUv2cxuGY0zZaYbfDuFF&#10;ya7Pc73n8vrqqBU5cB+kNQ2dTkpKuGG2laZr6Ns3N88qSkIE04Kyhjf0xAO92jx9sh5czWe2t6rl&#10;niCICfXgGtrH6OqiCKznGsLEOm4wKKzXEPHou6L1MCC6VsWsLJfFYH3rvGU8BPRuz0G6yfhCcBZf&#10;CRF4JKqh2FvM1me7T7bYrKHuPLhesrEN+IcuNEiDlz5CbSECeeflX1BaMm+DFXHCrC6sEJLxzAHZ&#10;TMs/2LzuwfHMBcUJ7lGm8P9g2cvDzhPZNnROiQGNT3T/4eu395++331Ee//lM5knkQYXasy9Njs/&#10;noLb+cT4KLwmQkl3i++fNUBW5NjQi+l8Xi1Q9FNDq+VFdTmqzY+RMIxXl7PVqsI4w4TlfJGuKc54&#10;Cdf5EJ9zq0naNFRJk6SAGg4vQjyn/khJbmNvpFLoh1oZMjR0hmuB4IBTJRRE3GqHPIPpKAHV4biy&#10;6DNksEq2qTxVB9/tr5UnB0gjUy6mq9nY2W9p6e4thP6cl0MpDWotI060khoZlmmN1cogvSTjWbi0&#10;29v2lPXMfnzhLMA4jWmEfj3n6p9/ZvM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cmZZtkAAAAI&#10;AQAADwAAAAAAAAABACAAAAAiAAAAZHJzL2Rvd25yZXYueG1sUEsBAhQAFAAAAAgAh07iQDHYkHji&#10;AQAAewMAAA4AAAAAAAAAAQAgAAAAKA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3666A"/>
    <w:rsid w:val="02BF6599"/>
    <w:rsid w:val="03CE38D2"/>
    <w:rsid w:val="041C42DA"/>
    <w:rsid w:val="04B679C3"/>
    <w:rsid w:val="05F07036"/>
    <w:rsid w:val="06E00104"/>
    <w:rsid w:val="080F63D8"/>
    <w:rsid w:val="082F4639"/>
    <w:rsid w:val="08855F36"/>
    <w:rsid w:val="09341458"/>
    <w:rsid w:val="098254C2"/>
    <w:rsid w:val="09852002"/>
    <w:rsid w:val="0A766EDE"/>
    <w:rsid w:val="0AD64BE8"/>
    <w:rsid w:val="0B0912D7"/>
    <w:rsid w:val="0E025194"/>
    <w:rsid w:val="152D2DCA"/>
    <w:rsid w:val="187168EA"/>
    <w:rsid w:val="196673CA"/>
    <w:rsid w:val="1B2F4AEE"/>
    <w:rsid w:val="1B3950CA"/>
    <w:rsid w:val="1B5A1181"/>
    <w:rsid w:val="1BDB3BEC"/>
    <w:rsid w:val="1CF734C9"/>
    <w:rsid w:val="1DEC284C"/>
    <w:rsid w:val="1E0E36A7"/>
    <w:rsid w:val="1E6523AC"/>
    <w:rsid w:val="22440422"/>
    <w:rsid w:val="22BB4BBB"/>
    <w:rsid w:val="22D10D21"/>
    <w:rsid w:val="230C3F04"/>
    <w:rsid w:val="24DA701C"/>
    <w:rsid w:val="25497755"/>
    <w:rsid w:val="262B0CB6"/>
    <w:rsid w:val="26460E91"/>
    <w:rsid w:val="2AEB3417"/>
    <w:rsid w:val="31A15F24"/>
    <w:rsid w:val="324A1681"/>
    <w:rsid w:val="32D73B4D"/>
    <w:rsid w:val="33841F3A"/>
    <w:rsid w:val="33B14FB2"/>
    <w:rsid w:val="33E03AF1"/>
    <w:rsid w:val="34FE6120"/>
    <w:rsid w:val="35BE6EC3"/>
    <w:rsid w:val="36FB1DF0"/>
    <w:rsid w:val="395347B5"/>
    <w:rsid w:val="39743A48"/>
    <w:rsid w:val="39A232A0"/>
    <w:rsid w:val="39E745AA"/>
    <w:rsid w:val="3ACB2151"/>
    <w:rsid w:val="3B5A6BBB"/>
    <w:rsid w:val="3C5A1565"/>
    <w:rsid w:val="3EDA13A6"/>
    <w:rsid w:val="417B75E9"/>
    <w:rsid w:val="42F058B7"/>
    <w:rsid w:val="436109F6"/>
    <w:rsid w:val="438C1ACD"/>
    <w:rsid w:val="441A38D4"/>
    <w:rsid w:val="4504239D"/>
    <w:rsid w:val="4BC77339"/>
    <w:rsid w:val="4C9236C5"/>
    <w:rsid w:val="4CE56D6B"/>
    <w:rsid w:val="4E250A85"/>
    <w:rsid w:val="4FFD4925"/>
    <w:rsid w:val="505C172E"/>
    <w:rsid w:val="506405EA"/>
    <w:rsid w:val="51752968"/>
    <w:rsid w:val="51CD541C"/>
    <w:rsid w:val="52F46F0B"/>
    <w:rsid w:val="532B6A10"/>
    <w:rsid w:val="53D8014D"/>
    <w:rsid w:val="55E064E0"/>
    <w:rsid w:val="572C6D10"/>
    <w:rsid w:val="5B4E1915"/>
    <w:rsid w:val="5C031189"/>
    <w:rsid w:val="5DC34279"/>
    <w:rsid w:val="5FCD688E"/>
    <w:rsid w:val="5FF9BDAA"/>
    <w:rsid w:val="608816D1"/>
    <w:rsid w:val="60EF4E7F"/>
    <w:rsid w:val="648B0A32"/>
    <w:rsid w:val="6563474E"/>
    <w:rsid w:val="665233C1"/>
    <w:rsid w:val="676F6747"/>
    <w:rsid w:val="69AC0D42"/>
    <w:rsid w:val="6AD9688B"/>
    <w:rsid w:val="6B7E5F3B"/>
    <w:rsid w:val="6D0E3F22"/>
    <w:rsid w:val="717000D3"/>
    <w:rsid w:val="71C34474"/>
    <w:rsid w:val="744E4660"/>
    <w:rsid w:val="753355A2"/>
    <w:rsid w:val="759F1C61"/>
    <w:rsid w:val="769F2DE8"/>
    <w:rsid w:val="76FDEB7C"/>
    <w:rsid w:val="79C65162"/>
    <w:rsid w:val="7A4833C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List Paragraph"/>
    <w:basedOn w:val="1"/>
    <w:uiPriority w:val="0"/>
    <w:pPr>
      <w:ind w:firstLine="420" w:firstLineChars="200"/>
    </w:pPr>
  </w:style>
  <w:style w:type="character" w:customStyle="1" w:styleId="13">
    <w:name w:val="页码1"/>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杨倩怡</cp:lastModifiedBy>
  <cp:lastPrinted>2022-05-11T16:46:00Z</cp:lastPrinted>
  <dcterms:modified xsi:type="dcterms:W3CDTF">2024-03-29T02:00:53Z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48C61CB29D3F4D9384F5922CF0F7FFB4</vt:lpwstr>
  </property>
</Properties>
</file>