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hd w:val="clear" w:color="auto" w:fill="FFFFFF"/>
        <w:snapToGrid w:val="0"/>
        <w:spacing w:line="540" w:lineRule="exact"/>
        <w:jc w:val="center"/>
        <w:rPr>
          <w:rFonts w:eastAsia="方正小标宋_GBK" w:cs="Arial"/>
          <w:bCs/>
          <w:kern w:val="0"/>
          <w:sz w:val="44"/>
          <w:szCs w:val="44"/>
        </w:rPr>
      </w:pPr>
      <w:r>
        <w:rPr>
          <w:rFonts w:eastAsia="方正小标宋_GBK" w:cs="Arial"/>
          <w:bCs/>
          <w:kern w:val="0"/>
          <w:sz w:val="44"/>
          <w:szCs w:val="44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黑体"/>
          <w:spacing w:val="-10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关于印发</w:t>
      </w:r>
      <w:r>
        <w:rPr>
          <w:rFonts w:hint="eastAsia" w:asci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eastAsia="方正小标宋_GBK"/>
          <w:sz w:val="44"/>
          <w:szCs w:val="44"/>
        </w:rPr>
        <w:t>渝北区促进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专精特新中小企业</w:t>
      </w:r>
      <w:r>
        <w:rPr>
          <w:rFonts w:hint="eastAsia" w:ascii="方正小标宋_GBK" w:eastAsia="方正小标宋_GBK"/>
          <w:sz w:val="44"/>
          <w:szCs w:val="44"/>
        </w:rPr>
        <w:t>发展若干政策措施</w:t>
      </w:r>
      <w:r>
        <w:rPr>
          <w:rFonts w:hint="eastAsia" w:ascii="方正小标宋_GBK" w:eastAsia="方正小标宋_GBK" w:cs="方正小标宋_GBK"/>
          <w:sz w:val="44"/>
          <w:szCs w:val="44"/>
        </w:rPr>
        <w:t>》</w:t>
      </w:r>
      <w:r>
        <w:rPr>
          <w:rFonts w:hint="eastAsia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渝北府办发〔2022〕38号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" w:rightChars="-1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各镇人民政府，区政府各部门，各街道办事处，各区属国有公司，有关单位：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《渝北区促进</w:t>
      </w:r>
      <w:r>
        <w:rPr>
          <w:rFonts w:hint="eastAsia" w:eastAsia="方正仿宋_GBK"/>
          <w:lang w:eastAsia="zh-CN"/>
        </w:rPr>
        <w:t>专精特新中小企业</w:t>
      </w:r>
      <w:r>
        <w:rPr>
          <w:rFonts w:hint="eastAsia" w:ascii="Times New Roman" w:hAnsi="Times New Roman" w:eastAsia="方正仿宋_GBK"/>
        </w:rPr>
        <w:t>发展若干政策措施》已经区政府领导同意，现印发给你们，请认真抓好贯彻落实。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3840" w:firstLineChars="1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4800" w:firstLineChars="15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2022年12月9日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" w:rightChars="-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渝北区促进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专精特新中小企业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" w:rightChars="-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若干政策措施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根据《</w:t>
      </w:r>
      <w:r>
        <w:rPr>
          <w:rFonts w:hint="eastAsia" w:ascii="Times New Roman" w:hAnsi="Times New Roman" w:eastAsia="方正仿宋_GBK"/>
          <w:lang w:eastAsia="zh-CN"/>
        </w:rPr>
        <w:t>重庆</w:t>
      </w:r>
      <w:r>
        <w:rPr>
          <w:rFonts w:hint="eastAsia" w:ascii="Times New Roman" w:hAnsi="Times New Roman" w:eastAsia="方正仿宋_GBK"/>
        </w:rPr>
        <w:t>市</w:t>
      </w:r>
      <w:r>
        <w:rPr>
          <w:rFonts w:hint="eastAsia" w:ascii="Times New Roman" w:hAnsi="Times New Roman" w:eastAsia="方正仿宋_GBK"/>
          <w:lang w:eastAsia="zh-CN"/>
        </w:rPr>
        <w:t>人民</w:t>
      </w:r>
      <w:r>
        <w:rPr>
          <w:rFonts w:hint="eastAsia" w:ascii="Times New Roman" w:hAnsi="Times New Roman" w:eastAsia="方正仿宋_GBK"/>
        </w:rPr>
        <w:t>政府办公厅关于印发重庆市推进“专精特新”企业高质量发展行动计划（2022-2025）的通知》精神，为培育壮大一批专注细分市场、创新能力强、质量效益高、产业支撑作用大的</w:t>
      </w:r>
      <w:r>
        <w:rPr>
          <w:rFonts w:hint="eastAsia" w:eastAsia="方正仿宋_GBK"/>
          <w:lang w:eastAsia="zh-CN"/>
        </w:rPr>
        <w:t>专精特新中小企业</w:t>
      </w:r>
      <w:r>
        <w:rPr>
          <w:rFonts w:hint="eastAsia" w:ascii="Times New Roman" w:hAnsi="Times New Roman" w:eastAsia="方正仿宋_GBK"/>
        </w:rPr>
        <w:t>（包含市级“专精特新”企业、国家专精特新“小巨人”企业），引领带动全区中小企业高质量发展，力争到2025年，全区市级“专精特新”企业达到180家，国家专精特新“小巨人”企业达到23家，结合渝北实际，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</w:rPr>
        <w:t>引育双管齐下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1. 强化招商引资。立足全区“2+4+1”现代工业体系、放眼战新产业和先导产业，围绕汽车、电子等支柱产业深入开展“延链补链强链”，聚焦元宇宙、人工智能、生物医药等前沿领域的初创企业下好先手棋。对从区外新引进的“专精特新”企业和国家专精特新“小巨人”企业，或在享受园区招商政策期间获得市级“专精特新”和国家专精特新“小巨人”企业认定的，参照第5条给予认定奖补。（企业注册地搬迁至我区的“专精特新”企业才直接给予认定补贴；而在我区设立子公司的，待子公司获得市级“专精特新”或国家级专精特新“小巨人”企业认定时，才给予认定补贴）（责任单位：区经济信息委、区临空办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2. 引导集聚发展。鼓励国有平台公司和民营企业利用标准厂房和楼宇资源，建立“专精特新”孵化园区。重点支持创新经济走廊打造“汽车电子及智能终端”科技型初创企业园区；仙桃数据谷、三龙地区打造“软件和信息服务业”科技型初创企业园区。（责任单位：区经济信息委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3. 保障生产用房。对上年度生产产值（主营业务收入）增速超过20%的市级“专精特新”企业和国家专精特新“小巨人”企业给予房租补贴。其中租用国有厂房（楼宇）且租金超过20元/平方米·月的，厂房（楼宇）所属国有平台公司或镇街按照5元/平方米·月的标准对企业给予减免，每家企业减免额度不超过50万元/年；利用社会闲置厂房（楼宇）的，企业所属国有平台公司或镇街参照租用国有厂房（楼宇）的减免标准对企业进行补贴审核，区经济信息委复核后给予补贴。（责任单位：区经济信息委、区临空办、各镇街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4. 聚焦汽车电子。重点打造市级汽车电子重点关键产业园，围绕智能座舱、自动驾驶/辅助驾驶、大小三电等关键领域，引导企业开发新品、拓展市场、聚焦发展、挂牌上市。力争到2025年区内汽车电子企业专精特新普及率达到40%。（责任单位：区经济信息委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</w:rPr>
        <w:t>加强财税扶持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5. 给予认定奖励。对2022年以后（包括2022年）获得市级“专精特新”和国家专精特新“小巨人”的区内企业给予奖励，其中市级“专精特新”企业给予10万元、国家专精特新“小巨人”企业给予50万元；以后每次通过复核且近2年生产产值（主营业务收入）平均增长率超过10%的企业，再分别给予5万元、25万元奖励。对于2022年以前认定的市级“专精特新”和国家专精特新“小巨人”企业，首次复核通过后分别给予10万元、50万元奖励；以后每次通过复核且近2年生产产值（主营业务收入）平均增长率超过10%的企业，再分别给予5万元、25万元奖励。（责任单位：区财政局、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6. 用好专项资金。调整优化全区工业和信息化政策，对“专精特新”企业实施智能化改造、绿色化改造给予重点支持。对“专精特新”企业运用新一代信息技术，发展数字化管理、定制、服务等新模式和新场景，给予重点支持。（责任单位：区财政局、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7. 支持企业上市。区内“专精特新”企业在重庆市OTC成长板、专精特新板挂牌的，给予60万元奖励。在新三板挂牌的，分阶段给予300万元奖励，其中：通过券商内核并报送挂牌备案文件给予100万元奖励；首次在基础层或创新层成功挂牌后给予100万元奖励；首次在精选层成功挂牌后给予200万元奖励。在境内首发上市的，分阶段给予1000万元奖励，其中：进入首次公开发行股票辅导程序，向重庆证监局提交《股票发行上市辅导报告》并通过辅导验收备案后给予200万元奖励；向证监会或交易所提交拟发行股票上市的申请被受理后给予300万元奖励；企业完成首发上市后给予500万元奖励。（责任单位：区财政局、区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8. 切实减税减负。自2022年1月1日起至2024年12月31日，小微“专精特新”企业在50%税额幅度内减征“六税两费”；科技型中小“专精特新”企业开展研发活动中实际发生的研发费用，未形成无形资产计入当期损益的，在按规定据实扣除的基础上，自2022年1月1日起，再按照实际发生额的100%在税前扣除；形成无形资产的，按照无形资产200%在税前摊销。（责任单位：区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</w:rPr>
        <w:t>强化科技支撑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9. 夯实科技支撑。探索以“揭榜挂帅”等形式开展技术攻关，对新能源及智能网联汽车、高端装备、新材料等领域重大创新攻关项目给予重点资金支持，落实研发补贴政策，破解产业链卡脖子技术瓶颈，填补国内空白。（责任单位：区科技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10. 加强资源共享。推动“专精特新”企业与研发机构、检验检测机构等搭建交流平台、创建技术创新战略联盟，开展学术交流、产学研技术供需对接，促进设备共享，提升科技研发资源使用效率。（责任单位：区科技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11. 做好孵化培育。支持中小企业孵化器建设，围绕战略性新兴产业，建设一批集资源要素供给、教育培训服务、产供销运联动，融合技术交流交易、工作生活于一体的科技型初创企业孵化载体。（责任单位：区科技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</w:rPr>
        <w:t>加大金融支持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12. 强化基金支持。积极参投市级“专精特新”专项发展基金。创新投资方式，引导政府产业基金和社会资本重点支持“专精特新”企业。（责任单位：区临空办、临空投资公司）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13. 优化金融产品。鼓励商业银行为“专精特新”企业量身定制高额度、利率低的全新金融服务产品，推广无还本续贷产品。加大中长期融资支持力度，对“专精特新”企业再贷款、再贴现业务开通绿色通道。（责任单位：区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14. 强化上市培育。搭建“专精特新”企业上市培育服务平台，动态遴选一批有成长力的“专精特新”企业纳入拟上市企业储备库，并开展投融资对接、“一对一”上市辅导，力争到2025年全区上市“专精特新”企业数量累计达5家。（责任单位：区金融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</w:rPr>
        <w:t>优化公共服务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15. 建立联系机制。建立“专精特新”企业服务联系机制，实行“一企一策一人”，配备服务专员，及时发现并解决企业在生产经营过程中遇到的困难。（责任单位：区经济信息委）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16. 发挥三方作用。通过政府购买服务、充分利用重庆市“专精特新”服务包、鼓励市场公平竞争等方式，组织各类三方服务平台、专家等为“专精特新”企业上门问诊，提供法律援助、企业管理、专利申报、政务代办和人才培训等各项服务。（责任单位：区经济信息委、区科技局、区商务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17. 加强人才引培。做好“专精特新”企业专业人才评定工作，按照《渝北区临空英才培育引进实施办法》，做好政策落实和服务工作。广泛联系高校、科研院所，建立人才合作机制，帮助“专精特新”企业建立高端科研人员互派、互聘等人才柔性引进和使用机制。联合开展“专精特新”企业人才专场招聘会，对“专精特新”企业实现培训服务全覆盖。（责任单位：区人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18. 增强品牌建设。积极推荐“专精特新”企业申报中国质量奖、重庆市市长质量奖等，推动“专精特新”企业提升产品质量，促进标准化建设和质量管理体系认证提升。对“专精特新”企业发明专利和参与标准化工作按政策给予扶持。（责任单位：区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19. 做好政府采购。对适宜由中小企业提供的政府采购项目，预留份额面向中小企业采购。对于未预留份额专门面向中小企业采购的采购项目，对符合规定的小微企业报价给予价格扣除，用扣除后的价格参加评审。（责任单位：区财政局、相关责任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20. 突出示范效应。每年遴选10家“专精特新”企业，参照年度重点工业企业标准，给予奖励。同时加大对“专精特新”企业的宣传和引导，切实提高“专精特新”企业荣誉感。（责任单位：区经济信息委、相关区级国有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" w:rightChars="-1" w:firstLine="640" w:firstLineChars="200"/>
        <w:textAlignment w:val="auto"/>
        <w:rPr>
          <w:rFonts w:hint="eastAsia" w:ascii="Times New Roman" w:hAnsi="Times New Roman" w:eastAsia="方正仿宋_GBK"/>
        </w:rPr>
      </w:pPr>
    </w:p>
    <w:p>
      <w:pPr>
        <w:spacing w:line="560" w:lineRule="exact"/>
        <w:rPr>
          <w:rFonts w:hint="eastAsia" w:ascii="Times New Roman" w:hAnsi="Times New Roman" w:eastAsia="方正仿宋_GBK"/>
        </w:rPr>
      </w:pPr>
    </w:p>
    <w:p>
      <w:pPr>
        <w:spacing w:line="560" w:lineRule="exact"/>
        <w:rPr>
          <w:rFonts w:hint="eastAsia" w:ascii="Times New Roman" w:hAnsi="Times New Roman" w:eastAsia="方正仿宋_GBK"/>
        </w:rPr>
      </w:pPr>
    </w:p>
    <w:p>
      <w:pPr>
        <w:spacing w:line="560" w:lineRule="exact"/>
        <w:rPr>
          <w:rFonts w:hint="eastAsia" w:ascii="Times New Roman" w:hAnsi="Times New Roman" w:eastAsia="方正仿宋_GBK"/>
        </w:rPr>
      </w:pPr>
    </w:p>
    <w:p>
      <w:pPr>
        <w:spacing w:line="560" w:lineRule="exact"/>
        <w:rPr>
          <w:rFonts w:hint="eastAsia" w:ascii="Times New Roman" w:hAnsi="Times New Roman" w:eastAsia="方正仿宋_GBK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69850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5.5pt;height:0.15pt;width:442.25pt;z-index:251661312;mso-width-relative:page;mso-height-relative:page;" filled="f" stroked="t" coordsize="21600,21600" o:gfxdata="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01iHNMAAAAHAQAADwAAAAAAAAABACAAAAAiAAAAZHJzL2Rv&#10;d25yZXYueG1sUEsBAhQAFAAAAAgAh07iQK6jOuDNAQAAZwMAAA4AAAAAAAAAAQAgAAAAIgEAAGRy&#10;cy9lMm9Eb2MueG1sUEsFBgAAAAAGAAYAWQEAAGE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60288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B5A1181"/>
    <w:rsid w:val="1CF734C9"/>
    <w:rsid w:val="1DEC284C"/>
    <w:rsid w:val="1E6523AC"/>
    <w:rsid w:val="22440422"/>
    <w:rsid w:val="22BB4BBB"/>
    <w:rsid w:val="262B0CB6"/>
    <w:rsid w:val="26460E91"/>
    <w:rsid w:val="2AEB3417"/>
    <w:rsid w:val="31A15F24"/>
    <w:rsid w:val="324A1681"/>
    <w:rsid w:val="32D73B4D"/>
    <w:rsid w:val="36FB1DF0"/>
    <w:rsid w:val="395347B5"/>
    <w:rsid w:val="39A232A0"/>
    <w:rsid w:val="39E745AA"/>
    <w:rsid w:val="3B5A6BBB"/>
    <w:rsid w:val="3D201704"/>
    <w:rsid w:val="3EDA13A6"/>
    <w:rsid w:val="417B75E9"/>
    <w:rsid w:val="42F058B7"/>
    <w:rsid w:val="436109F6"/>
    <w:rsid w:val="438C1ACD"/>
    <w:rsid w:val="441A38D4"/>
    <w:rsid w:val="4504239D"/>
    <w:rsid w:val="4BC77339"/>
    <w:rsid w:val="4C9236C5"/>
    <w:rsid w:val="4E250A85"/>
    <w:rsid w:val="4FFD4925"/>
    <w:rsid w:val="505C172E"/>
    <w:rsid w:val="506405EA"/>
    <w:rsid w:val="515E5C5C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AD9688B"/>
    <w:rsid w:val="6B7E5F3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杨倩怡</cp:lastModifiedBy>
  <cp:lastPrinted>2022-05-11T16:46:00Z</cp:lastPrinted>
  <dcterms:modified xsi:type="dcterms:W3CDTF">2025-09-08T01:32:51Z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48C61CB29D3F4D9384F5922CF0F7FFB4</vt:lpwstr>
  </property>
</Properties>
</file>