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61" w:rsidRDefault="003C3961" w:rsidP="003C3961">
      <w:pPr>
        <w:widowControl/>
        <w:spacing w:line="600" w:lineRule="exact"/>
        <w:jc w:val="left"/>
        <w:rPr>
          <w:rFonts w:hint="eastAsia"/>
          <w:kern w:val="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kern w:val="0"/>
          <w:sz w:val="32"/>
          <w:szCs w:val="32"/>
        </w:rPr>
        <w:t>附件</w:t>
      </w:r>
      <w:r>
        <w:rPr>
          <w:rFonts w:hint="eastAsia"/>
          <w:kern w:val="0"/>
          <w:sz w:val="32"/>
          <w:szCs w:val="32"/>
        </w:rPr>
        <w:t>2</w:t>
      </w:r>
    </w:p>
    <w:p w:rsidR="003C3961" w:rsidRDefault="003C3961" w:rsidP="003C3961">
      <w:pPr>
        <w:widowControl/>
        <w:spacing w:line="600" w:lineRule="exact"/>
        <w:jc w:val="left"/>
        <w:rPr>
          <w:rFonts w:hint="eastAsia"/>
          <w:kern w:val="0"/>
          <w:sz w:val="32"/>
          <w:szCs w:val="32"/>
        </w:rPr>
      </w:pPr>
    </w:p>
    <w:p w:rsidR="003C3961" w:rsidRDefault="003C3961" w:rsidP="003C3961">
      <w:pPr>
        <w:adjustRightInd w:val="0"/>
        <w:snapToGrid w:val="0"/>
        <w:spacing w:line="560" w:lineRule="exact"/>
        <w:ind w:rightChars="769" w:right="1615" w:firstLineChars="322" w:firstLine="1417"/>
        <w:jc w:val="center"/>
        <w:rPr>
          <w:rFonts w:ascii="方正小标宋_GBK" w:eastAsia="方正小标宋_GBK" w:hint="eastAsia"/>
          <w:snapToGrid w:val="0"/>
          <w:kern w:val="36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6"/>
          <w:sz w:val="44"/>
          <w:szCs w:val="44"/>
        </w:rPr>
        <w:t>重庆市渝北区应急管理局</w:t>
      </w:r>
    </w:p>
    <w:p w:rsidR="003C3961" w:rsidRDefault="003C3961" w:rsidP="003C3961">
      <w:pPr>
        <w:adjustRightInd w:val="0"/>
        <w:snapToGrid w:val="0"/>
        <w:spacing w:line="560" w:lineRule="exact"/>
        <w:ind w:rightChars="769" w:right="1615" w:firstLineChars="322" w:firstLine="1417"/>
        <w:jc w:val="center"/>
        <w:rPr>
          <w:rFonts w:ascii="方正小标宋_GBK" w:eastAsia="方正小标宋_GBK" w:hint="eastAsia"/>
          <w:snapToGrid w:val="0"/>
          <w:kern w:val="36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36"/>
          <w:sz w:val="44"/>
          <w:szCs w:val="44"/>
        </w:rPr>
        <w:t>重庆市渝北区商务委员会</w:t>
      </w:r>
    </w:p>
    <w:p w:rsidR="003C3961" w:rsidRDefault="003C3961" w:rsidP="003C3961">
      <w:pPr>
        <w:jc w:val="left"/>
        <w:rPr>
          <w:rFonts w:ascii="方正小标宋_GBK" w:eastAsia="方正小标宋_GBK" w:hint="eastAsia"/>
          <w:snapToGrid w:val="0"/>
          <w:kern w:val="36"/>
          <w:sz w:val="44"/>
          <w:szCs w:val="44"/>
        </w:rPr>
      </w:pPr>
      <w:r>
        <w:rPr>
          <w:rFonts w:ascii="方正小标宋_GBK" w:eastAsia="方正小标宋_GBK"/>
          <w:snapToGrid w:val="0"/>
          <w:kern w:val="36"/>
          <w:sz w:val="44"/>
          <w:szCs w:val="44"/>
        </w:rPr>
        <w:t>202</w:t>
      </w:r>
      <w:r>
        <w:rPr>
          <w:rFonts w:ascii="方正小标宋_GBK" w:eastAsia="方正小标宋_GBK" w:hint="eastAsia"/>
          <w:snapToGrid w:val="0"/>
          <w:kern w:val="36"/>
          <w:sz w:val="44"/>
          <w:szCs w:val="44"/>
        </w:rPr>
        <w:t>5</w:t>
      </w:r>
      <w:r>
        <w:rPr>
          <w:rFonts w:ascii="方正小标宋_GBK" w:eastAsia="方正小标宋_GBK"/>
          <w:snapToGrid w:val="0"/>
          <w:kern w:val="36"/>
          <w:sz w:val="44"/>
          <w:szCs w:val="44"/>
        </w:rPr>
        <w:t>年</w:t>
      </w:r>
      <w:r>
        <w:rPr>
          <w:rFonts w:ascii="方正小标宋_GBK" w:eastAsia="方正小标宋_GBK" w:hint="eastAsia"/>
          <w:snapToGrid w:val="0"/>
          <w:kern w:val="36"/>
          <w:sz w:val="44"/>
          <w:szCs w:val="44"/>
        </w:rPr>
        <w:t>部门联合“双随机、一公开”</w:t>
      </w:r>
      <w:r>
        <w:rPr>
          <w:rFonts w:ascii="方正小标宋_GBK" w:eastAsia="方正小标宋_GBK"/>
          <w:snapToGrid w:val="0"/>
          <w:kern w:val="36"/>
          <w:sz w:val="44"/>
          <w:szCs w:val="44"/>
        </w:rPr>
        <w:t>抽查方案</w:t>
      </w:r>
    </w:p>
    <w:p w:rsidR="003C3961" w:rsidRDefault="003C3961" w:rsidP="003C3961">
      <w:pPr>
        <w:jc w:val="left"/>
        <w:rPr>
          <w:rFonts w:ascii="方正仿宋_GBK" w:eastAsia="方正仿宋_GBK" w:hint="eastAsia"/>
          <w:snapToGrid w:val="0"/>
          <w:kern w:val="36"/>
          <w:sz w:val="32"/>
          <w:szCs w:val="32"/>
        </w:rPr>
      </w:pPr>
    </w:p>
    <w:p w:rsidR="003C3961" w:rsidRDefault="003C3961" w:rsidP="003C3961">
      <w:pPr>
        <w:ind w:firstLineChars="200" w:firstLine="640"/>
        <w:jc w:val="lef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根据</w:t>
      </w:r>
      <w:r>
        <w:rPr>
          <w:rFonts w:eastAsia="方正仿宋_GBK" w:hint="eastAsia"/>
          <w:kern w:val="0"/>
          <w:sz w:val="32"/>
          <w:szCs w:val="32"/>
        </w:rPr>
        <w:t>有关</w:t>
      </w:r>
      <w:r>
        <w:rPr>
          <w:rFonts w:eastAsia="方正仿宋_GBK"/>
          <w:kern w:val="0"/>
          <w:sz w:val="32"/>
          <w:szCs w:val="32"/>
        </w:rPr>
        <w:t>法律法规</w:t>
      </w:r>
      <w:r>
        <w:rPr>
          <w:rFonts w:eastAsia="方正仿宋_GBK" w:hint="eastAsia"/>
          <w:kern w:val="0"/>
          <w:sz w:val="32"/>
          <w:szCs w:val="32"/>
        </w:rPr>
        <w:t>和《</w:t>
      </w:r>
      <w:r>
        <w:rPr>
          <w:rFonts w:eastAsia="方正仿宋_GBK" w:hint="eastAsia"/>
          <w:snapToGrid w:val="0"/>
          <w:kern w:val="0"/>
          <w:sz w:val="32"/>
          <w:szCs w:val="32"/>
        </w:rPr>
        <w:t>2025</w:t>
      </w:r>
      <w:r>
        <w:rPr>
          <w:rFonts w:eastAsia="方正仿宋_GBK" w:hint="eastAsia"/>
          <w:snapToGrid w:val="0"/>
          <w:kern w:val="0"/>
          <w:sz w:val="32"/>
          <w:szCs w:val="32"/>
        </w:rPr>
        <w:t>年度渝北区市场监管领域部门联合“双随机、一公开”抽查计划</w:t>
      </w:r>
      <w:r>
        <w:rPr>
          <w:rFonts w:eastAsia="方正仿宋_GBK" w:hint="eastAsia"/>
          <w:kern w:val="0"/>
          <w:sz w:val="32"/>
          <w:szCs w:val="32"/>
        </w:rPr>
        <w:t>》总体安排，结合我区实际，</w:t>
      </w:r>
      <w:r>
        <w:rPr>
          <w:rFonts w:eastAsia="方正仿宋_GBK"/>
          <w:kern w:val="0"/>
          <w:sz w:val="32"/>
          <w:szCs w:val="32"/>
        </w:rPr>
        <w:t>制定本方案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3C3961" w:rsidRDefault="003C3961" w:rsidP="003C3961">
      <w:pPr>
        <w:spacing w:line="600" w:lineRule="exact"/>
        <w:ind w:firstLineChars="200" w:firstLine="64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一、抽查时间</w:t>
      </w:r>
    </w:p>
    <w:p w:rsidR="003C3961" w:rsidRDefault="003C3961" w:rsidP="003C3961">
      <w:pPr>
        <w:spacing w:line="600" w:lineRule="exact"/>
        <w:ind w:firstLineChars="200" w:firstLine="640"/>
        <w:rPr>
          <w:rFonts w:eastAsia="方正仿宋_GBK"/>
          <w:color w:val="FF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本次抽查工作时间为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eastAsia="方正仿宋_GBK" w:hint="eastAsia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月至</w:t>
      </w:r>
      <w:r>
        <w:rPr>
          <w:rFonts w:eastAsia="方正仿宋_GBK" w:hint="eastAsia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月。</w:t>
      </w:r>
    </w:p>
    <w:p w:rsidR="003C3961" w:rsidRDefault="003C3961" w:rsidP="003C3961">
      <w:pPr>
        <w:spacing w:line="600" w:lineRule="exact"/>
        <w:ind w:firstLineChars="200" w:firstLine="64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二、抽查对象</w:t>
      </w:r>
    </w:p>
    <w:p w:rsidR="003C3961" w:rsidRDefault="003C3961" w:rsidP="003C3961">
      <w:pPr>
        <w:spacing w:line="600" w:lineRule="exact"/>
        <w:ind w:firstLineChars="200" w:firstLine="640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工贸领域企业（大型商业综合体</w:t>
      </w:r>
      <w:r>
        <w:rPr>
          <w:rFonts w:eastAsia="方正仿宋_GBK" w:hint="eastAsia"/>
          <w:kern w:val="0"/>
          <w:sz w:val="32"/>
          <w:szCs w:val="32"/>
        </w:rPr>
        <w:t>)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3C3961" w:rsidRDefault="003C3961" w:rsidP="003C3961">
      <w:pPr>
        <w:spacing w:line="600" w:lineRule="exact"/>
        <w:ind w:firstLineChars="200" w:firstLine="640"/>
        <w:jc w:val="left"/>
        <w:rPr>
          <w:rFonts w:eastAsia="方正楷体_GBK" w:cs="方正楷体_GBK" w:hint="eastAsia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三、抽查</w:t>
      </w:r>
      <w:r>
        <w:rPr>
          <w:rFonts w:eastAsia="方正黑体_GBK" w:hint="eastAsia"/>
          <w:kern w:val="0"/>
          <w:sz w:val="32"/>
          <w:szCs w:val="32"/>
        </w:rPr>
        <w:t>组织</w:t>
      </w:r>
    </w:p>
    <w:p w:rsidR="003C3961" w:rsidRDefault="003C3961" w:rsidP="003C3961">
      <w:pPr>
        <w:pStyle w:val="Style2"/>
        <w:widowControl w:val="0"/>
        <w:spacing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区应急局、区</w:t>
      </w:r>
      <w:r>
        <w:rPr>
          <w:rFonts w:ascii="Times New Roman" w:eastAsia="方正仿宋_GBK" w:hAnsi="Times New Roman" w:hint="eastAsia"/>
          <w:sz w:val="32"/>
          <w:szCs w:val="32"/>
        </w:rPr>
        <w:t>商务委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抽调执法人员建立联合检查人员名录库，按照综合执法小组区应急局执法检查人员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名、区商务委执法检查人员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名的方式，在联合检查人员库中随机抽取组成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个综合执法小组。建立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年渝北区商贸领域安全生产监管企业对象库，在对象库中按照</w:t>
      </w:r>
      <w:r>
        <w:rPr>
          <w:rFonts w:ascii="Times New Roman" w:eastAsia="方正仿宋_GBK" w:hAnsi="Times New Roman"/>
          <w:kern w:val="2"/>
          <w:sz w:val="32"/>
          <w:szCs w:val="32"/>
        </w:rPr>
        <w:t>企业信用等级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A</w:t>
      </w:r>
      <w:r>
        <w:rPr>
          <w:rFonts w:ascii="Times New Roman" w:eastAsia="方正仿宋_GBK" w:hAnsi="Times New Roman"/>
          <w:kern w:val="2"/>
          <w:sz w:val="32"/>
          <w:szCs w:val="32"/>
        </w:rPr>
        <w:t>级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0%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B</w:t>
      </w:r>
      <w:r>
        <w:rPr>
          <w:rFonts w:ascii="Times New Roman" w:eastAsia="方正仿宋_GBK" w:hAnsi="Times New Roman"/>
          <w:kern w:val="2"/>
          <w:sz w:val="32"/>
          <w:szCs w:val="32"/>
        </w:rPr>
        <w:t>级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5%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C</w:t>
      </w:r>
      <w:r>
        <w:rPr>
          <w:rFonts w:ascii="Times New Roman" w:eastAsia="方正仿宋_GBK" w:hAnsi="Times New Roman"/>
          <w:kern w:val="2"/>
          <w:sz w:val="32"/>
          <w:szCs w:val="32"/>
        </w:rPr>
        <w:t>级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5%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D</w:t>
      </w:r>
      <w:r>
        <w:rPr>
          <w:rFonts w:ascii="Times New Roman" w:eastAsia="方正仿宋_GBK" w:hAnsi="Times New Roman"/>
          <w:kern w:val="2"/>
          <w:sz w:val="32"/>
          <w:szCs w:val="32"/>
        </w:rPr>
        <w:t>级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5%</w:t>
      </w:r>
      <w:r>
        <w:rPr>
          <w:rFonts w:ascii="Times New Roman" w:eastAsia="方正仿宋_GBK" w:hAnsi="Times New Roman"/>
          <w:kern w:val="2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比例</w:t>
      </w:r>
      <w:r>
        <w:rPr>
          <w:rFonts w:ascii="Times New Roman" w:eastAsia="方正仿宋_GBK" w:hAnsi="Times New Roman"/>
          <w:kern w:val="2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随机抽取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家企业作为检查对象。综合执法小组开展对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家企业的部门联合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lastRenderedPageBreak/>
        <w:t>抽查。</w:t>
      </w:r>
    </w:p>
    <w:p w:rsidR="003C3961" w:rsidRDefault="003C3961" w:rsidP="003C3961">
      <w:pPr>
        <w:spacing w:line="600" w:lineRule="exact"/>
        <w:ind w:firstLineChars="200" w:firstLine="64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 w:hint="eastAsia"/>
          <w:kern w:val="0"/>
          <w:sz w:val="32"/>
          <w:szCs w:val="32"/>
        </w:rPr>
        <w:t>四</w:t>
      </w:r>
      <w:r>
        <w:rPr>
          <w:rFonts w:eastAsia="方正黑体_GBK"/>
          <w:kern w:val="0"/>
          <w:sz w:val="32"/>
          <w:szCs w:val="32"/>
        </w:rPr>
        <w:t>、检查内容</w:t>
      </w:r>
    </w:p>
    <w:p w:rsidR="003C3961" w:rsidRDefault="003C3961" w:rsidP="003C3961">
      <w:pPr>
        <w:snapToGrid w:val="0"/>
        <w:spacing w:line="600" w:lineRule="exact"/>
        <w:ind w:firstLine="640"/>
        <w:rPr>
          <w:rFonts w:eastAsia="方正楷体_GBK" w:cs="方正楷体_GBK" w:hint="eastAsia"/>
          <w:kern w:val="0"/>
          <w:sz w:val="32"/>
          <w:szCs w:val="32"/>
        </w:rPr>
      </w:pPr>
      <w:r>
        <w:rPr>
          <w:rFonts w:eastAsia="方正楷体_GBK" w:cs="方正楷体_GBK" w:hint="eastAsia"/>
          <w:kern w:val="0"/>
          <w:sz w:val="32"/>
          <w:szCs w:val="32"/>
        </w:rPr>
        <w:t>（一）查看安全管理资料；</w:t>
      </w:r>
    </w:p>
    <w:p w:rsidR="003C3961" w:rsidRDefault="003C3961" w:rsidP="003C3961">
      <w:pPr>
        <w:snapToGrid w:val="0"/>
        <w:spacing w:line="600" w:lineRule="exact"/>
        <w:ind w:firstLine="640"/>
        <w:rPr>
          <w:rFonts w:eastAsia="方正楷体_GBK" w:cs="方正楷体_GBK"/>
          <w:kern w:val="0"/>
          <w:sz w:val="32"/>
          <w:szCs w:val="32"/>
        </w:rPr>
      </w:pPr>
      <w:r>
        <w:rPr>
          <w:rFonts w:eastAsia="方正楷体_GBK" w:cs="方正楷体_GBK" w:hint="eastAsia"/>
          <w:kern w:val="0"/>
          <w:sz w:val="32"/>
          <w:szCs w:val="32"/>
        </w:rPr>
        <w:t>（二）查看现场安全。</w:t>
      </w:r>
    </w:p>
    <w:p w:rsidR="003C3961" w:rsidRDefault="003C3961" w:rsidP="003C3961">
      <w:pPr>
        <w:spacing w:line="600" w:lineRule="exact"/>
        <w:ind w:firstLineChars="200" w:firstLine="64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 w:hint="eastAsia"/>
          <w:kern w:val="0"/>
          <w:sz w:val="32"/>
          <w:szCs w:val="32"/>
        </w:rPr>
        <w:t>五</w:t>
      </w:r>
      <w:r>
        <w:rPr>
          <w:rFonts w:eastAsia="方正黑体_GBK"/>
          <w:kern w:val="0"/>
          <w:sz w:val="32"/>
          <w:szCs w:val="32"/>
        </w:rPr>
        <w:t>、工作要求</w:t>
      </w:r>
    </w:p>
    <w:p w:rsidR="003C3961" w:rsidRDefault="003C3961" w:rsidP="003C3961">
      <w:pPr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（一）协同配合。</w:t>
      </w:r>
      <w:r>
        <w:rPr>
          <w:rFonts w:eastAsia="方正仿宋_GBK" w:hint="eastAsia"/>
          <w:sz w:val="32"/>
          <w:szCs w:val="32"/>
        </w:rPr>
        <w:t>“双随机、一公开”</w:t>
      </w:r>
      <w:r>
        <w:rPr>
          <w:rFonts w:eastAsia="方正仿宋_GBK"/>
          <w:sz w:val="32"/>
          <w:szCs w:val="32"/>
        </w:rPr>
        <w:t>联合抽查工作是</w:t>
      </w:r>
      <w:r>
        <w:rPr>
          <w:rFonts w:eastAsia="方正仿宋_GBK" w:hint="eastAsia"/>
          <w:sz w:val="32"/>
          <w:szCs w:val="32"/>
        </w:rPr>
        <w:t>优化营商环境</w:t>
      </w:r>
      <w:r>
        <w:rPr>
          <w:rFonts w:eastAsia="方正仿宋_GBK"/>
          <w:sz w:val="32"/>
          <w:szCs w:val="32"/>
        </w:rPr>
        <w:t>的重要举措。</w:t>
      </w:r>
      <w:r>
        <w:rPr>
          <w:rFonts w:eastAsia="方正仿宋_GBK" w:hint="eastAsia"/>
          <w:sz w:val="32"/>
          <w:szCs w:val="32"/>
        </w:rPr>
        <w:t>部门之间</w:t>
      </w:r>
      <w:r>
        <w:rPr>
          <w:rFonts w:eastAsia="方正仿宋_GBK"/>
          <w:sz w:val="32"/>
          <w:szCs w:val="32"/>
        </w:rPr>
        <w:t>要协同配合，</w:t>
      </w:r>
      <w:r>
        <w:rPr>
          <w:rFonts w:eastAsia="方正仿宋_GBK" w:hint="eastAsia"/>
          <w:sz w:val="32"/>
          <w:szCs w:val="32"/>
        </w:rPr>
        <w:t>以严格规范公正文明的执法检查</w:t>
      </w:r>
      <w:r>
        <w:rPr>
          <w:rFonts w:eastAsia="方正仿宋_GBK"/>
          <w:sz w:val="32"/>
          <w:szCs w:val="32"/>
        </w:rPr>
        <w:t>把联合抽查</w:t>
      </w:r>
      <w:r>
        <w:rPr>
          <w:rFonts w:eastAsia="方正仿宋_GBK" w:hint="eastAsia"/>
          <w:sz w:val="32"/>
          <w:szCs w:val="32"/>
        </w:rPr>
        <w:t>事项</w:t>
      </w:r>
      <w:r>
        <w:rPr>
          <w:rFonts w:eastAsia="方正仿宋_GBK"/>
          <w:sz w:val="32"/>
          <w:szCs w:val="32"/>
        </w:rPr>
        <w:t>落到实处。</w:t>
      </w:r>
    </w:p>
    <w:p w:rsidR="003C3961" w:rsidRDefault="003C3961" w:rsidP="003C3961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方正楷体_GBK"/>
          <w:sz w:val="32"/>
          <w:szCs w:val="32"/>
        </w:rPr>
        <w:t>（二）落实责任。</w:t>
      </w:r>
      <w:r>
        <w:rPr>
          <w:rFonts w:eastAsia="方正仿宋_GBK"/>
          <w:sz w:val="32"/>
          <w:szCs w:val="32"/>
        </w:rPr>
        <w:t>要进一步增强责任意识，坚持</w:t>
      </w:r>
      <w:r>
        <w:rPr>
          <w:rFonts w:eastAsia="方正仿宋_GBK" w:hint="eastAsia"/>
          <w:sz w:val="32"/>
          <w:szCs w:val="32"/>
        </w:rPr>
        <w:t>依法行政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履行法定职责</w:t>
      </w:r>
      <w:r>
        <w:rPr>
          <w:rFonts w:eastAsia="方正仿宋_GBK"/>
          <w:sz w:val="32"/>
          <w:szCs w:val="32"/>
        </w:rPr>
        <w:t>，按</w:t>
      </w:r>
      <w:r>
        <w:rPr>
          <w:rFonts w:eastAsia="方正仿宋_GBK" w:cs="方正仿宋_GBK" w:hint="eastAsia"/>
          <w:sz w:val="32"/>
          <w:szCs w:val="32"/>
        </w:rPr>
        <w:t>照“谁审批、谁监管，谁主管、谁监管”的原则</w:t>
      </w:r>
      <w:r>
        <w:rPr>
          <w:rFonts w:eastAsia="方正仿宋_GBK"/>
          <w:sz w:val="32"/>
          <w:szCs w:val="32"/>
        </w:rPr>
        <w:t>，严格落实各</w:t>
      </w:r>
      <w:r>
        <w:rPr>
          <w:rFonts w:eastAsia="方正仿宋_GBK" w:hint="eastAsia"/>
          <w:sz w:val="32"/>
          <w:szCs w:val="32"/>
        </w:rPr>
        <w:t>部门的</w:t>
      </w:r>
      <w:r>
        <w:rPr>
          <w:rFonts w:eastAsia="方正仿宋_GBK"/>
          <w:sz w:val="32"/>
          <w:szCs w:val="32"/>
        </w:rPr>
        <w:t>监管职责。</w:t>
      </w:r>
    </w:p>
    <w:p w:rsidR="003C3961" w:rsidRDefault="003C3961" w:rsidP="003C3961">
      <w:pPr>
        <w:pStyle w:val="Style2"/>
        <w:widowControl w:val="0"/>
        <w:spacing w:line="560" w:lineRule="exact"/>
        <w:ind w:firstLineChars="200" w:firstLine="640"/>
        <w:jc w:val="both"/>
        <w:rPr>
          <w:rFonts w:ascii="Times New Roman" w:eastAsia="方正仿宋_GBK" w:hAnsi="Times New Roman" w:hint="eastAsia"/>
          <w:kern w:val="2"/>
          <w:sz w:val="32"/>
          <w:szCs w:val="32"/>
        </w:rPr>
      </w:pPr>
      <w:r>
        <w:rPr>
          <w:rFonts w:ascii="Times New Roman" w:eastAsia="方正楷体_GBK" w:hAnsi="Times New Roman" w:cs="方正楷体_GBK"/>
          <w:sz w:val="32"/>
          <w:szCs w:val="32"/>
        </w:rPr>
        <w:t>（三）加强宣传。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以开展部门联合抽查为契机，通过发放宣传资料、宣讲典型案例、开展业务释疑等方式积极宣传各部门法律法规，不断提升抽查对象法治意识。</w:t>
      </w:r>
    </w:p>
    <w:p w:rsidR="003C3961" w:rsidRDefault="003C3961" w:rsidP="003C3961">
      <w:pPr>
        <w:snapToGrid w:val="0"/>
        <w:spacing w:line="600" w:lineRule="exact"/>
        <w:ind w:firstLine="640"/>
        <w:jc w:val="left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楷体_GBK" w:cs="方正楷体_GBK"/>
          <w:sz w:val="32"/>
          <w:szCs w:val="32"/>
        </w:rPr>
        <w:t>（四）严肃纪律。</w:t>
      </w:r>
      <w:r>
        <w:rPr>
          <w:rFonts w:eastAsia="方正仿宋_GBK"/>
          <w:sz w:val="32"/>
          <w:szCs w:val="32"/>
        </w:rPr>
        <w:t>检查人员要</w:t>
      </w:r>
      <w:r>
        <w:rPr>
          <w:rFonts w:eastAsia="方正仿宋_GBK" w:hint="eastAsia"/>
          <w:sz w:val="32"/>
          <w:szCs w:val="32"/>
        </w:rPr>
        <w:t>严格规范公正文明开展检查，</w:t>
      </w:r>
      <w:r>
        <w:rPr>
          <w:rFonts w:eastAsia="方正仿宋_GBK"/>
          <w:sz w:val="32"/>
          <w:szCs w:val="32"/>
        </w:rPr>
        <w:t>廉洁自律，做到不干预企业正常生产经营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不收受企业馈赠有价证券和礼品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不接受企业宴请。</w:t>
      </w:r>
    </w:p>
    <w:p w:rsidR="008F7791" w:rsidRDefault="008F7791">
      <w:bookmarkStart w:id="0" w:name="_GoBack"/>
      <w:bookmarkEnd w:id="0"/>
    </w:p>
    <w:sectPr w:rsidR="008F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1"/>
    <w:rsid w:val="003C3961"/>
    <w:rsid w:val="008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A87C-9FD8-4040-9B38-E0ABCE3F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1"/>
    <w:qFormat/>
    <w:rsid w:val="003C3961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2025-07-03T09:36:00Z</dcterms:created>
  <dcterms:modified xsi:type="dcterms:W3CDTF">2025-07-03T09:36:00Z</dcterms:modified>
</cp:coreProperties>
</file>