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D7421">
      <w:pPr>
        <w:pStyle w:val="5"/>
        <w:shd w:val="clear" w:color="auto" w:fill="FFFFFF"/>
        <w:spacing w:before="0" w:beforeAutospacing="0" w:after="0" w:afterAutospacing="0" w:line="560" w:lineRule="exact"/>
        <w:jc w:val="center"/>
        <w:rPr>
          <w:rStyle w:val="8"/>
          <w:rFonts w:hint="eastAsia" w:ascii="方正小标宋_GBK" w:hAnsi="微软雅黑" w:eastAsia="方正小标宋_GBK"/>
          <w:b w:val="0"/>
          <w:sz w:val="44"/>
          <w:szCs w:val="44"/>
        </w:rPr>
      </w:pPr>
      <w:r>
        <w:rPr>
          <w:rStyle w:val="8"/>
          <w:rFonts w:hint="eastAsia" w:ascii="方正小标宋_GBK" w:hAnsi="微软雅黑" w:eastAsia="方正小标宋_GBK"/>
          <w:b w:val="0"/>
          <w:sz w:val="44"/>
          <w:szCs w:val="44"/>
        </w:rPr>
        <w:t>民政部</w:t>
      </w:r>
    </w:p>
    <w:p w14:paraId="5BC707FD">
      <w:pPr>
        <w:pStyle w:val="5"/>
        <w:shd w:val="clear" w:color="auto" w:fill="FFFFFF"/>
        <w:spacing w:before="0" w:beforeAutospacing="0" w:after="0" w:afterAutospacing="0" w:line="560" w:lineRule="exact"/>
        <w:jc w:val="center"/>
        <w:rPr>
          <w:rStyle w:val="8"/>
          <w:rFonts w:ascii="方正小标宋_GBK" w:hAnsi="微软雅黑" w:eastAsia="方正小标宋_GBK"/>
          <w:b w:val="0"/>
          <w:sz w:val="44"/>
          <w:szCs w:val="44"/>
        </w:rPr>
      </w:pPr>
      <w:r>
        <w:rPr>
          <w:rStyle w:val="8"/>
          <w:rFonts w:hint="eastAsia" w:ascii="方正小标宋_GBK" w:hAnsi="微软雅黑" w:eastAsia="方正小标宋_GBK"/>
          <w:b w:val="0"/>
          <w:sz w:val="44"/>
          <w:szCs w:val="44"/>
        </w:rPr>
        <w:t>关于印发《</w:t>
      </w:r>
      <w:r>
        <w:fldChar w:fldCharType="begin"/>
      </w:r>
      <w:r>
        <w:instrText xml:space="preserve"> HYPERLINK "http://www.waizi.org.cn/law/16354.html" \t "_blank" \o "民发〔2016〕178号民政部关于印发《特困人员认定办法》的通知" </w:instrText>
      </w:r>
      <w:r>
        <w:fldChar w:fldCharType="separate"/>
      </w:r>
      <w:r>
        <w:rPr>
          <w:rStyle w:val="9"/>
          <w:rFonts w:hint="eastAsia" w:ascii="方正小标宋_GBK" w:hAnsi="微软雅黑" w:eastAsia="方正小标宋_GBK"/>
          <w:bCs/>
          <w:color w:val="auto"/>
          <w:sz w:val="44"/>
          <w:szCs w:val="44"/>
          <w:u w:val="none"/>
        </w:rPr>
        <w:t>特困人员认定办法</w:t>
      </w:r>
      <w:r>
        <w:rPr>
          <w:rStyle w:val="9"/>
          <w:rFonts w:hint="eastAsia" w:ascii="方正小标宋_GBK" w:hAnsi="微软雅黑" w:eastAsia="方正小标宋_GBK"/>
          <w:bCs/>
          <w:color w:val="auto"/>
          <w:sz w:val="44"/>
          <w:szCs w:val="44"/>
          <w:u w:val="none"/>
        </w:rPr>
        <w:fldChar w:fldCharType="end"/>
      </w:r>
      <w:r>
        <w:rPr>
          <w:rStyle w:val="8"/>
          <w:rFonts w:hint="eastAsia" w:ascii="方正小标宋_GBK" w:hAnsi="微软雅黑" w:eastAsia="方正小标宋_GBK"/>
          <w:b w:val="0"/>
          <w:sz w:val="44"/>
          <w:szCs w:val="44"/>
        </w:rPr>
        <w:t>》的通知</w:t>
      </w:r>
    </w:p>
    <w:p w14:paraId="3C6CA114">
      <w:pPr>
        <w:pStyle w:val="5"/>
        <w:shd w:val="clear" w:color="auto" w:fill="FFFFFF"/>
        <w:spacing w:before="0" w:beforeAutospacing="0" w:after="0" w:afterAutospacing="0" w:line="560" w:lineRule="exact"/>
        <w:jc w:val="center"/>
        <w:rPr>
          <w:rFonts w:ascii="方正小标宋_GBK" w:hAnsi="微软雅黑" w:eastAsia="方正小标宋_GBK"/>
          <w:b/>
          <w:sz w:val="44"/>
          <w:szCs w:val="44"/>
        </w:rPr>
      </w:pPr>
    </w:p>
    <w:p w14:paraId="6E41AA5C">
      <w:pPr>
        <w:pStyle w:val="5"/>
        <w:shd w:val="clear" w:color="auto" w:fill="FFFFFF"/>
        <w:spacing w:before="0" w:beforeAutospacing="0" w:after="0" w:afterAutospacing="0" w:line="560" w:lineRule="exact"/>
        <w:jc w:val="center"/>
        <w:rPr>
          <w:rFonts w:ascii="方正仿宋_GBK" w:hAnsi="微软雅黑" w:eastAsia="方正仿宋_GBK"/>
          <w:sz w:val="32"/>
          <w:szCs w:val="32"/>
        </w:rPr>
      </w:pPr>
      <w:r>
        <w:fldChar w:fldCharType="begin"/>
      </w:r>
      <w:r>
        <w:instrText xml:space="preserve"> HYPERLINK "http://www.waizi.org.cn/law/16354.html" \t "_blank" \o "民发〔2016〕178号民政部关于印发《特困人员认定办法》的通知" </w:instrText>
      </w:r>
      <w:r>
        <w:fldChar w:fldCharType="separate"/>
      </w:r>
      <w:r>
        <w:rPr>
          <w:rFonts w:hint="eastAsia" w:ascii="方正仿宋_GBK" w:eastAsia="方正仿宋_GBK"/>
          <w:sz w:val="32"/>
          <w:szCs w:val="32"/>
        </w:rPr>
        <w:t>民发〔2016〕178号</w:t>
      </w:r>
      <w:r>
        <w:rPr>
          <w:rFonts w:hint="eastAsia" w:ascii="方正仿宋_GBK" w:eastAsia="方正仿宋_GBK"/>
          <w:sz w:val="32"/>
          <w:szCs w:val="32"/>
        </w:rPr>
        <w:fldChar w:fldCharType="end"/>
      </w:r>
    </w:p>
    <w:p w14:paraId="3CB3E4BD">
      <w:pPr>
        <w:pStyle w:val="5"/>
        <w:shd w:val="clear" w:color="auto" w:fill="FFFFFF"/>
        <w:spacing w:before="0" w:beforeAutospacing="0" w:after="0" w:afterAutospacing="0" w:line="560" w:lineRule="exact"/>
        <w:rPr>
          <w:rFonts w:ascii="方正仿宋_GBK" w:hAnsi="微软雅黑" w:eastAsia="方正仿宋_GBK"/>
          <w:sz w:val="32"/>
          <w:szCs w:val="32"/>
        </w:rPr>
      </w:pPr>
      <w:r>
        <w:rPr>
          <w:rFonts w:hint="eastAsia" w:ascii="微软雅黑" w:hAnsi="微软雅黑" w:eastAsia="方正仿宋_GBK"/>
          <w:sz w:val="32"/>
          <w:szCs w:val="32"/>
        </w:rPr>
        <w:t> </w:t>
      </w:r>
    </w:p>
    <w:p w14:paraId="46F608A0">
      <w:pPr>
        <w:pStyle w:val="5"/>
        <w:shd w:val="clear" w:color="auto" w:fill="FFFFFF"/>
        <w:spacing w:before="0" w:beforeAutospacing="0" w:after="0" w:afterAutospacing="0" w:line="560" w:lineRule="exact"/>
        <w:rPr>
          <w:rFonts w:ascii="方正仿宋_GBK" w:hAnsi="微软雅黑" w:eastAsia="方正仿宋_GBK"/>
          <w:sz w:val="32"/>
          <w:szCs w:val="32"/>
        </w:rPr>
      </w:pPr>
      <w:r>
        <w:rPr>
          <w:rFonts w:hint="eastAsia" w:ascii="方正仿宋_GBK" w:hAnsi="微软雅黑" w:eastAsia="方正仿宋_GBK"/>
          <w:sz w:val="32"/>
          <w:szCs w:val="32"/>
        </w:rPr>
        <w:t xml:space="preserve">各省、自治区、直辖市民政厅（局），各计划单列市民政局，新疆生产建设兵团民政局： </w:t>
      </w:r>
    </w:p>
    <w:p w14:paraId="1911B7C0">
      <w:pPr>
        <w:pStyle w:val="5"/>
        <w:shd w:val="clear" w:color="auto" w:fill="FFFFFF"/>
        <w:spacing w:before="0" w:beforeAutospacing="0" w:after="0" w:afterAutospacing="0" w:line="560" w:lineRule="exact"/>
        <w:ind w:firstLine="640" w:firstLineChars="200"/>
        <w:rPr>
          <w:rFonts w:ascii="方正仿宋_GBK" w:hAnsi="微软雅黑" w:eastAsia="方正仿宋_GBK"/>
          <w:sz w:val="32"/>
          <w:szCs w:val="32"/>
        </w:rPr>
      </w:pPr>
      <w:r>
        <w:rPr>
          <w:rFonts w:hint="eastAsia" w:ascii="方正仿宋_GBK" w:hAnsi="微软雅黑" w:eastAsia="方正仿宋_GBK"/>
          <w:sz w:val="32"/>
          <w:szCs w:val="32"/>
        </w:rPr>
        <w:t>为进一步规范特困人员认定工作，确保特困人员救助供养制度公开、公平、公正实施，根据《</w:t>
      </w:r>
      <w:r>
        <w:fldChar w:fldCharType="begin"/>
      </w:r>
      <w:r>
        <w:instrText xml:space="preserve"> HYPERLINK "http://www.waizi.org.cn/law/8763.html" \t "_blank" \o "国发〔2016〕14号《国务院关于进一步健全特困人员救助供养制度的意见》" </w:instrText>
      </w:r>
      <w:r>
        <w:fldChar w:fldCharType="separate"/>
      </w:r>
      <w:r>
        <w:rPr>
          <w:rStyle w:val="9"/>
          <w:rFonts w:hint="eastAsia" w:ascii="方正仿宋_GBK" w:hAnsi="微软雅黑" w:eastAsia="方正仿宋_GBK"/>
          <w:color w:val="auto"/>
          <w:sz w:val="32"/>
          <w:szCs w:val="32"/>
          <w:u w:val="none"/>
        </w:rPr>
        <w:t>国务院关于进一步健全特困人员救助供养制度的意见</w:t>
      </w:r>
      <w:r>
        <w:rPr>
          <w:rStyle w:val="9"/>
          <w:rFonts w:hint="eastAsia" w:ascii="方正仿宋_GBK" w:hAnsi="微软雅黑" w:eastAsia="方正仿宋_GBK"/>
          <w:color w:val="auto"/>
          <w:sz w:val="32"/>
          <w:szCs w:val="32"/>
          <w:u w:val="none"/>
        </w:rPr>
        <w:fldChar w:fldCharType="end"/>
      </w:r>
      <w:r>
        <w:rPr>
          <w:rFonts w:hint="eastAsia" w:ascii="方正仿宋_GBK" w:hAnsi="微软雅黑" w:eastAsia="方正仿宋_GBK"/>
          <w:sz w:val="32"/>
          <w:szCs w:val="32"/>
        </w:rPr>
        <w:t>》（</w:t>
      </w:r>
      <w:r>
        <w:fldChar w:fldCharType="begin"/>
      </w:r>
      <w:r>
        <w:instrText xml:space="preserve"> HYPERLINK "http://www.waizi.org.cn/law/8763.html" \t "_blank" \o "国发〔2016〕14号《国务院关于进一步健全特困人员救助供养制度的意见》" </w:instrText>
      </w:r>
      <w:r>
        <w:fldChar w:fldCharType="separate"/>
      </w:r>
      <w:r>
        <w:rPr>
          <w:rStyle w:val="9"/>
          <w:rFonts w:hint="eastAsia" w:ascii="方正仿宋_GBK" w:hAnsi="微软雅黑" w:eastAsia="方正仿宋_GBK"/>
          <w:color w:val="auto"/>
          <w:sz w:val="32"/>
          <w:szCs w:val="32"/>
          <w:u w:val="none"/>
        </w:rPr>
        <w:t>国发〔2016〕14号</w:t>
      </w:r>
      <w:r>
        <w:rPr>
          <w:rStyle w:val="9"/>
          <w:rFonts w:hint="eastAsia" w:ascii="方正仿宋_GBK" w:hAnsi="微软雅黑" w:eastAsia="方正仿宋_GBK"/>
          <w:color w:val="auto"/>
          <w:sz w:val="32"/>
          <w:szCs w:val="32"/>
          <w:u w:val="none"/>
        </w:rPr>
        <w:fldChar w:fldCharType="end"/>
      </w:r>
      <w:r>
        <w:rPr>
          <w:rFonts w:hint="eastAsia" w:ascii="方正仿宋_GBK" w:hAnsi="微软雅黑" w:eastAsia="方正仿宋_GBK"/>
          <w:sz w:val="32"/>
          <w:szCs w:val="32"/>
        </w:rPr>
        <w:t>），民政部制定了《</w:t>
      </w:r>
      <w:r>
        <w:fldChar w:fldCharType="begin"/>
      </w:r>
      <w:r>
        <w:instrText xml:space="preserve"> HYPERLINK "http://www.waizi.org.cn/law/16354.html" \t "_blank" \o "民发〔2016〕178号民政部关于印发《特困人员认定办法》的通知" </w:instrText>
      </w:r>
      <w:r>
        <w:fldChar w:fldCharType="separate"/>
      </w:r>
      <w:r>
        <w:rPr>
          <w:rStyle w:val="9"/>
          <w:rFonts w:hint="eastAsia" w:ascii="方正仿宋_GBK" w:hAnsi="微软雅黑" w:eastAsia="方正仿宋_GBK"/>
          <w:color w:val="auto"/>
          <w:sz w:val="32"/>
          <w:szCs w:val="32"/>
          <w:u w:val="none"/>
        </w:rPr>
        <w:t>特困人员认定办法</w:t>
      </w:r>
      <w:r>
        <w:rPr>
          <w:rStyle w:val="9"/>
          <w:rFonts w:hint="eastAsia" w:ascii="方正仿宋_GBK" w:hAnsi="微软雅黑" w:eastAsia="方正仿宋_GBK"/>
          <w:color w:val="auto"/>
          <w:sz w:val="32"/>
          <w:szCs w:val="32"/>
          <w:u w:val="none"/>
        </w:rPr>
        <w:fldChar w:fldCharType="end"/>
      </w:r>
      <w:r>
        <w:rPr>
          <w:rFonts w:hint="eastAsia" w:ascii="方正仿宋_GBK" w:hAnsi="微软雅黑" w:eastAsia="方正仿宋_GBK"/>
          <w:sz w:val="32"/>
          <w:szCs w:val="32"/>
        </w:rPr>
        <w:t>》，现印发给你们，请结合实际遵照执行。</w:t>
      </w:r>
      <w:r>
        <w:rPr>
          <w:rFonts w:hint="eastAsia" w:ascii="微软雅黑" w:hAnsi="微软雅黑" w:eastAsia="方正仿宋_GBK"/>
          <w:sz w:val="32"/>
          <w:szCs w:val="32"/>
        </w:rPr>
        <w:t> </w:t>
      </w:r>
    </w:p>
    <w:p w14:paraId="5697E4F1">
      <w:pPr>
        <w:pStyle w:val="5"/>
        <w:shd w:val="clear" w:color="auto" w:fill="FFFFFF"/>
        <w:spacing w:before="0" w:beforeAutospacing="0" w:after="0" w:afterAutospacing="0" w:line="560" w:lineRule="exact"/>
        <w:rPr>
          <w:rFonts w:ascii="方正仿宋_GBK" w:hAnsi="微软雅黑" w:eastAsia="方正仿宋_GBK"/>
          <w:sz w:val="32"/>
          <w:szCs w:val="32"/>
        </w:rPr>
      </w:pPr>
      <w:r>
        <w:rPr>
          <w:rFonts w:hint="eastAsia" w:ascii="微软雅黑" w:hAnsi="微软雅黑" w:eastAsia="方正仿宋_GBK"/>
          <w:sz w:val="32"/>
          <w:szCs w:val="32"/>
        </w:rPr>
        <w:t> </w:t>
      </w:r>
    </w:p>
    <w:p w14:paraId="29BFB572">
      <w:pPr>
        <w:pStyle w:val="5"/>
        <w:shd w:val="clear" w:color="auto" w:fill="FFFFFF"/>
        <w:spacing w:before="0" w:beforeAutospacing="0" w:after="0" w:afterAutospacing="0" w:line="560" w:lineRule="exact"/>
        <w:rPr>
          <w:rFonts w:ascii="方正仿宋_GBK" w:hAnsi="微软雅黑" w:eastAsia="方正仿宋_GBK"/>
          <w:sz w:val="32"/>
          <w:szCs w:val="32"/>
        </w:rPr>
      </w:pPr>
      <w:r>
        <w:rPr>
          <w:rFonts w:hint="eastAsia" w:ascii="微软雅黑" w:hAnsi="微软雅黑" w:eastAsia="方正仿宋_GBK"/>
          <w:sz w:val="32"/>
          <w:szCs w:val="32"/>
        </w:rPr>
        <w:t> </w:t>
      </w:r>
    </w:p>
    <w:p w14:paraId="2F4258CE">
      <w:pPr>
        <w:pStyle w:val="5"/>
        <w:shd w:val="clear" w:color="auto" w:fill="FFFFFF"/>
        <w:wordWrap w:val="0"/>
        <w:spacing w:before="0" w:beforeAutospacing="0" w:after="0" w:afterAutospacing="0" w:line="560" w:lineRule="exact"/>
        <w:jc w:val="right"/>
        <w:rPr>
          <w:rFonts w:ascii="方正仿宋_GBK" w:hAnsi="微软雅黑" w:eastAsia="方正仿宋_GBK"/>
          <w:sz w:val="32"/>
          <w:szCs w:val="32"/>
        </w:rPr>
      </w:pPr>
      <w:r>
        <w:rPr>
          <w:rFonts w:hint="eastAsia" w:ascii="方正仿宋_GBK" w:hAnsi="微软雅黑" w:eastAsia="方正仿宋_GBK"/>
          <w:sz w:val="32"/>
          <w:szCs w:val="32"/>
        </w:rPr>
        <w:t xml:space="preserve">民政部    </w:t>
      </w:r>
    </w:p>
    <w:p w14:paraId="6E5E2708">
      <w:pPr>
        <w:pStyle w:val="5"/>
        <w:shd w:val="clear" w:color="auto" w:fill="FFFFFF"/>
        <w:spacing w:before="0" w:beforeAutospacing="0" w:after="0" w:afterAutospacing="0" w:line="560" w:lineRule="exact"/>
        <w:jc w:val="right"/>
        <w:rPr>
          <w:rFonts w:ascii="方正仿宋_GBK" w:hAnsi="微软雅黑" w:eastAsia="方正仿宋_GBK"/>
          <w:sz w:val="32"/>
          <w:szCs w:val="32"/>
        </w:rPr>
      </w:pPr>
      <w:r>
        <w:rPr>
          <w:rFonts w:hint="eastAsia" w:ascii="方正仿宋_GBK" w:hAnsi="微软雅黑" w:eastAsia="方正仿宋_GBK"/>
          <w:sz w:val="32"/>
          <w:szCs w:val="32"/>
        </w:rPr>
        <w:t>2016年10月10日</w:t>
      </w:r>
    </w:p>
    <w:p w14:paraId="5689D53C">
      <w:pPr>
        <w:pStyle w:val="5"/>
        <w:shd w:val="clear" w:color="auto" w:fill="FFFFFF"/>
        <w:spacing w:before="0" w:beforeAutospacing="0" w:after="0" w:afterAutospacing="0" w:line="560" w:lineRule="exact"/>
        <w:jc w:val="right"/>
        <w:rPr>
          <w:rFonts w:ascii="方正仿宋_GBK" w:hAnsi="微软雅黑" w:eastAsia="方正仿宋_GBK"/>
          <w:sz w:val="32"/>
          <w:szCs w:val="32"/>
        </w:rPr>
      </w:pPr>
      <w:r>
        <w:rPr>
          <w:rFonts w:hint="eastAsia" w:ascii="微软雅黑" w:hAnsi="微软雅黑" w:eastAsia="方正仿宋_GBK"/>
          <w:sz w:val="32"/>
          <w:szCs w:val="32"/>
        </w:rPr>
        <w:t> </w:t>
      </w:r>
    </w:p>
    <w:p w14:paraId="1B10B96A">
      <w:pPr>
        <w:pStyle w:val="5"/>
        <w:shd w:val="clear" w:color="auto" w:fill="FFFFFF"/>
        <w:spacing w:before="0" w:beforeAutospacing="0" w:after="0" w:afterAutospacing="0" w:line="560" w:lineRule="exact"/>
        <w:rPr>
          <w:rFonts w:ascii="方正仿宋_GBK" w:hAnsi="微软雅黑" w:eastAsia="方正仿宋_GBK"/>
          <w:sz w:val="32"/>
          <w:szCs w:val="32"/>
        </w:rPr>
      </w:pPr>
      <w:r>
        <w:rPr>
          <w:rFonts w:hint="eastAsia" w:ascii="微软雅黑" w:hAnsi="微软雅黑" w:eastAsia="方正仿宋_GBK"/>
          <w:sz w:val="32"/>
          <w:szCs w:val="32"/>
        </w:rPr>
        <w:t> </w:t>
      </w:r>
    </w:p>
    <w:p w14:paraId="719EE673">
      <w:pPr>
        <w:widowControl/>
        <w:jc w:val="left"/>
        <w:rPr>
          <w:rFonts w:ascii="方正仿宋_GBK" w:hAnsi="微软雅黑" w:eastAsia="方正仿宋_GBK" w:cs="宋体"/>
          <w:b/>
          <w:bCs/>
          <w:kern w:val="0"/>
          <w:sz w:val="32"/>
          <w:szCs w:val="32"/>
        </w:rPr>
      </w:pPr>
      <w:r>
        <w:rPr>
          <w:rFonts w:ascii="方正仿宋_GBK" w:hAnsi="微软雅黑" w:eastAsia="方正仿宋_GBK"/>
          <w:b/>
          <w:bCs/>
          <w:sz w:val="32"/>
          <w:szCs w:val="32"/>
        </w:rPr>
        <w:br w:type="page"/>
      </w:r>
    </w:p>
    <w:p w14:paraId="18622822">
      <w:pPr>
        <w:pStyle w:val="5"/>
        <w:shd w:val="clear" w:color="auto" w:fill="FFFFFF"/>
        <w:spacing w:before="0" w:beforeAutospacing="0" w:after="0" w:afterAutospacing="0" w:line="560" w:lineRule="exact"/>
        <w:jc w:val="center"/>
        <w:rPr>
          <w:rFonts w:ascii="方正仿宋_GBK" w:hAnsi="微软雅黑" w:eastAsia="方正仿宋_GBK"/>
          <w:b/>
          <w:bCs/>
          <w:sz w:val="32"/>
          <w:szCs w:val="32"/>
        </w:rPr>
      </w:pPr>
    </w:p>
    <w:p w14:paraId="63EF3BC1">
      <w:pPr>
        <w:pStyle w:val="5"/>
        <w:shd w:val="clear" w:color="auto" w:fill="FFFFFF"/>
        <w:spacing w:before="0" w:beforeAutospacing="0" w:after="0" w:afterAutospacing="0" w:line="560" w:lineRule="exact"/>
        <w:jc w:val="center"/>
        <w:rPr>
          <w:rFonts w:hint="eastAsia" w:ascii="方正仿宋_GBK" w:hAnsi="微软雅黑" w:eastAsia="方正仿宋_GBK"/>
          <w:sz w:val="32"/>
          <w:szCs w:val="32"/>
        </w:rPr>
      </w:pPr>
      <w:r>
        <w:fldChar w:fldCharType="begin"/>
      </w:r>
      <w:r>
        <w:instrText xml:space="preserve"> HYPERLINK "http://www.waizi.org.cn/law/16354.html" \t "_blank" \o "民发〔2016〕178号民政部关于印发《特困人员认定办法》的通知" </w:instrText>
      </w:r>
      <w:r>
        <w:fldChar w:fldCharType="separate"/>
      </w:r>
      <w:r>
        <w:rPr>
          <w:rStyle w:val="9"/>
          <w:rFonts w:hint="eastAsia" w:ascii="方正小标宋_GBK" w:hAnsi="微软雅黑" w:eastAsia="方正小标宋_GBK"/>
          <w:bCs/>
          <w:color w:val="auto"/>
          <w:sz w:val="44"/>
          <w:szCs w:val="44"/>
          <w:u w:val="none"/>
        </w:rPr>
        <w:t>特困人员认定办法</w:t>
      </w:r>
      <w:r>
        <w:rPr>
          <w:rStyle w:val="9"/>
          <w:rFonts w:hint="eastAsia" w:ascii="方正小标宋_GBK" w:hAnsi="微软雅黑" w:eastAsia="方正小标宋_GBK"/>
          <w:bCs/>
          <w:color w:val="auto"/>
          <w:sz w:val="44"/>
          <w:szCs w:val="44"/>
          <w:u w:val="none"/>
        </w:rPr>
        <w:fldChar w:fldCharType="end"/>
      </w:r>
      <w:r>
        <w:rPr>
          <w:rFonts w:hint="eastAsia" w:ascii="方正小标宋_GBK" w:hAnsi="微软雅黑" w:eastAsia="方正小标宋_GBK"/>
          <w:sz w:val="44"/>
          <w:szCs w:val="44"/>
        </w:rPr>
        <w:br w:type="textWrapping"/>
      </w:r>
      <w:r>
        <w:rPr>
          <w:rFonts w:hint="eastAsia" w:ascii="微软雅黑" w:hAnsi="微软雅黑" w:eastAsia="方正小标宋_GBK"/>
          <w:sz w:val="44"/>
          <w:szCs w:val="44"/>
        </w:rPr>
        <w:t> </w:t>
      </w:r>
    </w:p>
    <w:p w14:paraId="25FBF80B">
      <w:pPr>
        <w:pStyle w:val="5"/>
        <w:shd w:val="clear" w:color="auto" w:fill="FFFFFF"/>
        <w:spacing w:before="0" w:beforeAutospacing="0" w:after="0" w:afterAutospacing="0" w:line="560" w:lineRule="exact"/>
        <w:jc w:val="center"/>
        <w:rPr>
          <w:rStyle w:val="8"/>
          <w:rFonts w:hint="eastAsia" w:ascii="方正黑体_GBK" w:hAnsi="微软雅黑" w:eastAsia="方正黑体_GBK"/>
          <w:b w:val="0"/>
          <w:sz w:val="32"/>
          <w:szCs w:val="32"/>
        </w:rPr>
      </w:pPr>
      <w:r>
        <w:rPr>
          <w:rStyle w:val="8"/>
          <w:rFonts w:hint="eastAsia" w:ascii="方正黑体_GBK" w:hAnsi="微软雅黑" w:eastAsia="方正黑体_GBK"/>
          <w:b w:val="0"/>
          <w:sz w:val="32"/>
          <w:szCs w:val="32"/>
        </w:rPr>
        <w:t>第一章</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总</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则</w:t>
      </w:r>
    </w:p>
    <w:p w14:paraId="28A0154D">
      <w:pPr>
        <w:pStyle w:val="5"/>
        <w:shd w:val="clear" w:color="auto" w:fill="FFFFFF"/>
        <w:spacing w:before="0" w:beforeAutospacing="0" w:after="0" w:afterAutospacing="0" w:line="560" w:lineRule="exact"/>
        <w:jc w:val="center"/>
        <w:rPr>
          <w:rFonts w:ascii="方正楷体_GBK" w:hAnsi="微软雅黑" w:eastAsia="方正楷体_GBK"/>
          <w:b/>
          <w:sz w:val="32"/>
          <w:szCs w:val="32"/>
        </w:rPr>
      </w:pPr>
      <w:r>
        <w:rPr>
          <w:rFonts w:hint="eastAsia" w:ascii="微软雅黑" w:hAnsi="微软雅黑" w:eastAsia="方正楷体_GBK"/>
          <w:b/>
          <w:sz w:val="32"/>
          <w:szCs w:val="32"/>
        </w:rPr>
        <w:t> </w:t>
      </w:r>
    </w:p>
    <w:p w14:paraId="478A775F">
      <w:pPr>
        <w:pStyle w:val="5"/>
        <w:shd w:val="clear" w:color="auto" w:fill="FFFFFF"/>
        <w:spacing w:before="0" w:beforeAutospacing="0" w:after="0" w:afterAutospacing="0" w:line="560" w:lineRule="exact"/>
        <w:ind w:firstLine="640" w:firstLineChars="200"/>
        <w:rPr>
          <w:rFonts w:ascii="方正仿宋_GBK" w:hAnsi="微软雅黑" w:eastAsia="方正仿宋_GBK"/>
          <w:sz w:val="32"/>
          <w:szCs w:val="32"/>
        </w:rPr>
      </w:pPr>
      <w:r>
        <w:rPr>
          <w:rStyle w:val="8"/>
          <w:rFonts w:hint="eastAsia" w:ascii="方正黑体_GBK" w:hAnsi="微软雅黑" w:eastAsia="方正黑体_GBK"/>
          <w:b w:val="0"/>
          <w:sz w:val="32"/>
          <w:szCs w:val="32"/>
        </w:rPr>
        <w:t>第一条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根据《</w:t>
      </w:r>
      <w:r>
        <w:fldChar w:fldCharType="begin"/>
      </w:r>
      <w:r>
        <w:instrText xml:space="preserve"> HYPERLINK "http://www.waizi.org.cn/law/3997.html" \t "_blank" \o "《社会救助暂行办法》国务院令第649号" </w:instrText>
      </w:r>
      <w:r>
        <w:fldChar w:fldCharType="separate"/>
      </w:r>
      <w:r>
        <w:rPr>
          <w:rStyle w:val="9"/>
          <w:rFonts w:hint="eastAsia" w:ascii="方正仿宋_GBK" w:hAnsi="微软雅黑" w:eastAsia="方正仿宋_GBK"/>
          <w:color w:val="auto"/>
          <w:sz w:val="32"/>
          <w:szCs w:val="32"/>
          <w:u w:val="none"/>
        </w:rPr>
        <w:t>社会救助暂行办法</w:t>
      </w:r>
      <w:r>
        <w:rPr>
          <w:rStyle w:val="9"/>
          <w:rFonts w:hint="eastAsia" w:ascii="方正仿宋_GBK" w:hAnsi="微软雅黑" w:eastAsia="方正仿宋_GBK"/>
          <w:color w:val="auto"/>
          <w:sz w:val="32"/>
          <w:szCs w:val="32"/>
          <w:u w:val="none"/>
        </w:rPr>
        <w:fldChar w:fldCharType="end"/>
      </w:r>
      <w:r>
        <w:rPr>
          <w:rFonts w:hint="eastAsia" w:ascii="方正仿宋_GBK" w:hAnsi="微软雅黑" w:eastAsia="方正仿宋_GBK"/>
          <w:sz w:val="32"/>
          <w:szCs w:val="32"/>
        </w:rPr>
        <w:t>》（</w:t>
      </w:r>
      <w:r>
        <w:fldChar w:fldCharType="begin"/>
      </w:r>
      <w:r>
        <w:instrText xml:space="preserve"> HYPERLINK "http://www.waizi.org.cn/law/3997.html" \t "_blank" \o "《社会救助暂行办法》国务院令第649号" </w:instrText>
      </w:r>
      <w:r>
        <w:fldChar w:fldCharType="separate"/>
      </w:r>
      <w:r>
        <w:rPr>
          <w:rStyle w:val="9"/>
          <w:rFonts w:hint="eastAsia" w:ascii="方正仿宋_GBK" w:hAnsi="微软雅黑" w:eastAsia="方正仿宋_GBK"/>
          <w:color w:val="auto"/>
          <w:sz w:val="32"/>
          <w:szCs w:val="32"/>
          <w:u w:val="none"/>
        </w:rPr>
        <w:t>国务院令第649号</w:t>
      </w:r>
      <w:r>
        <w:rPr>
          <w:rStyle w:val="9"/>
          <w:rFonts w:hint="eastAsia" w:ascii="方正仿宋_GBK" w:hAnsi="微软雅黑" w:eastAsia="方正仿宋_GBK"/>
          <w:color w:val="auto"/>
          <w:sz w:val="32"/>
          <w:szCs w:val="32"/>
          <w:u w:val="none"/>
        </w:rPr>
        <w:fldChar w:fldCharType="end"/>
      </w:r>
      <w:r>
        <w:rPr>
          <w:rFonts w:hint="eastAsia" w:ascii="方正仿宋_GBK" w:hAnsi="微软雅黑" w:eastAsia="方正仿宋_GBK"/>
          <w:sz w:val="32"/>
          <w:szCs w:val="32"/>
        </w:rPr>
        <w:t>）、《</w:t>
      </w:r>
      <w:r>
        <w:fldChar w:fldCharType="begin"/>
      </w:r>
      <w:r>
        <w:instrText xml:space="preserve"> HYPERLINK "http://www.waizi.org.cn/law/8763.html" \t "_blank" \o "国发〔2016〕14号《国务院关于进一步健全特困人员救助供养制度的意见》" </w:instrText>
      </w:r>
      <w:r>
        <w:fldChar w:fldCharType="separate"/>
      </w:r>
      <w:r>
        <w:rPr>
          <w:rStyle w:val="9"/>
          <w:rFonts w:hint="eastAsia" w:ascii="方正仿宋_GBK" w:hAnsi="微软雅黑" w:eastAsia="方正仿宋_GBK"/>
          <w:color w:val="auto"/>
          <w:sz w:val="32"/>
          <w:szCs w:val="32"/>
          <w:u w:val="none"/>
        </w:rPr>
        <w:t>国务院关于进一步健全特困人员救助供养制度的意见</w:t>
      </w:r>
      <w:r>
        <w:rPr>
          <w:rStyle w:val="9"/>
          <w:rFonts w:hint="eastAsia" w:ascii="方正仿宋_GBK" w:hAnsi="微软雅黑" w:eastAsia="方正仿宋_GBK"/>
          <w:color w:val="auto"/>
          <w:sz w:val="32"/>
          <w:szCs w:val="32"/>
          <w:u w:val="none"/>
        </w:rPr>
        <w:fldChar w:fldCharType="end"/>
      </w:r>
      <w:r>
        <w:rPr>
          <w:rFonts w:hint="eastAsia" w:ascii="方正仿宋_GBK" w:hAnsi="微软雅黑" w:eastAsia="方正仿宋_GBK"/>
          <w:sz w:val="32"/>
          <w:szCs w:val="32"/>
        </w:rPr>
        <w:t>》（</w:t>
      </w:r>
      <w:r>
        <w:fldChar w:fldCharType="begin"/>
      </w:r>
      <w:r>
        <w:instrText xml:space="preserve"> HYPERLINK "http://www.waizi.org.cn/law/8763.html" \t "_blank" \o "国发〔2016〕14号《国务院关于进一步健全特困人员救助供养制度的意见》" </w:instrText>
      </w:r>
      <w:r>
        <w:fldChar w:fldCharType="separate"/>
      </w:r>
      <w:r>
        <w:rPr>
          <w:rStyle w:val="9"/>
          <w:rFonts w:hint="eastAsia" w:ascii="方正仿宋_GBK" w:hAnsi="微软雅黑" w:eastAsia="方正仿宋_GBK"/>
          <w:color w:val="auto"/>
          <w:sz w:val="32"/>
          <w:szCs w:val="32"/>
          <w:u w:val="none"/>
        </w:rPr>
        <w:t>国发〔2016〕14号</w:t>
      </w:r>
      <w:r>
        <w:rPr>
          <w:rStyle w:val="9"/>
          <w:rFonts w:hint="eastAsia" w:ascii="方正仿宋_GBK" w:hAnsi="微软雅黑" w:eastAsia="方正仿宋_GBK"/>
          <w:color w:val="auto"/>
          <w:sz w:val="32"/>
          <w:szCs w:val="32"/>
          <w:u w:val="none"/>
        </w:rPr>
        <w:fldChar w:fldCharType="end"/>
      </w:r>
      <w:r>
        <w:rPr>
          <w:rFonts w:hint="eastAsia" w:ascii="方正仿宋_GBK" w:hAnsi="微软雅黑" w:eastAsia="方正仿宋_GBK"/>
          <w:sz w:val="32"/>
          <w:szCs w:val="32"/>
        </w:rPr>
        <w:t>）及国家相关规定，制定本办法。</w:t>
      </w:r>
    </w:p>
    <w:p w14:paraId="7DD6764E">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特困人员认定工作应当遵循以下原则：</w:t>
      </w:r>
    </w:p>
    <w:p w14:paraId="3209AE83">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（一）应救尽救，应养尽养；</w:t>
      </w:r>
    </w:p>
    <w:p w14:paraId="38CA65A9">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（二）属地管理，分级负责；</w:t>
      </w:r>
    </w:p>
    <w:p w14:paraId="4FF1790A">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（三）严格规范，高效便民；</w:t>
      </w:r>
    </w:p>
    <w:p w14:paraId="66C88BED">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（四）公开、公平、公正。</w:t>
      </w:r>
    </w:p>
    <w:p w14:paraId="53DB6AD9">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第三条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县级以上地方人民政府民政部门统筹做好本行政区域内特困人员认定及救助供养工作。</w:t>
      </w:r>
    </w:p>
    <w:p w14:paraId="20807A5F">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县级人民政府民政部门以及乡镇人民政府（街道办事处）具体负责特困人员认定工作，村（居）民委员会协助做好相关工作。</w:t>
      </w:r>
    </w:p>
    <w:p w14:paraId="3C4E712F">
      <w:pPr>
        <w:pStyle w:val="5"/>
        <w:shd w:val="clear" w:color="auto" w:fill="FFFFFF"/>
        <w:spacing w:before="0" w:beforeAutospacing="0" w:after="0" w:afterAutospacing="0" w:line="560" w:lineRule="exact"/>
        <w:ind w:firstLine="627" w:firstLineChars="196"/>
        <w:rPr>
          <w:rFonts w:hint="eastAsia" w:ascii="微软雅黑" w:hAnsi="微软雅黑" w:eastAsia="方正仿宋_GBK"/>
          <w:sz w:val="32"/>
          <w:szCs w:val="32"/>
        </w:rPr>
      </w:pPr>
    </w:p>
    <w:p w14:paraId="79876C27">
      <w:pPr>
        <w:pStyle w:val="5"/>
        <w:shd w:val="clear" w:color="auto" w:fill="FFFFFF"/>
        <w:spacing w:before="0" w:beforeAutospacing="0" w:after="0" w:afterAutospacing="0" w:line="560" w:lineRule="exact"/>
        <w:jc w:val="center"/>
        <w:rPr>
          <w:rFonts w:hint="eastAsia" w:ascii="方正黑体_GBK" w:hAnsi="微软雅黑" w:eastAsia="方正黑体_GBK"/>
          <w:b/>
          <w:sz w:val="32"/>
          <w:szCs w:val="32"/>
        </w:rPr>
      </w:pPr>
      <w:r>
        <w:rPr>
          <w:rStyle w:val="8"/>
          <w:rFonts w:hint="eastAsia" w:ascii="方正黑体_GBK" w:hAnsi="微软雅黑" w:eastAsia="方正黑体_GBK"/>
          <w:b w:val="0"/>
          <w:sz w:val="32"/>
          <w:szCs w:val="32"/>
        </w:rPr>
        <w:t>第二章</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认定条件</w:t>
      </w:r>
      <w:r>
        <w:rPr>
          <w:rFonts w:hint="eastAsia" w:ascii="方正黑体_GBK" w:hAnsi="微软雅黑" w:eastAsia="方正黑体_GBK"/>
          <w:b/>
          <w:sz w:val="32"/>
          <w:szCs w:val="32"/>
        </w:rPr>
        <w:br w:type="textWrapping"/>
      </w:r>
    </w:p>
    <w:p w14:paraId="0CD516CF">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第四条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城乡老年人、残疾人以及未满16周岁的未成年人，同时具备以下条件的，应当依法纳入特困人员救助供养范围：</w:t>
      </w:r>
    </w:p>
    <w:p w14:paraId="23184AE6">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（一）无劳动能力；</w:t>
      </w:r>
    </w:p>
    <w:p w14:paraId="00CA530D">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（二）无生活来源；</w:t>
      </w:r>
    </w:p>
    <w:p w14:paraId="7D67DD54">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（三）无法定赡养、抚养、扶养义务人或者其法定义务人无履行义务能力。</w:t>
      </w:r>
    </w:p>
    <w:p w14:paraId="21FEA833">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第五条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符合下列情形之一的，应当认定为本办法所称的无劳动能力：</w:t>
      </w:r>
    </w:p>
    <w:p w14:paraId="151F5586">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（一）60周岁以上的老年人；</w:t>
      </w:r>
      <w:bookmarkStart w:id="0" w:name="_GoBack"/>
      <w:bookmarkEnd w:id="0"/>
    </w:p>
    <w:p w14:paraId="7CAE954E">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（二）未满16周岁的未成年人；</w:t>
      </w:r>
    </w:p>
    <w:p w14:paraId="089AEF51">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（三）残疾等级为一、二级的智力、精神残疾人，残疾等级为一级的肢体残疾人；</w:t>
      </w:r>
    </w:p>
    <w:p w14:paraId="387B1B26">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（四）省、自治区、直辖市人民政府规定的其他情形。</w:t>
      </w:r>
    </w:p>
    <w:p w14:paraId="524559A8">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Times New Roman" w:eastAsia="方正黑体_GBK" w:cs="Times New Roman"/>
          <w:b w:val="0"/>
          <w:sz w:val="32"/>
          <w:szCs w:val="32"/>
        </w:rPr>
        <w:t>第六条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收入总和低于当地最低生活保障标准，且财产符合当地特困人员财产状况规定的，应当认定为本办法所称的无生活来源。</w:t>
      </w:r>
    </w:p>
    <w:p w14:paraId="13D13F40">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前款所称收入包括工资性收入、经营净收入、财产净收入、转移净收入等各类收入，不包括城乡居民基本养老保险中的基础养老金、基本医疗保险等社会保险和高龄津贴等社会福利补贴。</w:t>
      </w:r>
    </w:p>
    <w:p w14:paraId="084F7BFA">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第七条</w:t>
      </w:r>
      <w:r>
        <w:rPr>
          <w:rStyle w:val="8"/>
          <w:rFonts w:hint="eastAsia" w:ascii="微软雅黑" w:hAnsi="微软雅黑" w:eastAsia="方正黑体_GBK"/>
          <w:b w:val="0"/>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特困人员财产状况认定标准由设区的市级以上地方人民政府民政部门制定，并报同级地方人民政府同意。</w:t>
      </w:r>
    </w:p>
    <w:p w14:paraId="0FB286A7">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第八条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法定义务人符合下列情形之一的，应当认定为本办法所称的无履行义务能力：</w:t>
      </w:r>
    </w:p>
    <w:p w14:paraId="4BD4304E">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（一）具备特困人员条件的；</w:t>
      </w:r>
    </w:p>
    <w:p w14:paraId="32179C90">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（二）60周岁以上或者重度残疾的最低生活保障对象，且财产符合当地特困人员财产状况规定的；</w:t>
      </w:r>
    </w:p>
    <w:p w14:paraId="4EC34101">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（三）无民事行为能力、被宣告失踪或者在监狱服刑的人员，且财产符合当地特困人员财产状况规定的；</w:t>
      </w:r>
    </w:p>
    <w:p w14:paraId="76914F7B">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（四）省、自治区、直辖市人民政府规定的其他情形。</w:t>
      </w:r>
    </w:p>
    <w:p w14:paraId="4AA3A744">
      <w:pPr>
        <w:pStyle w:val="5"/>
        <w:shd w:val="clear" w:color="auto" w:fill="FFFFFF"/>
        <w:spacing w:before="0" w:beforeAutospacing="0" w:after="0" w:afterAutospacing="0" w:line="560" w:lineRule="exact"/>
        <w:ind w:firstLine="627" w:firstLineChars="196"/>
        <w:rPr>
          <w:rFonts w:ascii="方正仿宋_GBK" w:hAnsi="微软雅黑" w:eastAsia="方正仿宋_GBK"/>
          <w:sz w:val="32"/>
          <w:szCs w:val="32"/>
        </w:rPr>
      </w:pPr>
      <w:r>
        <w:rPr>
          <w:rStyle w:val="8"/>
          <w:rFonts w:hint="eastAsia" w:ascii="方正黑体_GBK" w:hAnsi="微软雅黑" w:eastAsia="方正黑体_GBK"/>
          <w:b w:val="0"/>
          <w:sz w:val="32"/>
          <w:szCs w:val="32"/>
        </w:rPr>
        <w:t>第九条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未满16周岁的未成年人同时符合特困人员救助供养条件和孤儿认定条件的，应当纳入孤儿基本生活保障范围，不再认定为特困人员。</w:t>
      </w:r>
    </w:p>
    <w:p w14:paraId="5B5AC87E">
      <w:pPr>
        <w:pStyle w:val="5"/>
        <w:shd w:val="clear" w:color="auto" w:fill="FFFFFF"/>
        <w:spacing w:before="0" w:beforeAutospacing="0" w:after="0" w:afterAutospacing="0" w:line="560" w:lineRule="exact"/>
        <w:jc w:val="center"/>
        <w:rPr>
          <w:rFonts w:hint="eastAsia" w:ascii="方正仿宋_GBK" w:hAnsi="微软雅黑" w:eastAsia="方正仿宋_GBK"/>
          <w:sz w:val="32"/>
          <w:szCs w:val="32"/>
        </w:rPr>
      </w:pPr>
    </w:p>
    <w:p w14:paraId="6ABC8525">
      <w:pPr>
        <w:pStyle w:val="5"/>
        <w:shd w:val="clear" w:color="auto" w:fill="FFFFFF"/>
        <w:spacing w:before="0" w:beforeAutospacing="0" w:after="0" w:afterAutospacing="0" w:line="560" w:lineRule="exact"/>
        <w:jc w:val="center"/>
        <w:rPr>
          <w:rFonts w:hint="eastAsia" w:ascii="方正黑体_GBK" w:hAnsi="微软雅黑" w:eastAsia="方正黑体_GBK"/>
          <w:b/>
          <w:sz w:val="32"/>
          <w:szCs w:val="32"/>
        </w:rPr>
      </w:pPr>
      <w:r>
        <w:rPr>
          <w:rStyle w:val="8"/>
          <w:rFonts w:hint="eastAsia" w:ascii="方正黑体_GBK" w:hAnsi="微软雅黑" w:eastAsia="方正黑体_GBK"/>
          <w:b w:val="0"/>
          <w:sz w:val="32"/>
          <w:szCs w:val="32"/>
        </w:rPr>
        <w:t>第三章</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申请及受理</w:t>
      </w:r>
    </w:p>
    <w:p w14:paraId="0038D457">
      <w:pPr>
        <w:pStyle w:val="5"/>
        <w:shd w:val="clear" w:color="auto" w:fill="FFFFFF"/>
        <w:spacing w:before="0" w:beforeAutospacing="0" w:after="0" w:afterAutospacing="0" w:line="560" w:lineRule="exact"/>
        <w:jc w:val="center"/>
        <w:rPr>
          <w:rFonts w:hint="eastAsia" w:ascii="方正黑体_GBK" w:hAnsi="微软雅黑" w:eastAsia="方正黑体_GBK"/>
          <w:b/>
          <w:sz w:val="32"/>
          <w:szCs w:val="32"/>
        </w:rPr>
      </w:pPr>
      <w:r>
        <w:rPr>
          <w:rFonts w:hint="eastAsia" w:ascii="微软雅黑" w:hAnsi="微软雅黑" w:eastAsia="方正黑体_GBK"/>
          <w:b/>
          <w:sz w:val="32"/>
          <w:szCs w:val="32"/>
        </w:rPr>
        <w:t> </w:t>
      </w:r>
    </w:p>
    <w:p w14:paraId="78B93388">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申请特困人员救助供养，应当由本人向户籍所在地乡镇人民政府（街道办事处）提出书面申请。本人申请有困难的，可以委托村（居）民委员会或者他人代为提出申请。</w:t>
      </w:r>
    </w:p>
    <w:p w14:paraId="0CDF3737">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申请材料主要包括本人有效身份证明，劳动能力、生活来源、财产状况以及赡养、抚养、扶养情况的书面声明，承诺所提供信息真实、完整的承诺书，残疾人还应当提供第二代《中华人民共和国残疾证》。</w:t>
      </w:r>
    </w:p>
    <w:p w14:paraId="293CC876">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申请人应当履行授权核查家庭经济状况的相关手续。</w:t>
      </w:r>
    </w:p>
    <w:p w14:paraId="1D9FC39B">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第十一条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乡镇人民政府（街道办事处）、村（居）民委员会应当及时了解掌握辖区内居民的生活情况，发现符合特困人员救助供养条件的，应当告知其救助供养政策，对无民事行为能力等无法自主申请的，应当主动帮助其申请。</w:t>
      </w:r>
    </w:p>
    <w:p w14:paraId="34A3680C">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第十二条</w:t>
      </w:r>
      <w:r>
        <w:rPr>
          <w:rStyle w:val="8"/>
          <w:rFonts w:hint="eastAsia" w:ascii="微软雅黑" w:hAnsi="微软雅黑" w:eastAsia="方正黑体_GBK"/>
          <w:b w:val="0"/>
          <w:sz w:val="32"/>
          <w:szCs w:val="32"/>
        </w:rPr>
        <w:t> </w:t>
      </w:r>
      <w:r>
        <w:rPr>
          <w:rStyle w:val="10"/>
          <w:rFonts w:hint="eastAsia" w:ascii="微软雅黑" w:hAnsi="微软雅黑" w:eastAsia="方正黑体_GBK"/>
          <w:b/>
          <w:bCs/>
          <w:sz w:val="32"/>
          <w:szCs w:val="32"/>
        </w:rPr>
        <w:t> </w:t>
      </w:r>
      <w:r>
        <w:rPr>
          <w:rFonts w:hint="eastAsia" w:ascii="方正仿宋_GBK" w:hAnsi="微软雅黑" w:eastAsia="方正仿宋_GBK"/>
          <w:sz w:val="32"/>
          <w:szCs w:val="32"/>
        </w:rPr>
        <w:t>乡镇人民政府（街道办事处）应当对申请人或者其代理人提交的材料进行审查，材料齐备的，予以受理；材料不齐备的，应当一次性告知申请人或者其代理人补齐所有规定材料。</w:t>
      </w:r>
    </w:p>
    <w:p w14:paraId="11AA14F9">
      <w:pPr>
        <w:pStyle w:val="5"/>
        <w:shd w:val="clear" w:color="auto" w:fill="FFFFFF"/>
        <w:spacing w:before="0" w:beforeAutospacing="0" w:after="0" w:afterAutospacing="0" w:line="560" w:lineRule="exact"/>
        <w:jc w:val="center"/>
        <w:rPr>
          <w:rFonts w:hint="eastAsia" w:ascii="方正仿宋_GBK" w:hAnsi="微软雅黑" w:eastAsia="方正仿宋_GBK"/>
          <w:sz w:val="32"/>
          <w:szCs w:val="32"/>
        </w:rPr>
      </w:pPr>
    </w:p>
    <w:p w14:paraId="2D039B02">
      <w:pPr>
        <w:pStyle w:val="5"/>
        <w:shd w:val="clear" w:color="auto" w:fill="FFFFFF"/>
        <w:spacing w:before="0" w:beforeAutospacing="0" w:after="0" w:afterAutospacing="0" w:line="560" w:lineRule="exact"/>
        <w:jc w:val="center"/>
        <w:rPr>
          <w:rFonts w:hint="eastAsia" w:ascii="方正黑体_GBK" w:hAnsi="微软雅黑" w:eastAsia="方正黑体_GBK"/>
          <w:b/>
          <w:sz w:val="32"/>
          <w:szCs w:val="32"/>
        </w:rPr>
      </w:pPr>
      <w:r>
        <w:rPr>
          <w:rStyle w:val="8"/>
          <w:rFonts w:hint="eastAsia" w:ascii="方正黑体_GBK" w:hAnsi="微软雅黑" w:eastAsia="方正黑体_GBK"/>
          <w:b w:val="0"/>
          <w:sz w:val="32"/>
          <w:szCs w:val="32"/>
        </w:rPr>
        <w:t>第四章</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审</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核</w:t>
      </w:r>
      <w:r>
        <w:rPr>
          <w:rFonts w:hint="eastAsia" w:ascii="方正黑体_GBK" w:hAnsi="微软雅黑" w:eastAsia="方正黑体_GBK"/>
          <w:b/>
          <w:sz w:val="32"/>
          <w:szCs w:val="32"/>
        </w:rPr>
        <w:br w:type="textWrapping"/>
      </w:r>
    </w:p>
    <w:p w14:paraId="15729C42">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第十三条</w:t>
      </w:r>
      <w:r>
        <w:rPr>
          <w:rStyle w:val="8"/>
          <w:rFonts w:hint="eastAsia" w:ascii="微软雅黑" w:hAnsi="微软雅黑" w:eastAsia="方正黑体_GBK"/>
          <w:b w:val="0"/>
          <w:sz w:val="32"/>
          <w:szCs w:val="32"/>
        </w:rPr>
        <w:t> </w:t>
      </w:r>
      <w:r>
        <w:rPr>
          <w:rStyle w:val="10"/>
          <w:rFonts w:hint="eastAsia" w:ascii="微软雅黑" w:hAnsi="微软雅黑" w:eastAsia="方正黑体_GBK"/>
          <w:b/>
          <w:bCs/>
          <w:sz w:val="32"/>
          <w:szCs w:val="32"/>
        </w:rPr>
        <w:t> </w:t>
      </w:r>
      <w:r>
        <w:rPr>
          <w:rFonts w:hint="eastAsia" w:ascii="方正仿宋_GBK" w:hAnsi="微软雅黑" w:eastAsia="方正仿宋_GBK"/>
          <w:sz w:val="32"/>
          <w:szCs w:val="32"/>
        </w:rPr>
        <w:t>乡镇人民政府（街道办事处）应当自受理申请之日起20个工作日内，通过入户调查、邻里访问、信函索证、民主评议、信息核对等方式，对申请人的经济状况、实际生活状况以及赡养、抚养、扶养状况等进行调查核实，并提出审核意见。</w:t>
      </w:r>
    </w:p>
    <w:p w14:paraId="0E585A32">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申请人以及有关单位、组织或者个人应当配合调查，如实提供有关情况。村（居）民委员会应当协助乡镇人民政府（街道办事处）开展调查核实。</w:t>
      </w:r>
    </w:p>
    <w:p w14:paraId="3BD5D4B1">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第十四条</w:t>
      </w:r>
      <w:r>
        <w:rPr>
          <w:rStyle w:val="8"/>
          <w:rFonts w:hint="eastAsia" w:ascii="微软雅黑" w:hAnsi="微软雅黑" w:eastAsia="方正黑体_GBK"/>
          <w:b w:val="0"/>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调查核实过程中，乡镇人民政府（街道办事处）可视情组织民主评议，在村（居）民委员会协助下，对申请人书面声明内容的真实性、完整性及调查核实结果的客观性进行评议。</w:t>
      </w:r>
    </w:p>
    <w:p w14:paraId="45B2B4FF">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第十五条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乡镇人民政府（街道办事处）应当将审核意见及时在申请人所在村（社区）公示。公示期为7天。</w:t>
      </w:r>
    </w:p>
    <w:p w14:paraId="79239086">
      <w:pPr>
        <w:pStyle w:val="5"/>
        <w:shd w:val="clear" w:color="auto" w:fill="FFFFFF"/>
        <w:spacing w:before="0" w:beforeAutospacing="0" w:after="0" w:afterAutospacing="0" w:line="560" w:lineRule="exact"/>
        <w:ind w:firstLine="627" w:firstLineChars="196"/>
        <w:rPr>
          <w:rFonts w:ascii="方正仿宋_GBK" w:hAnsi="微软雅黑" w:eastAsia="方正仿宋_GBK"/>
          <w:sz w:val="32"/>
          <w:szCs w:val="32"/>
        </w:rPr>
      </w:pPr>
      <w:r>
        <w:rPr>
          <w:rFonts w:hint="eastAsia" w:ascii="方正仿宋_GBK" w:hAnsi="微软雅黑" w:eastAsia="方正仿宋_GBK"/>
          <w:sz w:val="32"/>
          <w:szCs w:val="32"/>
        </w:rPr>
        <w:t>公示期满无异议的，乡镇人民政府（街道办事处）应当将审核意见连同申请、调查核实、民主评议等相关材料报送县级人民政府民政部门审批。对公示有异议的，乡镇人民政府（街道办事处）应当重新组织调查核实，在20个工作日内提出审核意见，并重新公示。</w:t>
      </w:r>
      <w:r>
        <w:rPr>
          <w:rFonts w:hint="eastAsia" w:ascii="微软雅黑" w:hAnsi="微软雅黑" w:eastAsia="方正仿宋_GBK"/>
          <w:sz w:val="32"/>
          <w:szCs w:val="32"/>
        </w:rPr>
        <w:t> </w:t>
      </w:r>
    </w:p>
    <w:p w14:paraId="692AEDFB">
      <w:pPr>
        <w:pStyle w:val="5"/>
        <w:shd w:val="clear" w:color="auto" w:fill="FFFFFF"/>
        <w:spacing w:before="0" w:beforeAutospacing="0" w:after="0" w:afterAutospacing="0" w:line="560" w:lineRule="exact"/>
        <w:jc w:val="center"/>
        <w:rPr>
          <w:rFonts w:hint="eastAsia" w:ascii="方正仿宋_GBK" w:hAnsi="微软雅黑" w:eastAsia="方正仿宋_GBK"/>
          <w:sz w:val="32"/>
          <w:szCs w:val="32"/>
        </w:rPr>
      </w:pPr>
    </w:p>
    <w:p w14:paraId="62AC457B">
      <w:pPr>
        <w:pStyle w:val="5"/>
        <w:shd w:val="clear" w:color="auto" w:fill="FFFFFF"/>
        <w:spacing w:before="0" w:beforeAutospacing="0" w:after="0" w:afterAutospacing="0" w:line="560" w:lineRule="exact"/>
        <w:jc w:val="center"/>
        <w:rPr>
          <w:rFonts w:hint="eastAsia" w:ascii="方正黑体_GBK" w:hAnsi="微软雅黑" w:eastAsia="方正黑体_GBK"/>
          <w:b/>
          <w:sz w:val="32"/>
          <w:szCs w:val="32"/>
        </w:rPr>
      </w:pPr>
      <w:r>
        <w:rPr>
          <w:rStyle w:val="8"/>
          <w:rFonts w:hint="eastAsia" w:ascii="方正黑体_GBK" w:hAnsi="微软雅黑" w:eastAsia="方正黑体_GBK"/>
          <w:b w:val="0"/>
          <w:sz w:val="32"/>
          <w:szCs w:val="32"/>
        </w:rPr>
        <w:t>第五章</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审</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批</w:t>
      </w:r>
      <w:r>
        <w:rPr>
          <w:rFonts w:hint="eastAsia" w:ascii="方正黑体_GBK" w:hAnsi="微软雅黑" w:eastAsia="方正黑体_GBK"/>
          <w:b/>
          <w:sz w:val="32"/>
          <w:szCs w:val="32"/>
        </w:rPr>
        <w:br w:type="textWrapping"/>
      </w:r>
      <w:r>
        <w:rPr>
          <w:rFonts w:hint="eastAsia" w:ascii="微软雅黑" w:hAnsi="微软雅黑" w:eastAsia="方正黑体_GBK"/>
          <w:b/>
          <w:sz w:val="32"/>
          <w:szCs w:val="32"/>
        </w:rPr>
        <w:t> </w:t>
      </w:r>
    </w:p>
    <w:p w14:paraId="13EE85A5">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第十六条</w:t>
      </w:r>
      <w:r>
        <w:rPr>
          <w:rStyle w:val="8"/>
          <w:rFonts w:hint="eastAsia" w:ascii="微软雅黑" w:hAnsi="微软雅黑" w:eastAsia="方正黑体_GBK"/>
          <w:b w:val="0"/>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县级人民政府民政部门应当全面审查乡镇人民政府（街道办事处）上报的申请材料、调查材料和审核意见，根据审核意见和公示情况，按照不低于30%的比例随机抽查核实，并在20个工作日内作出审批决定。</w:t>
      </w:r>
    </w:p>
    <w:p w14:paraId="33A7D823">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第十七条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对符合救助供养条件的申请，县级人民政府民政部门应当及时予以批准，发给《特困人员救助供养证》，建立救助供养档案，从批准之日下月起给予救助供养待遇，并通过乡镇人民政府（街道办事处）在申请人所在村（社区）公布。</w:t>
      </w:r>
    </w:p>
    <w:p w14:paraId="56D20C8B">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第十八条</w:t>
      </w:r>
      <w:r>
        <w:rPr>
          <w:rStyle w:val="8"/>
          <w:rFonts w:hint="eastAsia" w:ascii="微软雅黑" w:hAnsi="微软雅黑" w:eastAsia="方正黑体_GBK"/>
          <w:b w:val="0"/>
          <w:sz w:val="32"/>
          <w:szCs w:val="32"/>
        </w:rPr>
        <w:t> </w:t>
      </w:r>
      <w:r>
        <w:rPr>
          <w:rStyle w:val="10"/>
          <w:rFonts w:hint="eastAsia" w:ascii="微软雅黑" w:hAnsi="微软雅黑" w:eastAsia="方正黑体_GBK"/>
          <w:b/>
          <w:bCs/>
          <w:sz w:val="32"/>
          <w:szCs w:val="32"/>
        </w:rPr>
        <w:t> </w:t>
      </w:r>
      <w:r>
        <w:rPr>
          <w:rFonts w:hint="eastAsia" w:ascii="方正仿宋_GBK" w:hAnsi="微软雅黑" w:eastAsia="方正仿宋_GBK"/>
          <w:sz w:val="32"/>
          <w:szCs w:val="32"/>
        </w:rPr>
        <w:t>对不符合救助供养条件的申请，县级人民政府民政部门不予批准，并将理由通过乡镇人民政府（街道办事处）书面告知申请人。</w:t>
      </w:r>
    </w:p>
    <w:p w14:paraId="6640F116">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第十九条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城乡特困人员救助供养标准不一致的地区，对于拥有承包土地或者参加农村集体经济收益分配的特困人员，应当给予农村特困人员救助供养待遇。</w:t>
      </w:r>
    </w:p>
    <w:p w14:paraId="4CB669D2">
      <w:pPr>
        <w:pStyle w:val="5"/>
        <w:shd w:val="clear" w:color="auto" w:fill="FFFFFF"/>
        <w:spacing w:before="0" w:beforeAutospacing="0" w:after="0" w:afterAutospacing="0" w:line="560" w:lineRule="exact"/>
        <w:jc w:val="center"/>
        <w:rPr>
          <w:rFonts w:hint="eastAsia" w:ascii="方正仿宋_GBK" w:hAnsi="微软雅黑" w:eastAsia="方正仿宋_GBK"/>
          <w:sz w:val="32"/>
          <w:szCs w:val="32"/>
        </w:rPr>
      </w:pPr>
    </w:p>
    <w:p w14:paraId="10B59D2B">
      <w:pPr>
        <w:pStyle w:val="5"/>
        <w:shd w:val="clear" w:color="auto" w:fill="FFFFFF"/>
        <w:spacing w:before="0" w:beforeAutospacing="0" w:after="0" w:afterAutospacing="0" w:line="560" w:lineRule="exact"/>
        <w:jc w:val="center"/>
        <w:rPr>
          <w:rFonts w:hint="eastAsia" w:ascii="方正黑体_GBK" w:hAnsi="微软雅黑" w:eastAsia="方正黑体_GBK"/>
          <w:sz w:val="32"/>
          <w:szCs w:val="32"/>
        </w:rPr>
      </w:pPr>
      <w:r>
        <w:rPr>
          <w:rStyle w:val="8"/>
          <w:rFonts w:hint="eastAsia" w:ascii="方正黑体_GBK" w:hAnsi="微软雅黑" w:eastAsia="方正黑体_GBK"/>
          <w:b w:val="0"/>
          <w:sz w:val="32"/>
          <w:szCs w:val="32"/>
        </w:rPr>
        <w:t>第六章</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生活自理能力评估</w:t>
      </w:r>
      <w:r>
        <w:rPr>
          <w:rFonts w:hint="eastAsia" w:ascii="方正黑体_GBK" w:hAnsi="微软雅黑" w:eastAsia="方正黑体_GBK"/>
          <w:sz w:val="32"/>
          <w:szCs w:val="32"/>
        </w:rPr>
        <w:br w:type="textWrapping"/>
      </w:r>
    </w:p>
    <w:p w14:paraId="18A61C6F">
      <w:pPr>
        <w:pStyle w:val="5"/>
        <w:shd w:val="clear" w:color="auto" w:fill="FFFFFF"/>
        <w:spacing w:before="0" w:beforeAutospacing="0" w:after="0" w:afterAutospacing="0" w:line="560" w:lineRule="exact"/>
        <w:rPr>
          <w:rFonts w:hint="eastAsia" w:ascii="方正黑体_GBK" w:hAnsi="微软雅黑" w:eastAsia="方正黑体_GBK"/>
          <w:sz w:val="32"/>
          <w:szCs w:val="32"/>
        </w:rPr>
      </w:pPr>
    </w:p>
    <w:p w14:paraId="765F331C">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第二十条</w:t>
      </w:r>
      <w:r>
        <w:rPr>
          <w:rStyle w:val="8"/>
          <w:rFonts w:hint="eastAsia" w:ascii="微软雅黑" w:hAnsi="微软雅黑" w:eastAsia="方正黑体_GBK"/>
          <w:b w:val="0"/>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县级人民政府民政部门应当在乡镇人民政府（街道办事处）、村（居）民委员会协助下，对特困人员生活自理能力进行评估，并根据评估结果，确定特困人员应当享受的照料护理标准档次。</w:t>
      </w:r>
    </w:p>
    <w:p w14:paraId="0BA06D43">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有条件的地方，可以委托第三方机构开展特困人员生活自理能力评估。</w:t>
      </w:r>
    </w:p>
    <w:p w14:paraId="5C118EA3">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第二十一条</w:t>
      </w:r>
      <w:r>
        <w:rPr>
          <w:rStyle w:val="8"/>
          <w:rFonts w:hint="eastAsia" w:ascii="微软雅黑" w:hAnsi="微软雅黑" w:eastAsia="方正黑体_GBK"/>
          <w:b w:val="0"/>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特困人员生活自理能力，一般依据以下6项指标综合评估：</w:t>
      </w:r>
    </w:p>
    <w:p w14:paraId="57CB006D">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（一）自主吃饭；</w:t>
      </w:r>
    </w:p>
    <w:p w14:paraId="626D0C74">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（二）自主穿衣；</w:t>
      </w:r>
    </w:p>
    <w:p w14:paraId="192A6791">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（三）自主上下床；</w:t>
      </w:r>
    </w:p>
    <w:p w14:paraId="3EDD88BC">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（四）自主如厕；</w:t>
      </w:r>
    </w:p>
    <w:p w14:paraId="153625ED">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（五）室内自主行走；</w:t>
      </w:r>
    </w:p>
    <w:p w14:paraId="0B5DE519">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（六）自主洗澡。</w:t>
      </w:r>
    </w:p>
    <w:p w14:paraId="7BA5259B">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第二十二条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根据本办法第二十一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14:paraId="6A3B65D9">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第二十三条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特困人员生活自理能力发生变化的，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14:paraId="49F9C520">
      <w:pPr>
        <w:pStyle w:val="5"/>
        <w:shd w:val="clear" w:color="auto" w:fill="FFFFFF"/>
        <w:spacing w:before="0" w:beforeAutospacing="0" w:after="0" w:afterAutospacing="0" w:line="560" w:lineRule="exact"/>
        <w:jc w:val="center"/>
        <w:rPr>
          <w:rFonts w:hint="eastAsia" w:ascii="方正仿宋_GBK" w:hAnsi="微软雅黑" w:eastAsia="方正仿宋_GBK"/>
          <w:b/>
          <w:bCs/>
          <w:sz w:val="32"/>
          <w:szCs w:val="32"/>
        </w:rPr>
      </w:pPr>
    </w:p>
    <w:p w14:paraId="2F9EF573">
      <w:pPr>
        <w:pStyle w:val="5"/>
        <w:shd w:val="clear" w:color="auto" w:fill="FFFFFF"/>
        <w:spacing w:before="0" w:beforeAutospacing="0" w:after="0" w:afterAutospacing="0" w:line="560" w:lineRule="exact"/>
        <w:jc w:val="center"/>
        <w:rPr>
          <w:rFonts w:hint="eastAsia" w:ascii="方正黑体_GBK" w:hAnsi="微软雅黑" w:eastAsia="方正黑体_GBK"/>
          <w:sz w:val="32"/>
          <w:szCs w:val="32"/>
        </w:rPr>
      </w:pPr>
      <w:r>
        <w:rPr>
          <w:rStyle w:val="8"/>
          <w:rFonts w:hint="eastAsia" w:ascii="方正黑体_GBK" w:hAnsi="微软雅黑" w:eastAsia="方正黑体_GBK"/>
          <w:b w:val="0"/>
          <w:sz w:val="32"/>
          <w:szCs w:val="32"/>
        </w:rPr>
        <w:t>第七章</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终止救助供养</w:t>
      </w:r>
    </w:p>
    <w:p w14:paraId="7AF559DC">
      <w:pPr>
        <w:pStyle w:val="5"/>
        <w:shd w:val="clear" w:color="auto" w:fill="FFFFFF"/>
        <w:spacing w:before="0" w:beforeAutospacing="0" w:after="0" w:afterAutospacing="0" w:line="560" w:lineRule="exact"/>
        <w:rPr>
          <w:rFonts w:hint="eastAsia" w:ascii="方正黑体_GBK" w:hAnsi="微软雅黑" w:eastAsia="方正黑体_GBK"/>
          <w:sz w:val="32"/>
          <w:szCs w:val="32"/>
        </w:rPr>
      </w:pPr>
    </w:p>
    <w:p w14:paraId="085FFC99">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第二十四条</w:t>
      </w:r>
      <w:r>
        <w:rPr>
          <w:rStyle w:val="8"/>
          <w:rFonts w:hint="eastAsia" w:ascii="微软雅黑" w:hAnsi="微软雅黑" w:eastAsia="方正黑体_GBK"/>
          <w:b w:val="0"/>
          <w:sz w:val="32"/>
          <w:szCs w:val="32"/>
        </w:rPr>
        <w:t> </w:t>
      </w:r>
      <w:r>
        <w:rPr>
          <w:rStyle w:val="10"/>
          <w:rFonts w:hint="eastAsia" w:ascii="微软雅黑" w:hAnsi="微软雅黑" w:eastAsia="方正黑体_GBK"/>
          <w:bCs/>
          <w:sz w:val="32"/>
          <w:szCs w:val="32"/>
        </w:rPr>
        <w:t> </w:t>
      </w:r>
      <w:r>
        <w:rPr>
          <w:rFonts w:hint="eastAsia" w:ascii="方正仿宋_GBK" w:hAnsi="微软雅黑" w:eastAsia="方正仿宋_GBK"/>
          <w:sz w:val="32"/>
          <w:szCs w:val="32"/>
        </w:rPr>
        <w:t>特困人员有下列情形之一的，应当及时终止救助供养：</w:t>
      </w:r>
    </w:p>
    <w:p w14:paraId="021A30A3">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（一）死亡、被宣告失踪或者死亡；</w:t>
      </w:r>
    </w:p>
    <w:p w14:paraId="4D12C582">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（二）经过康复治疗恢复劳动能力或者年满16周岁且具有劳动能力；</w:t>
      </w:r>
    </w:p>
    <w:p w14:paraId="36A62D44">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（三）依法被判处刑罚，且在监狱服刑；</w:t>
      </w:r>
    </w:p>
    <w:p w14:paraId="45D99A87">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（四）收入和财产状况不再符合本办法第六条规定；</w:t>
      </w:r>
    </w:p>
    <w:p w14:paraId="3B9E7B30">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（五）法定义务人具有了履行义务能力或者新增具有履行义务能力的法定义务人。</w:t>
      </w:r>
    </w:p>
    <w:p w14:paraId="3C8489BA">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特困人员中的未成年人，满16周岁后仍在接受义务教育或者在普通高中、中等职业学校就读的，可继续享有救助供养待遇。</w:t>
      </w:r>
    </w:p>
    <w:p w14:paraId="6F2F002E">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第二十五条</w:t>
      </w:r>
      <w:r>
        <w:rPr>
          <w:rStyle w:val="8"/>
          <w:rFonts w:hint="eastAsia" w:ascii="微软雅黑" w:hAnsi="微软雅黑" w:eastAsia="方正黑体_GBK"/>
          <w:b w:val="0"/>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特困人员不再符合救助供养条件的，本人、村（居）民委员会或者供养服务机构应当及时告知乡镇人民政府（街道办事处），由乡镇人民政府（街道办事处）审核并报县级人民政府民政部门核准。</w:t>
      </w:r>
    </w:p>
    <w:p w14:paraId="2FFD3674">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县级人民政府民政部门、乡镇人民政府（街道办事处）在工作中发现特困人员不再符合救助供养条件的，应当及时办理终止救助供养手续。</w:t>
      </w:r>
    </w:p>
    <w:p w14:paraId="35688D4A">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第二十六条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对拟终止救助供养的特困人员，县级人民政府民政部门应当通过乡镇人民政府（街道办事处），在其所在村（社区）或者供养服务机构公示。公示期为7天。</w:t>
      </w:r>
    </w:p>
    <w:p w14:paraId="312FE50D">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公示期满无异议的，县级人民政府民政部门应当从下月起终止救助供养，核销《特困人员救助供养证》。对公示有异议的，县级人民政府民政部门应当组织调查核实，在20个工作日内作出是否终止救助供养决定，并重新公示。对决定终止救助供养的，应当通过乡镇人民政府（街道办事处）将终止理由书面告知当事人、村（居）民委员会或者其亲属。</w:t>
      </w:r>
    </w:p>
    <w:p w14:paraId="1D2AAB82">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第二十七条</w:t>
      </w:r>
      <w:r>
        <w:rPr>
          <w:rStyle w:val="8"/>
          <w:rFonts w:hint="eastAsia" w:ascii="微软雅黑" w:hAnsi="微软雅黑" w:eastAsia="方正黑体_GBK"/>
          <w:b w:val="0"/>
          <w:sz w:val="32"/>
          <w:szCs w:val="32"/>
        </w:rPr>
        <w:t> </w:t>
      </w:r>
      <w:r>
        <w:rPr>
          <w:rStyle w:val="10"/>
          <w:rFonts w:hint="eastAsia" w:ascii="微软雅黑" w:hAnsi="微软雅黑" w:eastAsia="方正黑体_GBK"/>
          <w:b/>
          <w:bCs/>
          <w:sz w:val="32"/>
          <w:szCs w:val="32"/>
        </w:rPr>
        <w:t> </w:t>
      </w:r>
      <w:r>
        <w:rPr>
          <w:rFonts w:hint="eastAsia" w:ascii="方正仿宋_GBK" w:hAnsi="微软雅黑" w:eastAsia="方正仿宋_GBK"/>
          <w:sz w:val="32"/>
          <w:szCs w:val="32"/>
        </w:rPr>
        <w:t>对终止救助供养的原特困人员，符合最低生活保障、医疗救助、临时救助等其他社会救助条件的，应当按规定及时纳入相应救助范围。</w:t>
      </w:r>
    </w:p>
    <w:p w14:paraId="2C5B3E77">
      <w:pPr>
        <w:pStyle w:val="5"/>
        <w:shd w:val="clear" w:color="auto" w:fill="FFFFFF"/>
        <w:spacing w:before="0" w:beforeAutospacing="0" w:after="0" w:afterAutospacing="0" w:line="560" w:lineRule="exact"/>
        <w:rPr>
          <w:rFonts w:hint="eastAsia" w:ascii="方正仿宋_GBK" w:hAnsi="微软雅黑" w:eastAsia="方正仿宋_GBK"/>
          <w:sz w:val="32"/>
          <w:szCs w:val="32"/>
        </w:rPr>
      </w:pPr>
    </w:p>
    <w:p w14:paraId="71ED9C74">
      <w:pPr>
        <w:pStyle w:val="5"/>
        <w:shd w:val="clear" w:color="auto" w:fill="FFFFFF"/>
        <w:spacing w:before="0" w:beforeAutospacing="0" w:after="0" w:afterAutospacing="0" w:line="560" w:lineRule="exact"/>
        <w:jc w:val="center"/>
        <w:rPr>
          <w:rStyle w:val="8"/>
          <w:rFonts w:hint="eastAsia" w:ascii="方正黑体_GBK" w:hAnsi="微软雅黑" w:eastAsia="方正黑体_GBK"/>
          <w:b w:val="0"/>
          <w:sz w:val="32"/>
          <w:szCs w:val="32"/>
        </w:rPr>
      </w:pPr>
      <w:r>
        <w:rPr>
          <w:rStyle w:val="8"/>
          <w:rFonts w:hint="eastAsia" w:ascii="方正黑体_GBK" w:hAnsi="微软雅黑" w:eastAsia="方正黑体_GBK"/>
          <w:b w:val="0"/>
          <w:sz w:val="32"/>
          <w:szCs w:val="32"/>
        </w:rPr>
        <w:t>第八章</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附</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则</w:t>
      </w:r>
    </w:p>
    <w:p w14:paraId="6043EF07">
      <w:pPr>
        <w:pStyle w:val="5"/>
        <w:shd w:val="clear" w:color="auto" w:fill="FFFFFF"/>
        <w:spacing w:before="0" w:beforeAutospacing="0" w:after="0" w:afterAutospacing="0" w:line="560" w:lineRule="exact"/>
        <w:jc w:val="center"/>
        <w:rPr>
          <w:rFonts w:hint="eastAsia" w:ascii="方正黑体_GBK" w:hAnsi="微软雅黑" w:eastAsia="方正黑体_GBK"/>
          <w:sz w:val="32"/>
          <w:szCs w:val="32"/>
        </w:rPr>
      </w:pPr>
    </w:p>
    <w:p w14:paraId="3B57576B">
      <w:pPr>
        <w:pStyle w:val="5"/>
        <w:shd w:val="clear" w:color="auto" w:fill="FFFFFF"/>
        <w:spacing w:before="0" w:beforeAutospacing="0" w:after="0" w:afterAutospacing="0" w:line="560" w:lineRule="exact"/>
        <w:ind w:firstLine="63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第二十八条</w:t>
      </w:r>
      <w:r>
        <w:rPr>
          <w:rStyle w:val="8"/>
          <w:rFonts w:hint="eastAsia" w:ascii="微软雅黑" w:hAnsi="微软雅黑" w:eastAsia="方正黑体_GBK"/>
          <w:b w:val="0"/>
          <w:sz w:val="32"/>
          <w:szCs w:val="32"/>
        </w:rPr>
        <w:t> </w:t>
      </w:r>
      <w:r>
        <w:rPr>
          <w:rStyle w:val="10"/>
          <w:rFonts w:hint="eastAsia" w:ascii="微软雅黑" w:hAnsi="微软雅黑" w:eastAsia="方正黑体_GBK"/>
          <w:bCs/>
          <w:sz w:val="32"/>
          <w:szCs w:val="32"/>
        </w:rPr>
        <w:t> </w:t>
      </w:r>
      <w:r>
        <w:rPr>
          <w:rFonts w:hint="eastAsia" w:ascii="方正仿宋_GBK" w:hAnsi="微软雅黑" w:eastAsia="方正仿宋_GBK"/>
          <w:sz w:val="32"/>
          <w:szCs w:val="32"/>
        </w:rPr>
        <w:t>本办法公布前已经确定为农村五保对象的，可以直接确定为特困人员。</w:t>
      </w:r>
    </w:p>
    <w:p w14:paraId="3DF9DC2C">
      <w:pPr>
        <w:pStyle w:val="5"/>
        <w:shd w:val="clear" w:color="auto" w:fill="FFFFFF"/>
        <w:spacing w:before="0" w:beforeAutospacing="0" w:after="0" w:afterAutospacing="0" w:line="560" w:lineRule="exact"/>
        <w:ind w:firstLine="630"/>
        <w:rPr>
          <w:rFonts w:ascii="方正仿宋_GBK" w:hAnsi="微软雅黑" w:eastAsia="方正仿宋_GBK"/>
          <w:sz w:val="32"/>
          <w:szCs w:val="32"/>
        </w:rPr>
      </w:pPr>
      <w:r>
        <w:rPr>
          <w:rStyle w:val="8"/>
          <w:rFonts w:hint="eastAsia" w:ascii="方正黑体_GBK" w:hAnsi="微软雅黑" w:eastAsia="方正黑体_GBK"/>
          <w:b w:val="0"/>
          <w:sz w:val="32"/>
          <w:szCs w:val="32"/>
        </w:rPr>
        <w:t>第二十九条</w:t>
      </w:r>
      <w:r>
        <w:rPr>
          <w:rStyle w:val="8"/>
          <w:rFonts w:hint="eastAsia" w:ascii="微软雅黑" w:hAnsi="微软雅黑" w:eastAsia="方正黑体_GBK"/>
          <w:b w:val="0"/>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《特困人员救助供养证》由民政部规定式样，由县级以上地方人民政府民政部门制作。</w:t>
      </w:r>
    </w:p>
    <w:p w14:paraId="3CF65F99">
      <w:pPr>
        <w:spacing w:line="560" w:lineRule="exac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782C"/>
    <w:rsid w:val="00247700"/>
    <w:rsid w:val="0034476D"/>
    <w:rsid w:val="003E71D6"/>
    <w:rsid w:val="005A782C"/>
    <w:rsid w:val="008E1B8B"/>
    <w:rsid w:val="00A44715"/>
    <w:rsid w:val="00C91B41"/>
    <w:rsid w:val="00CD793A"/>
    <w:rsid w:val="00F61FBD"/>
    <w:rsid w:val="570A1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3"/>
    <w:semiHidden/>
    <w:unhideWhenUsed/>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apple-converted-space"/>
    <w:basedOn w:val="7"/>
    <w:uiPriority w:val="0"/>
  </w:style>
  <w:style w:type="character" w:customStyle="1" w:styleId="11">
    <w:name w:val="日期 Char"/>
    <w:basedOn w:val="7"/>
    <w:link w:val="2"/>
    <w:semiHidden/>
    <w:uiPriority w:val="99"/>
  </w:style>
  <w:style w:type="character" w:customStyle="1" w:styleId="12">
    <w:name w:val="页眉 Char"/>
    <w:basedOn w:val="7"/>
    <w:link w:val="4"/>
    <w:semiHidden/>
    <w:uiPriority w:val="99"/>
    <w:rPr>
      <w:sz w:val="18"/>
      <w:szCs w:val="18"/>
    </w:rPr>
  </w:style>
  <w:style w:type="character" w:customStyle="1" w:styleId="13">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3412</Words>
  <Characters>3446</Characters>
  <Lines>33</Lines>
  <Paragraphs>9</Paragraphs>
  <TotalTime>15</TotalTime>
  <ScaleCrop>false</ScaleCrop>
  <LinksUpToDate>false</LinksUpToDate>
  <CharactersWithSpaces>3544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2017-08-17T06:41:00Z</dcterms:created>
  <dc:creator>石佳</dc:creator>
  <cp:lastModifiedBy>陈  亮</cp:lastModifiedBy>
  <dcterms:modified xsi:type="dcterms:W3CDTF">2025-03-25T01:22:28Z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eyJoZGlkIjoiNmUxNDNhNDgxYjgzMTNkODcxZDY1ZDZlNzRhZWY0M2YifQ==</vt:lpwstr>
  </property>
  <property fmtid="{D5CDD505-2E9C-101B-9397-08002B2CF9AE}" pid="3" name="KSOProductBuildVer">
    <vt:lpwstr>2052-12.1.0.20305</vt:lpwstr>
  </property>
  <property fmtid="{D5CDD505-2E9C-101B-9397-08002B2CF9AE}" pid="4" name="ICV">
    <vt:lpwstr>C49AEB8D0BFB4CF7BFACAC9263E33907_12</vt:lpwstr>
  </property>
</Properties>
</file>