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360" w:lineRule="auto"/>
        <w:jc w:val="center"/>
        <w:rPr>
          <w:rFonts w:hint="eastAsia" w:asciiTheme="majorEastAsia" w:hAnsiTheme="majorEastAsia" w:eastAsiaTheme="majorEastAsia"/>
          <w:b/>
          <w:sz w:val="52"/>
          <w:szCs w:val="52"/>
        </w:rPr>
      </w:pPr>
      <w:bookmarkStart w:id="46" w:name="_GoBack"/>
      <w:bookmarkEnd w:id="46"/>
    </w:p>
    <w:p>
      <w:pPr>
        <w:tabs>
          <w:tab w:val="left" w:pos="360"/>
        </w:tabs>
        <w:spacing w:line="360" w:lineRule="auto"/>
        <w:jc w:val="center"/>
        <w:rPr>
          <w:rFonts w:asciiTheme="majorEastAsia" w:hAnsiTheme="majorEastAsia" w:eastAsiaTheme="majorEastAsia"/>
          <w:b/>
          <w:sz w:val="52"/>
          <w:szCs w:val="52"/>
        </w:rPr>
      </w:pPr>
    </w:p>
    <w:p>
      <w:pPr>
        <w:tabs>
          <w:tab w:val="left" w:pos="360"/>
        </w:tabs>
        <w:spacing w:line="360" w:lineRule="auto"/>
        <w:jc w:val="center"/>
        <w:rPr>
          <w:rFonts w:asciiTheme="majorEastAsia" w:hAnsiTheme="majorEastAsia" w:eastAsiaTheme="majorEastAsia"/>
          <w:b/>
          <w:sz w:val="52"/>
          <w:szCs w:val="52"/>
        </w:rPr>
      </w:pPr>
    </w:p>
    <w:p>
      <w:pPr>
        <w:tabs>
          <w:tab w:val="left" w:pos="360"/>
        </w:tabs>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重庆市渝北区兴隆镇总体规划</w:t>
      </w:r>
    </w:p>
    <w:p>
      <w:pPr>
        <w:tabs>
          <w:tab w:val="left" w:pos="360"/>
        </w:tabs>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（2018年编制）</w:t>
      </w:r>
    </w:p>
    <w:p>
      <w:pPr>
        <w:tabs>
          <w:tab w:val="left" w:pos="19278"/>
        </w:tabs>
        <w:spacing w:line="360" w:lineRule="auto"/>
        <w:ind w:right="567" w:rightChars="270"/>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 xml:space="preserve"> </w:t>
      </w:r>
      <w:r>
        <w:rPr>
          <w:rFonts w:asciiTheme="majorEastAsia" w:hAnsiTheme="majorEastAsia" w:eastAsiaTheme="majorEastAsia"/>
          <w:b/>
          <w:sz w:val="72"/>
          <w:szCs w:val="72"/>
        </w:rPr>
        <w:t xml:space="preserve"> </w:t>
      </w:r>
      <w:r>
        <w:rPr>
          <w:rFonts w:hint="eastAsia" w:asciiTheme="majorEastAsia" w:hAnsiTheme="majorEastAsia" w:eastAsiaTheme="majorEastAsia"/>
          <w:b/>
          <w:sz w:val="72"/>
          <w:szCs w:val="72"/>
        </w:rPr>
        <w:t>条文及附表</w:t>
      </w:r>
    </w:p>
    <w:p>
      <w:pPr>
        <w:tabs>
          <w:tab w:val="left" w:pos="19278"/>
        </w:tabs>
        <w:spacing w:line="360" w:lineRule="auto"/>
        <w:ind w:right="567" w:rightChars="270"/>
        <w:jc w:val="center"/>
        <w:rPr>
          <w:rFonts w:asciiTheme="majorEastAsia" w:hAnsiTheme="majorEastAsia" w:eastAsiaTheme="majorEastAsia"/>
          <w:b/>
          <w:sz w:val="72"/>
          <w:szCs w:val="72"/>
        </w:rPr>
      </w:pPr>
    </w:p>
    <w:p>
      <w:pPr>
        <w:tabs>
          <w:tab w:val="left" w:pos="19278"/>
        </w:tabs>
        <w:spacing w:line="360" w:lineRule="auto"/>
        <w:ind w:right="567" w:rightChars="270"/>
        <w:jc w:val="center"/>
        <w:rPr>
          <w:rFonts w:asciiTheme="majorEastAsia" w:hAnsiTheme="majorEastAsia" w:eastAsiaTheme="majorEastAsia"/>
          <w:b/>
          <w:sz w:val="72"/>
          <w:szCs w:val="72"/>
        </w:rPr>
      </w:pPr>
    </w:p>
    <w:p>
      <w:pPr>
        <w:jc w:val="center"/>
        <w:rPr>
          <w:rFonts w:ascii="黑体" w:hAnsi="黑体" w:eastAsia="黑体"/>
          <w:sz w:val="28"/>
          <w:szCs w:val="28"/>
        </w:rPr>
      </w:pPr>
      <w:r>
        <w:rPr>
          <w:rFonts w:hint="eastAsia" w:ascii="黑体" w:hAnsi="黑体" w:eastAsia="黑体"/>
          <w:sz w:val="28"/>
          <w:szCs w:val="28"/>
        </w:rPr>
        <w:t>重庆都市空间城市规划设计有限公司</w:t>
      </w:r>
    </w:p>
    <w:p>
      <w:pPr>
        <w:tabs>
          <w:tab w:val="left" w:pos="19278"/>
        </w:tabs>
        <w:spacing w:line="360" w:lineRule="auto"/>
        <w:ind w:right="567" w:rightChars="270"/>
        <w:jc w:val="center"/>
        <w:rPr>
          <w:rFonts w:asciiTheme="majorEastAsia" w:hAnsiTheme="majorEastAsia" w:eastAsiaTheme="majorEastAsia"/>
          <w:b/>
          <w:sz w:val="72"/>
          <w:szCs w:val="72"/>
        </w:rPr>
      </w:pPr>
      <w:r>
        <w:rPr>
          <w:rFonts w:hint="eastAsia" w:ascii="黑体" w:hAnsi="黑体" w:eastAsia="黑体"/>
          <w:sz w:val="28"/>
          <w:szCs w:val="28"/>
        </w:rPr>
        <w:t>2018年</w:t>
      </w:r>
      <w:r>
        <w:rPr>
          <w:rFonts w:ascii="黑体" w:hAnsi="黑体" w:eastAsia="黑体"/>
          <w:sz w:val="28"/>
          <w:szCs w:val="28"/>
        </w:rPr>
        <w:t>7</w:t>
      </w:r>
      <w:r>
        <w:rPr>
          <w:rFonts w:hint="eastAsia" w:ascii="黑体" w:hAnsi="黑体" w:eastAsia="黑体"/>
          <w:sz w:val="28"/>
          <w:szCs w:val="28"/>
        </w:rPr>
        <w:t>月</w:t>
      </w:r>
    </w:p>
    <w:p>
      <w:pPr>
        <w:widowControl/>
        <w:jc w:val="left"/>
        <w:rPr>
          <w:rFonts w:asciiTheme="majorEastAsia" w:hAnsiTheme="majorEastAsia" w:eastAsiaTheme="majorEastAsia"/>
          <w:b/>
          <w:sz w:val="52"/>
          <w:szCs w:val="52"/>
        </w:rPr>
        <w:sectPr>
          <w:footerReference r:id="rId5" w:type="first"/>
          <w:footerReference r:id="rId3" w:type="default"/>
          <w:footerReference r:id="rId4" w:type="even"/>
          <w:pgSz w:w="23814" w:h="16839" w:orient="landscape"/>
          <w:pgMar w:top="1418" w:right="1134" w:bottom="1418" w:left="1701" w:header="0" w:footer="0" w:gutter="1134"/>
          <w:pgNumType w:start="1" w:chapStyle="1"/>
          <w:cols w:space="1134" w:num="1"/>
          <w:docGrid w:linePitch="312" w:charSpace="0"/>
        </w:sectPr>
      </w:pPr>
      <w:r>
        <w:rPr>
          <w:rFonts w:hint="eastAsia" w:asciiTheme="majorEastAsia" w:hAnsiTheme="majorEastAsia" w:eastAsiaTheme="majorEastAsia"/>
          <w:b/>
          <w:sz w:val="52"/>
          <w:szCs w:val="52"/>
        </w:rPr>
        <w:tab/>
      </w:r>
    </w:p>
    <w:p>
      <w:pPr>
        <w:widowControl/>
        <w:jc w:val="left"/>
        <w:rPr>
          <w:rFonts w:asciiTheme="majorEastAsia" w:hAnsiTheme="majorEastAsia" w:eastAsiaTheme="majorEastAsia"/>
          <w:b/>
          <w:sz w:val="52"/>
          <w:szCs w:val="52"/>
        </w:rPr>
      </w:pPr>
      <w:r>
        <w:rPr>
          <w:rFonts w:asciiTheme="majorEastAsia" w:hAnsiTheme="majorEastAsia" w:eastAsiaTheme="majorEastAsia"/>
          <w:b/>
          <w:sz w:val="52"/>
          <w:szCs w:val="52"/>
        </w:rPr>
        <w:br w:type="page"/>
      </w:r>
    </w:p>
    <w:p>
      <w:pPr>
        <w:pStyle w:val="26"/>
      </w:pPr>
    </w:p>
    <w:p>
      <w:pPr>
        <w:jc w:val="center"/>
        <w:rPr>
          <w:rFonts w:ascii="黑体" w:eastAsia="黑体"/>
          <w:sz w:val="36"/>
          <w:szCs w:val="36"/>
        </w:rPr>
      </w:pPr>
      <w:r>
        <w:rPr>
          <w:rFonts w:hint="eastAsia" w:ascii="黑体" w:eastAsia="黑体"/>
          <w:sz w:val="36"/>
          <w:szCs w:val="36"/>
        </w:rPr>
        <w:t>目     录</w:t>
      </w:r>
    </w:p>
    <w:p>
      <w:pPr>
        <w:pStyle w:val="26"/>
        <w:tabs>
          <w:tab w:val="left" w:pos="1260"/>
          <w:tab w:val="right" w:leader="dot" w:pos="9345"/>
        </w:tabs>
        <w:rPr>
          <w:rFonts w:asciiTheme="minorHAnsi" w:hAnsiTheme="minorHAnsi" w:eastAsiaTheme="minorEastAsia" w:cstheme="minorBidi"/>
          <w:bCs w:val="0"/>
          <w:caps w:val="0"/>
          <w:sz w:val="21"/>
          <w:szCs w:val="22"/>
        </w:rPr>
      </w:pPr>
      <w:r>
        <w:rPr>
          <w:b/>
          <w:sz w:val="24"/>
        </w:rPr>
        <w:fldChar w:fldCharType="begin"/>
      </w:r>
      <w:r>
        <w:rPr>
          <w:b/>
          <w:sz w:val="24"/>
        </w:rPr>
        <w:instrText xml:space="preserve"> TOC \o "1-3" \h \z \u </w:instrText>
      </w:r>
      <w:r>
        <w:rPr>
          <w:b/>
          <w:sz w:val="24"/>
        </w:rPr>
        <w:fldChar w:fldCharType="separate"/>
      </w:r>
      <w:r>
        <w:fldChar w:fldCharType="begin"/>
      </w:r>
      <w:r>
        <w:instrText xml:space="preserve"> HYPERLINK \l "_Toc515956471" </w:instrText>
      </w:r>
      <w:r>
        <w:fldChar w:fldCharType="separate"/>
      </w:r>
      <w:r>
        <w:rPr>
          <w:rStyle w:val="45"/>
          <w:rFonts w:hint="eastAsia" w:ascii="黑体"/>
        </w:rPr>
        <w:t>第一章</w:t>
      </w:r>
      <w:r>
        <w:rPr>
          <w:rFonts w:asciiTheme="minorHAnsi" w:hAnsiTheme="minorHAnsi" w:eastAsiaTheme="minorEastAsia" w:cstheme="minorBidi"/>
          <w:bCs w:val="0"/>
          <w:caps w:val="0"/>
          <w:sz w:val="21"/>
          <w:szCs w:val="22"/>
        </w:rPr>
        <w:tab/>
      </w:r>
      <w:r>
        <w:rPr>
          <w:rStyle w:val="45"/>
          <w:rFonts w:hint="eastAsia" w:ascii="黑体"/>
        </w:rPr>
        <w:t>总则</w:t>
      </w:r>
      <w:r>
        <w:tab/>
      </w:r>
      <w:r>
        <w:fldChar w:fldCharType="begin"/>
      </w:r>
      <w:r>
        <w:instrText xml:space="preserve"> PAGEREF _Toc515956471 \h </w:instrText>
      </w:r>
      <w:r>
        <w:fldChar w:fldCharType="separate"/>
      </w:r>
      <w:r>
        <w:t>1</w:t>
      </w:r>
      <w:r>
        <w:fldChar w:fldCharType="end"/>
      </w:r>
      <w:r>
        <w:fldChar w:fldCharType="end"/>
      </w:r>
    </w:p>
    <w:p>
      <w:pPr>
        <w:pStyle w:val="26"/>
        <w:tabs>
          <w:tab w:val="left" w:pos="1260"/>
          <w:tab w:val="right" w:leader="dot" w:pos="9345"/>
        </w:tabs>
        <w:rPr>
          <w:rFonts w:asciiTheme="minorHAnsi" w:hAnsiTheme="minorHAnsi" w:eastAsiaTheme="minorEastAsia" w:cstheme="minorBidi"/>
          <w:bCs w:val="0"/>
          <w:caps w:val="0"/>
          <w:sz w:val="21"/>
          <w:szCs w:val="22"/>
        </w:rPr>
      </w:pPr>
      <w:r>
        <w:fldChar w:fldCharType="begin"/>
      </w:r>
      <w:r>
        <w:instrText xml:space="preserve"> HYPERLINK \l "_Toc515956472" </w:instrText>
      </w:r>
      <w:r>
        <w:fldChar w:fldCharType="separate"/>
      </w:r>
      <w:r>
        <w:rPr>
          <w:rStyle w:val="45"/>
          <w:rFonts w:hint="eastAsia" w:ascii="黑体"/>
        </w:rPr>
        <w:t>第二章</w:t>
      </w:r>
      <w:r>
        <w:rPr>
          <w:rFonts w:asciiTheme="minorHAnsi" w:hAnsiTheme="minorHAnsi" w:eastAsiaTheme="minorEastAsia" w:cstheme="minorBidi"/>
          <w:bCs w:val="0"/>
          <w:caps w:val="0"/>
          <w:sz w:val="21"/>
          <w:szCs w:val="22"/>
        </w:rPr>
        <w:tab/>
      </w:r>
      <w:r>
        <w:rPr>
          <w:rStyle w:val="45"/>
          <w:rFonts w:hint="eastAsia" w:ascii="黑体"/>
        </w:rPr>
        <w:t>镇域总体规划</w:t>
      </w:r>
      <w:r>
        <w:tab/>
      </w:r>
      <w:r>
        <w:fldChar w:fldCharType="begin"/>
      </w:r>
      <w:r>
        <w:instrText xml:space="preserve"> PAGEREF _Toc515956472 \h </w:instrText>
      </w:r>
      <w:r>
        <w:fldChar w:fldCharType="separate"/>
      </w:r>
      <w:r>
        <w:t>1</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"_Toc515956473" </w:instrText>
      </w:r>
      <w:r>
        <w:fldChar w:fldCharType="separate"/>
      </w:r>
      <w:r>
        <w:rPr>
          <w:rStyle w:val="45"/>
          <w:rFonts w:hint="eastAsia"/>
        </w:rPr>
        <w:t>第一节</w:t>
      </w:r>
      <w:r>
        <w:rPr>
          <w:rFonts w:asciiTheme="minorHAnsi" w:hAnsiTheme="minorHAnsi" w:eastAsiaTheme="minorEastAsia" w:cstheme="minorBidi"/>
          <w:bCs w:val="0"/>
          <w:sz w:val="21"/>
          <w:szCs w:val="22"/>
        </w:rPr>
        <w:tab/>
      </w:r>
      <w:r>
        <w:rPr>
          <w:rStyle w:val="45"/>
          <w:rFonts w:hint="eastAsia"/>
        </w:rPr>
        <w:t>发展定位与规模预测</w:t>
      </w:r>
      <w:r>
        <w:tab/>
      </w:r>
      <w:r>
        <w:fldChar w:fldCharType="begin"/>
      </w:r>
      <w:r>
        <w:instrText xml:space="preserve"> PAGEREF _Toc515956473 \h </w:instrText>
      </w:r>
      <w:r>
        <w:fldChar w:fldCharType="separate"/>
      </w:r>
      <w:r>
        <w:t>1</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"_Toc515956474" </w:instrText>
      </w:r>
      <w:r>
        <w:fldChar w:fldCharType="separate"/>
      </w:r>
      <w:r>
        <w:rPr>
          <w:rStyle w:val="45"/>
          <w:rFonts w:hint="eastAsia"/>
        </w:rPr>
        <w:t>第二节</w:t>
      </w:r>
      <w:r>
        <w:rPr>
          <w:rFonts w:asciiTheme="minorHAnsi" w:hAnsiTheme="minorHAnsi" w:eastAsiaTheme="minorEastAsia" w:cstheme="minorBidi"/>
          <w:bCs w:val="0"/>
          <w:sz w:val="21"/>
          <w:szCs w:val="22"/>
        </w:rPr>
        <w:tab/>
      </w:r>
      <w:r>
        <w:rPr>
          <w:rStyle w:val="45"/>
          <w:rFonts w:hint="eastAsia"/>
        </w:rPr>
        <w:t>镇村体系规划</w:t>
      </w:r>
      <w:r>
        <w:tab/>
      </w:r>
      <w:r>
        <w:fldChar w:fldCharType="begin"/>
      </w:r>
      <w:r>
        <w:instrText xml:space="preserve"> PAGEREF _Toc515956474 \h </w:instrText>
      </w:r>
      <w:r>
        <w:fldChar w:fldCharType="separate"/>
      </w:r>
      <w:r>
        <w:t>2</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"_Toc515956475" </w:instrText>
      </w:r>
      <w:r>
        <w:fldChar w:fldCharType="separate"/>
      </w:r>
      <w:r>
        <w:rPr>
          <w:rStyle w:val="45"/>
          <w:rFonts w:hint="eastAsia"/>
        </w:rPr>
        <w:t>第三节</w:t>
      </w:r>
      <w:r>
        <w:rPr>
          <w:rFonts w:asciiTheme="minorHAnsi" w:hAnsiTheme="minorHAnsi" w:eastAsiaTheme="minorEastAsia" w:cstheme="minorBidi"/>
          <w:bCs w:val="0"/>
          <w:sz w:val="21"/>
          <w:szCs w:val="22"/>
        </w:rPr>
        <w:tab/>
      </w:r>
      <w:r>
        <w:rPr>
          <w:rStyle w:val="45"/>
          <w:rFonts w:hint="eastAsia"/>
        </w:rPr>
        <w:t>镇域产业发展规划</w:t>
      </w:r>
      <w:r>
        <w:tab/>
      </w:r>
      <w:r>
        <w:fldChar w:fldCharType="begin"/>
      </w:r>
      <w:r>
        <w:instrText xml:space="preserve"> PAGEREF _Toc515956475 \h </w:instrText>
      </w:r>
      <w:r>
        <w:fldChar w:fldCharType="separate"/>
      </w:r>
      <w:r>
        <w:t>2</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"_Toc515956476" </w:instrText>
      </w:r>
      <w:r>
        <w:fldChar w:fldCharType="separate"/>
      </w:r>
      <w:r>
        <w:rPr>
          <w:rStyle w:val="45"/>
          <w:rFonts w:hint="eastAsia"/>
        </w:rPr>
        <w:t>第四节</w:t>
      </w:r>
      <w:r>
        <w:rPr>
          <w:rFonts w:asciiTheme="minorHAnsi" w:hAnsiTheme="minorHAnsi" w:eastAsiaTheme="minorEastAsia" w:cstheme="minorBidi"/>
          <w:bCs w:val="0"/>
          <w:sz w:val="21"/>
          <w:szCs w:val="22"/>
        </w:rPr>
        <w:tab/>
      </w:r>
      <w:r>
        <w:rPr>
          <w:rStyle w:val="45"/>
          <w:rFonts w:hint="eastAsia"/>
        </w:rPr>
        <w:t>镇域综合交通规划</w:t>
      </w:r>
      <w:r>
        <w:tab/>
      </w:r>
      <w:r>
        <w:fldChar w:fldCharType="begin"/>
      </w:r>
      <w:r>
        <w:instrText xml:space="preserve"> PAGEREF _Toc515956476 \h </w:instrText>
      </w:r>
      <w:r>
        <w:fldChar w:fldCharType="separate"/>
      </w:r>
      <w:r>
        <w:t>3</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"_Toc515956477" </w:instrText>
      </w:r>
      <w:r>
        <w:fldChar w:fldCharType="separate"/>
      </w:r>
      <w:r>
        <w:rPr>
          <w:rStyle w:val="45"/>
          <w:rFonts w:hint="eastAsia"/>
        </w:rPr>
        <w:t>第五节</w:t>
      </w:r>
      <w:r>
        <w:rPr>
          <w:rFonts w:asciiTheme="minorHAnsi" w:hAnsiTheme="minorHAnsi" w:eastAsiaTheme="minorEastAsia" w:cstheme="minorBidi"/>
          <w:bCs w:val="0"/>
          <w:sz w:val="21"/>
          <w:szCs w:val="22"/>
        </w:rPr>
        <w:tab/>
      </w:r>
      <w:r>
        <w:rPr>
          <w:rStyle w:val="45"/>
          <w:rFonts w:hint="eastAsia"/>
        </w:rPr>
        <w:t>镇域重大市政基础设施规划</w:t>
      </w:r>
      <w:r>
        <w:tab/>
      </w:r>
      <w:r>
        <w:fldChar w:fldCharType="begin"/>
      </w:r>
      <w:r>
        <w:instrText xml:space="preserve"> PAGEREF _Toc515956477 \h </w:instrText>
      </w:r>
      <w:r>
        <w:fldChar w:fldCharType="separate"/>
      </w:r>
      <w:r>
        <w:t>3</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"_Toc515956478" </w:instrText>
      </w:r>
      <w:r>
        <w:fldChar w:fldCharType="separate"/>
      </w:r>
      <w:r>
        <w:rPr>
          <w:rStyle w:val="45"/>
          <w:rFonts w:hint="eastAsia"/>
        </w:rPr>
        <w:t>第六节</w:t>
      </w:r>
      <w:r>
        <w:rPr>
          <w:rFonts w:asciiTheme="minorHAnsi" w:hAnsiTheme="minorHAnsi" w:eastAsiaTheme="minorEastAsia" w:cstheme="minorBidi"/>
          <w:bCs w:val="0"/>
          <w:sz w:val="21"/>
          <w:szCs w:val="22"/>
        </w:rPr>
        <w:tab/>
      </w:r>
      <w:r>
        <w:rPr>
          <w:rStyle w:val="45"/>
          <w:rFonts w:hint="eastAsia"/>
        </w:rPr>
        <w:t>镇域公共服务设施规划</w:t>
      </w:r>
      <w:r>
        <w:tab/>
      </w:r>
      <w:r>
        <w:fldChar w:fldCharType="begin"/>
      </w:r>
      <w:r>
        <w:instrText xml:space="preserve"> PAGEREF _Toc515956478 \h </w:instrText>
      </w:r>
      <w:r>
        <w:fldChar w:fldCharType="separate"/>
      </w:r>
      <w:r>
        <w:t>4</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"_Toc515956479" </w:instrText>
      </w:r>
      <w:r>
        <w:fldChar w:fldCharType="separate"/>
      </w:r>
      <w:r>
        <w:rPr>
          <w:rStyle w:val="45"/>
          <w:rFonts w:hint="eastAsia"/>
        </w:rPr>
        <w:t>第七节</w:t>
      </w:r>
      <w:r>
        <w:rPr>
          <w:rFonts w:asciiTheme="minorHAnsi" w:hAnsiTheme="minorHAnsi" w:eastAsiaTheme="minorEastAsia" w:cstheme="minorBidi"/>
          <w:bCs w:val="0"/>
          <w:sz w:val="21"/>
          <w:szCs w:val="22"/>
        </w:rPr>
        <w:tab/>
      </w:r>
      <w:r>
        <w:rPr>
          <w:rStyle w:val="45"/>
          <w:rFonts w:hint="eastAsia"/>
        </w:rPr>
        <w:t>镇域空间布局及管制规划</w:t>
      </w:r>
      <w:r>
        <w:tab/>
      </w:r>
      <w:r>
        <w:fldChar w:fldCharType="begin"/>
      </w:r>
      <w:r>
        <w:instrText xml:space="preserve"> PAGEREF _Toc515956479 \h </w:instrText>
      </w:r>
      <w:r>
        <w:fldChar w:fldCharType="separate"/>
      </w:r>
      <w:r>
        <w:t>5</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"_Toc515956480" </w:instrText>
      </w:r>
      <w:r>
        <w:fldChar w:fldCharType="separate"/>
      </w:r>
      <w:r>
        <w:rPr>
          <w:rStyle w:val="45"/>
          <w:rFonts w:hint="eastAsia"/>
        </w:rPr>
        <w:t>第八节</w:t>
      </w:r>
      <w:r>
        <w:rPr>
          <w:rFonts w:asciiTheme="minorHAnsi" w:hAnsiTheme="minorHAnsi" w:eastAsiaTheme="minorEastAsia" w:cstheme="minorBidi"/>
          <w:bCs w:val="0"/>
          <w:sz w:val="21"/>
          <w:szCs w:val="22"/>
        </w:rPr>
        <w:tab/>
      </w:r>
      <w:r>
        <w:rPr>
          <w:rStyle w:val="45"/>
          <w:rFonts w:hint="eastAsia"/>
        </w:rPr>
        <w:t>镇域生态环境保护规划</w:t>
      </w:r>
      <w:r>
        <w:tab/>
      </w:r>
      <w:r>
        <w:fldChar w:fldCharType="begin"/>
      </w:r>
      <w:r>
        <w:instrText xml:space="preserve"> PAGEREF _Toc515956480 \h </w:instrText>
      </w:r>
      <w:r>
        <w:fldChar w:fldCharType="separate"/>
      </w:r>
      <w:r>
        <w:t>7</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"_Toc515956481" </w:instrText>
      </w:r>
      <w:r>
        <w:fldChar w:fldCharType="separate"/>
      </w:r>
      <w:r>
        <w:rPr>
          <w:rStyle w:val="45"/>
          <w:rFonts w:hint="eastAsia"/>
        </w:rPr>
        <w:t>第九节</w:t>
      </w:r>
      <w:r>
        <w:rPr>
          <w:rFonts w:asciiTheme="minorHAnsi" w:hAnsiTheme="minorHAnsi" w:eastAsiaTheme="minorEastAsia" w:cstheme="minorBidi"/>
          <w:bCs w:val="0"/>
          <w:sz w:val="21"/>
          <w:szCs w:val="22"/>
        </w:rPr>
        <w:tab/>
      </w:r>
      <w:r>
        <w:rPr>
          <w:rStyle w:val="45"/>
          <w:rFonts w:hint="eastAsia"/>
        </w:rPr>
        <w:t>镇域综合防灾减灾规划</w:t>
      </w:r>
      <w:r>
        <w:tab/>
      </w:r>
      <w:r>
        <w:fldChar w:fldCharType="begin"/>
      </w:r>
      <w:r>
        <w:instrText xml:space="preserve"> PAGEREF _Toc515956481 \h </w:instrText>
      </w:r>
      <w:r>
        <w:fldChar w:fldCharType="separate"/>
      </w:r>
      <w:r>
        <w:t>9</w:t>
      </w:r>
      <w:r>
        <w:fldChar w:fldCharType="end"/>
      </w:r>
      <w:r>
        <w:fldChar w:fldCharType="end"/>
      </w:r>
    </w:p>
    <w:p>
      <w:pPr>
        <w:pStyle w:val="26"/>
        <w:tabs>
          <w:tab w:val="left" w:pos="1260"/>
          <w:tab w:val="right" w:leader="dot" w:pos="9345"/>
        </w:tabs>
        <w:rPr>
          <w:rFonts w:asciiTheme="minorHAnsi" w:hAnsiTheme="minorHAnsi" w:eastAsiaTheme="minorEastAsia" w:cstheme="minorBidi"/>
          <w:bCs w:val="0"/>
          <w:caps w:val="0"/>
          <w:sz w:val="21"/>
          <w:szCs w:val="22"/>
        </w:rPr>
      </w:pPr>
      <w:r>
        <w:fldChar w:fldCharType="begin"/>
      </w:r>
      <w:r>
        <w:instrText xml:space="preserve"> HYPERLINK \l "_Toc515956482" </w:instrText>
      </w:r>
      <w:r>
        <w:fldChar w:fldCharType="separate"/>
      </w:r>
      <w:r>
        <w:rPr>
          <w:rStyle w:val="45"/>
          <w:rFonts w:hint="eastAsia" w:ascii="黑体"/>
        </w:rPr>
        <w:t>第三章</w:t>
      </w:r>
      <w:r>
        <w:rPr>
          <w:rFonts w:asciiTheme="minorHAnsi" w:hAnsiTheme="minorHAnsi" w:eastAsiaTheme="minorEastAsia" w:cstheme="minorBidi"/>
          <w:bCs w:val="0"/>
          <w:caps w:val="0"/>
          <w:sz w:val="21"/>
          <w:szCs w:val="22"/>
        </w:rPr>
        <w:tab/>
      </w:r>
      <w:r>
        <w:rPr>
          <w:rStyle w:val="45"/>
          <w:rFonts w:hint="eastAsia" w:ascii="黑体"/>
        </w:rPr>
        <w:t>镇区规划</w:t>
      </w:r>
      <w:r>
        <w:tab/>
      </w:r>
      <w:r>
        <w:fldChar w:fldCharType="begin"/>
      </w:r>
      <w:r>
        <w:instrText xml:space="preserve"> PAGEREF _Toc515956482 \h </w:instrText>
      </w:r>
      <w:r>
        <w:fldChar w:fldCharType="separate"/>
      </w:r>
      <w:r>
        <w:t>10</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"_Toc515956483" </w:instrText>
      </w:r>
      <w:r>
        <w:fldChar w:fldCharType="separate"/>
      </w:r>
      <w:r>
        <w:rPr>
          <w:rStyle w:val="45"/>
          <w:rFonts w:hint="eastAsia"/>
        </w:rPr>
        <w:t>第一节</w:t>
      </w:r>
      <w:r>
        <w:rPr>
          <w:rFonts w:asciiTheme="minorHAnsi" w:hAnsiTheme="minorHAnsi" w:eastAsiaTheme="minorEastAsia" w:cstheme="minorBidi"/>
          <w:bCs w:val="0"/>
          <w:sz w:val="21"/>
          <w:szCs w:val="22"/>
        </w:rPr>
        <w:tab/>
      </w:r>
      <w:r>
        <w:rPr>
          <w:rStyle w:val="45"/>
          <w:rFonts w:hint="eastAsia"/>
        </w:rPr>
        <w:t>镇区职能、规模与用地布局</w:t>
      </w:r>
      <w:r>
        <w:tab/>
      </w:r>
      <w:r>
        <w:fldChar w:fldCharType="begin"/>
      </w:r>
      <w:r>
        <w:instrText xml:space="preserve"> PAGEREF _Toc515956483 \h </w:instrText>
      </w:r>
      <w:r>
        <w:fldChar w:fldCharType="separate"/>
      </w:r>
      <w:r>
        <w:t>10</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"_Toc515956484" </w:instrText>
      </w:r>
      <w:r>
        <w:fldChar w:fldCharType="separate"/>
      </w:r>
      <w:r>
        <w:rPr>
          <w:rStyle w:val="45"/>
          <w:rFonts w:hint="eastAsia"/>
        </w:rPr>
        <w:t>第二节</w:t>
      </w:r>
      <w:r>
        <w:rPr>
          <w:rFonts w:asciiTheme="minorHAnsi" w:hAnsiTheme="minorHAnsi" w:eastAsiaTheme="minorEastAsia" w:cstheme="minorBidi"/>
          <w:bCs w:val="0"/>
          <w:sz w:val="21"/>
          <w:szCs w:val="22"/>
        </w:rPr>
        <w:tab/>
      </w:r>
      <w:r>
        <w:rPr>
          <w:rStyle w:val="45"/>
          <w:rFonts w:hint="eastAsia"/>
        </w:rPr>
        <w:t>土地利用控制</w:t>
      </w:r>
      <w:r>
        <w:tab/>
      </w:r>
      <w:r>
        <w:fldChar w:fldCharType="begin"/>
      </w:r>
      <w:r>
        <w:instrText xml:space="preserve"> PAGEREF _Toc515956484 \h </w:instrText>
      </w:r>
      <w:r>
        <w:fldChar w:fldCharType="separate"/>
      </w:r>
      <w:r>
        <w:t>11</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"_Toc515956485" </w:instrText>
      </w:r>
      <w:r>
        <w:fldChar w:fldCharType="separate"/>
      </w:r>
      <w:r>
        <w:rPr>
          <w:rStyle w:val="45"/>
          <w:rFonts w:hint="eastAsia"/>
        </w:rPr>
        <w:t>第三节</w:t>
      </w:r>
      <w:r>
        <w:rPr>
          <w:rFonts w:asciiTheme="minorHAnsi" w:hAnsiTheme="minorHAnsi" w:eastAsiaTheme="minorEastAsia" w:cstheme="minorBidi"/>
          <w:bCs w:val="0"/>
          <w:sz w:val="21"/>
          <w:szCs w:val="22"/>
        </w:rPr>
        <w:tab/>
      </w:r>
      <w:r>
        <w:rPr>
          <w:rStyle w:val="45"/>
          <w:rFonts w:hint="eastAsia"/>
        </w:rPr>
        <w:t>镇区道路交通规划</w:t>
      </w:r>
      <w:r>
        <w:tab/>
      </w:r>
      <w:r>
        <w:fldChar w:fldCharType="begin"/>
      </w:r>
      <w:r>
        <w:instrText xml:space="preserve"> PAGEREF _Toc515956485 \h </w:instrText>
      </w:r>
      <w:r>
        <w:fldChar w:fldCharType="separate"/>
      </w:r>
      <w:r>
        <w:t>12</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"_Toc515956486" </w:instrText>
      </w:r>
      <w:r>
        <w:fldChar w:fldCharType="separate"/>
      </w:r>
      <w:r>
        <w:rPr>
          <w:rStyle w:val="45"/>
          <w:rFonts w:hint="eastAsia"/>
        </w:rPr>
        <w:t>第四节</w:t>
      </w:r>
      <w:r>
        <w:rPr>
          <w:rFonts w:asciiTheme="minorHAnsi" w:hAnsiTheme="minorHAnsi" w:eastAsiaTheme="minorEastAsia" w:cstheme="minorBidi"/>
          <w:bCs w:val="0"/>
          <w:sz w:val="21"/>
          <w:szCs w:val="22"/>
        </w:rPr>
        <w:tab/>
      </w:r>
      <w:r>
        <w:rPr>
          <w:rStyle w:val="45"/>
          <w:rFonts w:hint="eastAsia"/>
        </w:rPr>
        <w:t>镇区公共服务设施规划</w:t>
      </w:r>
      <w:r>
        <w:tab/>
      </w:r>
      <w:r>
        <w:fldChar w:fldCharType="begin"/>
      </w:r>
      <w:r>
        <w:instrText xml:space="preserve"> PAGEREF _Toc515956486 \h </w:instrText>
      </w:r>
      <w:r>
        <w:fldChar w:fldCharType="separate"/>
      </w:r>
      <w:r>
        <w:t>12</w:t>
      </w:r>
      <w:r>
        <w:fldChar w:fldCharType="end"/>
      </w:r>
      <w:r>
        <w:fldChar w:fldCharType="end"/>
      </w:r>
    </w:p>
    <w:p>
      <w:pPr>
        <w:pStyle w:val="32"/>
        <w:tabs>
          <w:tab w:val="left" w:pos="1470"/>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"_Toc515956487" </w:instrText>
      </w:r>
      <w:r>
        <w:fldChar w:fldCharType="separate"/>
      </w:r>
      <w:r>
        <w:rPr>
          <w:rStyle w:val="45"/>
          <w:rFonts w:hint="eastAsia"/>
        </w:rPr>
        <w:t>第五节</w:t>
      </w:r>
      <w:r>
        <w:rPr>
          <w:rFonts w:asciiTheme="minorHAnsi" w:hAnsiTheme="minorHAnsi" w:eastAsiaTheme="minorEastAsia" w:cstheme="minorBidi"/>
          <w:bCs w:val="0"/>
          <w:sz w:val="21"/>
          <w:szCs w:val="22"/>
        </w:rPr>
        <w:tab/>
      </w:r>
      <w:r>
        <w:rPr>
          <w:rStyle w:val="45"/>
          <w:rFonts w:hint="eastAsia"/>
        </w:rPr>
        <w:t>镇区市政工程设施规划</w:t>
      </w:r>
      <w:r>
        <w:tab/>
      </w:r>
      <w:r>
        <w:fldChar w:fldCharType="begin"/>
      </w:r>
      <w:r>
        <w:instrText xml:space="preserve"> PAGEREF _Toc515956487 \h </w:instrText>
      </w:r>
      <w:r>
        <w:fldChar w:fldCharType="separate"/>
      </w:r>
      <w:r>
        <w:t>12</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"_Toc515956488" </w:instrText>
      </w:r>
      <w:r>
        <w:fldChar w:fldCharType="separate"/>
      </w:r>
      <w:r>
        <w:rPr>
          <w:rStyle w:val="45"/>
          <w:rFonts w:hint="eastAsia"/>
        </w:rPr>
        <w:t>第五节</w:t>
      </w:r>
      <w:r>
        <w:rPr>
          <w:rStyle w:val="45"/>
        </w:rPr>
        <w:t xml:space="preserve"> </w:t>
      </w:r>
      <w:r>
        <w:rPr>
          <w:rStyle w:val="45"/>
          <w:rFonts w:hint="eastAsia"/>
        </w:rPr>
        <w:t>镇区绿地系统与景观风貌规划</w:t>
      </w:r>
      <w:r>
        <w:tab/>
      </w:r>
      <w:r>
        <w:fldChar w:fldCharType="begin"/>
      </w:r>
      <w:r>
        <w:instrText xml:space="preserve"> PAGEREF _Toc515956488 \h </w:instrText>
      </w:r>
      <w:r>
        <w:fldChar w:fldCharType="separate"/>
      </w:r>
      <w:r>
        <w:t>13</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"_Toc515956489" </w:instrText>
      </w:r>
      <w:r>
        <w:fldChar w:fldCharType="separate"/>
      </w:r>
      <w:r>
        <w:rPr>
          <w:rStyle w:val="45"/>
          <w:rFonts w:hint="eastAsia"/>
        </w:rPr>
        <w:t>第六节</w:t>
      </w:r>
      <w:r>
        <w:rPr>
          <w:rStyle w:val="45"/>
        </w:rPr>
        <w:t xml:space="preserve"> </w:t>
      </w:r>
      <w:r>
        <w:rPr>
          <w:rStyle w:val="45"/>
          <w:rFonts w:hint="eastAsia"/>
        </w:rPr>
        <w:t>镇区环境保护规划</w:t>
      </w:r>
      <w:r>
        <w:tab/>
      </w:r>
      <w:r>
        <w:fldChar w:fldCharType="begin"/>
      </w:r>
      <w:r>
        <w:instrText xml:space="preserve"> PAGEREF _Toc515956489 \h </w:instrText>
      </w:r>
      <w:r>
        <w:fldChar w:fldCharType="separate"/>
      </w:r>
      <w:r>
        <w:t>14</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"_Toc515956490" </w:instrText>
      </w:r>
      <w:r>
        <w:fldChar w:fldCharType="separate"/>
      </w:r>
      <w:r>
        <w:rPr>
          <w:rStyle w:val="45"/>
          <w:rFonts w:hint="eastAsia"/>
        </w:rPr>
        <w:t>第七节</w:t>
      </w:r>
      <w:r>
        <w:rPr>
          <w:rStyle w:val="45"/>
        </w:rPr>
        <w:t xml:space="preserve"> </w:t>
      </w:r>
      <w:r>
        <w:rPr>
          <w:rStyle w:val="45"/>
          <w:rFonts w:hint="eastAsia"/>
        </w:rPr>
        <w:t>镇区综合防灾减灾规划</w:t>
      </w:r>
      <w:r>
        <w:tab/>
      </w:r>
      <w:r>
        <w:fldChar w:fldCharType="begin"/>
      </w:r>
      <w:r>
        <w:instrText xml:space="preserve"> PAGEREF _Toc515956490 \h </w:instrText>
      </w:r>
      <w:r>
        <w:fldChar w:fldCharType="separate"/>
      </w:r>
      <w:r>
        <w:t>15</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"_Toc515956491" </w:instrText>
      </w:r>
      <w:r>
        <w:fldChar w:fldCharType="separate"/>
      </w:r>
      <w:r>
        <w:rPr>
          <w:rStyle w:val="45"/>
          <w:rFonts w:hint="eastAsia"/>
        </w:rPr>
        <w:t>第八节</w:t>
      </w:r>
      <w:r>
        <w:rPr>
          <w:rStyle w:val="45"/>
        </w:rPr>
        <w:t xml:space="preserve"> </w:t>
      </w:r>
      <w:r>
        <w:rPr>
          <w:rStyle w:val="45"/>
          <w:rFonts w:hint="eastAsia"/>
        </w:rPr>
        <w:t>镇区近期建设规划</w:t>
      </w:r>
      <w:r>
        <w:tab/>
      </w:r>
      <w:r>
        <w:fldChar w:fldCharType="begin"/>
      </w:r>
      <w:r>
        <w:instrText xml:space="preserve"> PAGEREF _Toc515956491 \h </w:instrText>
      </w:r>
      <w:r>
        <w:fldChar w:fldCharType="separate"/>
      </w:r>
      <w:r>
        <w:t>16</w:t>
      </w:r>
      <w:r>
        <w:fldChar w:fldCharType="end"/>
      </w:r>
      <w:r>
        <w:fldChar w:fldCharType="end"/>
      </w:r>
    </w:p>
    <w:p>
      <w:pPr>
        <w:pStyle w:val="26"/>
        <w:tabs>
          <w:tab w:val="left" w:pos="1260"/>
          <w:tab w:val="right" w:leader="dot" w:pos="9345"/>
        </w:tabs>
        <w:rPr>
          <w:rFonts w:asciiTheme="minorHAnsi" w:hAnsiTheme="minorHAnsi" w:eastAsiaTheme="minorEastAsia" w:cstheme="minorBidi"/>
          <w:bCs w:val="0"/>
          <w:caps w:val="0"/>
          <w:sz w:val="21"/>
          <w:szCs w:val="22"/>
        </w:rPr>
      </w:pPr>
      <w:r>
        <w:fldChar w:fldCharType="begin"/>
      </w:r>
      <w:r>
        <w:instrText xml:space="preserve"> HYPERLINK \l "_Toc515956492" </w:instrText>
      </w:r>
      <w:r>
        <w:fldChar w:fldCharType="separate"/>
      </w:r>
      <w:r>
        <w:rPr>
          <w:rStyle w:val="45"/>
          <w:rFonts w:hint="eastAsia" w:ascii="黑体"/>
        </w:rPr>
        <w:t>第四章</w:t>
      </w:r>
      <w:r>
        <w:rPr>
          <w:rFonts w:asciiTheme="minorHAnsi" w:hAnsiTheme="minorHAnsi" w:eastAsiaTheme="minorEastAsia" w:cstheme="minorBidi"/>
          <w:bCs w:val="0"/>
          <w:caps w:val="0"/>
          <w:sz w:val="21"/>
          <w:szCs w:val="22"/>
        </w:rPr>
        <w:tab/>
      </w:r>
      <w:r>
        <w:rPr>
          <w:rStyle w:val="45"/>
          <w:rFonts w:hint="eastAsia" w:ascii="黑体"/>
        </w:rPr>
        <w:t>规划实施</w:t>
      </w:r>
      <w:r>
        <w:tab/>
      </w:r>
      <w:r>
        <w:fldChar w:fldCharType="begin"/>
      </w:r>
      <w:r>
        <w:instrText xml:space="preserve"> PAGEREF _Toc515956492 \h </w:instrText>
      </w:r>
      <w:r>
        <w:fldChar w:fldCharType="separate"/>
      </w:r>
      <w:r>
        <w:t>16</w:t>
      </w:r>
      <w:r>
        <w:fldChar w:fldCharType="end"/>
      </w:r>
      <w:r>
        <w:fldChar w:fldCharType="end"/>
      </w:r>
    </w:p>
    <w:p>
      <w:pPr>
        <w:pStyle w:val="26"/>
        <w:tabs>
          <w:tab w:val="left" w:pos="1260"/>
          <w:tab w:val="right" w:leader="dot" w:pos="9345"/>
        </w:tabs>
        <w:rPr>
          <w:rFonts w:asciiTheme="minorHAnsi" w:hAnsiTheme="minorHAnsi" w:eastAsiaTheme="minorEastAsia" w:cstheme="minorBidi"/>
          <w:bCs w:val="0"/>
          <w:caps w:val="0"/>
          <w:sz w:val="21"/>
          <w:szCs w:val="22"/>
        </w:rPr>
      </w:pPr>
      <w:r>
        <w:fldChar w:fldCharType="begin"/>
      </w:r>
      <w:r>
        <w:instrText xml:space="preserve"> HYPERLINK \l "_Toc515956493" </w:instrText>
      </w:r>
      <w:r>
        <w:fldChar w:fldCharType="separate"/>
      </w:r>
      <w:r>
        <w:rPr>
          <w:rStyle w:val="45"/>
          <w:rFonts w:hint="eastAsia" w:ascii="黑体"/>
        </w:rPr>
        <w:t>第五章</w:t>
      </w:r>
      <w:r>
        <w:rPr>
          <w:rFonts w:asciiTheme="minorHAnsi" w:hAnsiTheme="minorHAnsi" w:eastAsiaTheme="minorEastAsia" w:cstheme="minorBidi"/>
          <w:bCs w:val="0"/>
          <w:caps w:val="0"/>
          <w:sz w:val="21"/>
          <w:szCs w:val="22"/>
        </w:rPr>
        <w:tab/>
      </w:r>
      <w:r>
        <w:rPr>
          <w:rStyle w:val="45"/>
          <w:rFonts w:hint="eastAsia" w:ascii="黑体"/>
        </w:rPr>
        <w:t>附则</w:t>
      </w:r>
      <w:r>
        <w:tab/>
      </w:r>
      <w:r>
        <w:fldChar w:fldCharType="begin"/>
      </w:r>
      <w:r>
        <w:instrText xml:space="preserve"> PAGEREF _Toc515956493 \h </w:instrText>
      </w:r>
      <w:r>
        <w:fldChar w:fldCharType="separate"/>
      </w:r>
      <w:r>
        <w:t>16</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"_Toc515956494" </w:instrText>
      </w:r>
      <w:r>
        <w:fldChar w:fldCharType="separate"/>
      </w:r>
      <w:r>
        <w:rPr>
          <w:rStyle w:val="45"/>
          <w:rFonts w:hint="eastAsia" w:ascii="黑体" w:hAnsi="黑体"/>
        </w:rPr>
        <w:t>附表一</w:t>
      </w:r>
      <w:r>
        <w:rPr>
          <w:rStyle w:val="45"/>
          <w:rFonts w:ascii="黑体" w:hAnsi="黑体"/>
        </w:rPr>
        <w:t xml:space="preserve">  </w:t>
      </w:r>
      <w:r>
        <w:rPr>
          <w:rStyle w:val="45"/>
          <w:rFonts w:hint="eastAsia" w:ascii="黑体" w:hAnsi="黑体"/>
        </w:rPr>
        <w:t>镇域土地利用汇总表</w:t>
      </w:r>
      <w:r>
        <w:tab/>
      </w:r>
      <w:r>
        <w:fldChar w:fldCharType="begin"/>
      </w:r>
      <w:r>
        <w:instrText xml:space="preserve"> PAGEREF _Toc515956494 \h </w:instrText>
      </w:r>
      <w:r>
        <w:fldChar w:fldCharType="separate"/>
      </w:r>
      <w:r>
        <w:t>18</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"_Toc515956495" </w:instrText>
      </w:r>
      <w:r>
        <w:fldChar w:fldCharType="separate"/>
      </w:r>
      <w:r>
        <w:rPr>
          <w:rStyle w:val="45"/>
          <w:rFonts w:hint="eastAsia" w:ascii="黑体" w:hAnsi="黑体"/>
        </w:rPr>
        <w:t>附表二</w:t>
      </w:r>
      <w:r>
        <w:rPr>
          <w:rStyle w:val="45"/>
          <w:rFonts w:ascii="黑体" w:hAnsi="黑体"/>
        </w:rPr>
        <w:t xml:space="preserve">  </w:t>
      </w:r>
      <w:r>
        <w:rPr>
          <w:rStyle w:val="45"/>
          <w:rFonts w:hint="eastAsia" w:ascii="黑体" w:hAnsi="黑体"/>
        </w:rPr>
        <w:t>兴隆镇镇村体系规划表</w:t>
      </w:r>
      <w:r>
        <w:tab/>
      </w:r>
      <w:r>
        <w:fldChar w:fldCharType="begin"/>
      </w:r>
      <w:r>
        <w:instrText xml:space="preserve"> PAGEREF _Toc515956495 \h </w:instrText>
      </w:r>
      <w:r>
        <w:fldChar w:fldCharType="separate"/>
      </w:r>
      <w:r>
        <w:t>18</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"_Toc515956496" </w:instrText>
      </w:r>
      <w:r>
        <w:fldChar w:fldCharType="separate"/>
      </w:r>
      <w:r>
        <w:rPr>
          <w:rStyle w:val="45"/>
          <w:rFonts w:hint="eastAsia" w:ascii="黑体" w:hAnsi="黑体"/>
        </w:rPr>
        <w:t>附表三</w:t>
      </w:r>
      <w:r>
        <w:rPr>
          <w:rStyle w:val="45"/>
          <w:rFonts w:ascii="黑体" w:hAnsi="黑体"/>
        </w:rPr>
        <w:t xml:space="preserve">  </w:t>
      </w:r>
      <w:r>
        <w:rPr>
          <w:rStyle w:val="45"/>
          <w:rFonts w:hint="eastAsia" w:ascii="黑体" w:hAnsi="黑体"/>
        </w:rPr>
        <w:t>兴隆镇镇域公共设施配置一览表</w:t>
      </w:r>
      <w:r>
        <w:tab/>
      </w:r>
      <w:r>
        <w:fldChar w:fldCharType="begin"/>
      </w:r>
      <w:r>
        <w:instrText xml:space="preserve"> PAGEREF _Toc515956496 \h </w:instrText>
      </w:r>
      <w:r>
        <w:fldChar w:fldCharType="separate"/>
      </w:r>
      <w:r>
        <w:t>19</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"_Toc515956497" </w:instrText>
      </w:r>
      <w:r>
        <w:fldChar w:fldCharType="separate"/>
      </w:r>
      <w:r>
        <w:rPr>
          <w:rStyle w:val="45"/>
          <w:rFonts w:hint="eastAsia" w:ascii="黑体" w:hAnsi="黑体"/>
        </w:rPr>
        <w:t>附表四</w:t>
      </w:r>
      <w:r>
        <w:rPr>
          <w:rStyle w:val="45"/>
          <w:rFonts w:ascii="黑体" w:hAnsi="黑体"/>
        </w:rPr>
        <w:t xml:space="preserve">  </w:t>
      </w:r>
      <w:r>
        <w:rPr>
          <w:rStyle w:val="45"/>
          <w:rFonts w:hint="eastAsia" w:ascii="黑体" w:hAnsi="黑体"/>
        </w:rPr>
        <w:t>兴隆镇区公共服务设施配套一览表</w:t>
      </w:r>
      <w:r>
        <w:tab/>
      </w:r>
      <w:r>
        <w:fldChar w:fldCharType="begin"/>
      </w:r>
      <w:r>
        <w:instrText xml:space="preserve"> PAGEREF _Toc515956497 \h </w:instrText>
      </w:r>
      <w:r>
        <w:fldChar w:fldCharType="separate"/>
      </w:r>
      <w:r>
        <w:t>19</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"_Toc515956498" </w:instrText>
      </w:r>
      <w:r>
        <w:fldChar w:fldCharType="separate"/>
      </w:r>
      <w:r>
        <w:rPr>
          <w:rStyle w:val="45"/>
          <w:rFonts w:hint="eastAsia" w:ascii="黑体" w:hAnsi="黑体"/>
        </w:rPr>
        <w:t>附表五</w:t>
      </w:r>
      <w:r>
        <w:rPr>
          <w:rStyle w:val="45"/>
          <w:rFonts w:ascii="黑体" w:hAnsi="黑体"/>
        </w:rPr>
        <w:t xml:space="preserve">  </w:t>
      </w:r>
      <w:r>
        <w:rPr>
          <w:rStyle w:val="45"/>
          <w:rFonts w:hint="eastAsia" w:ascii="黑体" w:hAnsi="黑体"/>
        </w:rPr>
        <w:t>兴隆镇镇区建设用地平衡表（含农业科技园区和永庆社区）</w:t>
      </w:r>
      <w:r>
        <w:tab/>
      </w:r>
      <w:r>
        <w:fldChar w:fldCharType="begin"/>
      </w:r>
      <w:r>
        <w:instrText xml:space="preserve"> PAGEREF _Toc515956498 \h </w:instrText>
      </w:r>
      <w:r>
        <w:fldChar w:fldCharType="separate"/>
      </w:r>
      <w:r>
        <w:t>21</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"_Toc515956499" </w:instrText>
      </w:r>
      <w:r>
        <w:fldChar w:fldCharType="separate"/>
      </w:r>
      <w:r>
        <w:rPr>
          <w:rStyle w:val="45"/>
          <w:rFonts w:hint="eastAsia" w:ascii="黑体" w:hAnsi="黑体"/>
        </w:rPr>
        <w:t>附表六</w:t>
      </w:r>
      <w:r>
        <w:rPr>
          <w:rStyle w:val="45"/>
          <w:rFonts w:ascii="黑体" w:hAnsi="黑体"/>
        </w:rPr>
        <w:t xml:space="preserve">  </w:t>
      </w:r>
      <w:r>
        <w:rPr>
          <w:rStyle w:val="45"/>
          <w:rFonts w:hint="eastAsia" w:ascii="黑体" w:hAnsi="黑体"/>
        </w:rPr>
        <w:t>兴隆场镇建设用地平衡表</w:t>
      </w:r>
      <w:r>
        <w:rPr>
          <w:rStyle w:val="45"/>
          <w:rFonts w:ascii="黑体" w:hAnsi="黑体"/>
        </w:rPr>
        <w:t>(</w:t>
      </w:r>
      <w:r>
        <w:rPr>
          <w:rStyle w:val="45"/>
          <w:rFonts w:hint="eastAsia" w:ascii="黑体" w:hAnsi="黑体"/>
        </w:rPr>
        <w:t>含农业园区</w:t>
      </w:r>
      <w:r>
        <w:rPr>
          <w:rStyle w:val="45"/>
          <w:rFonts w:ascii="黑体" w:hAnsi="黑体"/>
        </w:rPr>
        <w:t>)</w:t>
      </w:r>
      <w:r>
        <w:tab/>
      </w:r>
      <w:r>
        <w:fldChar w:fldCharType="begin"/>
      </w:r>
      <w:r>
        <w:instrText xml:space="preserve"> PAGEREF _Toc515956499 \h </w:instrText>
      </w:r>
      <w:r>
        <w:fldChar w:fldCharType="separate"/>
      </w:r>
      <w:r>
        <w:t>21</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"_Toc515956500" </w:instrText>
      </w:r>
      <w:r>
        <w:fldChar w:fldCharType="separate"/>
      </w:r>
      <w:r>
        <w:rPr>
          <w:rStyle w:val="45"/>
          <w:rFonts w:hint="eastAsia" w:ascii="黑体" w:hAnsi="黑体"/>
        </w:rPr>
        <w:t>附表七</w:t>
      </w:r>
      <w:r>
        <w:rPr>
          <w:rStyle w:val="45"/>
          <w:rFonts w:ascii="黑体" w:hAnsi="黑体"/>
        </w:rPr>
        <w:t xml:space="preserve">  </w:t>
      </w:r>
      <w:r>
        <w:rPr>
          <w:rStyle w:val="45"/>
          <w:rFonts w:hint="eastAsia" w:ascii="黑体" w:hAnsi="黑体"/>
        </w:rPr>
        <w:t>永庆社区建设规划用地平衡表</w:t>
      </w:r>
      <w:r>
        <w:tab/>
      </w:r>
      <w:r>
        <w:fldChar w:fldCharType="begin"/>
      </w:r>
      <w:r>
        <w:instrText xml:space="preserve"> PAGEREF _Toc515956500 \h </w:instrText>
      </w:r>
      <w:r>
        <w:fldChar w:fldCharType="separate"/>
      </w:r>
      <w:r>
        <w:t>22</w:t>
      </w:r>
      <w:r>
        <w:fldChar w:fldCharType="end"/>
      </w:r>
      <w:r>
        <w:fldChar w:fldCharType="end"/>
      </w:r>
    </w:p>
    <w:p>
      <w:pPr>
        <w:pStyle w:val="32"/>
        <w:tabs>
          <w:tab w:val="right" w:leader="dot" w:pos="9345"/>
        </w:tabs>
        <w:ind w:firstLine="360"/>
        <w:rPr>
          <w:rFonts w:asciiTheme="minorHAnsi" w:hAnsiTheme="minorHAnsi" w:eastAsiaTheme="minorEastAsia" w:cstheme="minorBidi"/>
          <w:bCs w:val="0"/>
          <w:sz w:val="21"/>
          <w:szCs w:val="22"/>
        </w:rPr>
      </w:pPr>
      <w:r>
        <w:fldChar w:fldCharType="begin"/>
      </w:r>
      <w:r>
        <w:instrText xml:space="preserve"> HYPERLINK \l "_Toc515956501" </w:instrText>
      </w:r>
      <w:r>
        <w:fldChar w:fldCharType="separate"/>
      </w:r>
      <w:r>
        <w:rPr>
          <w:rStyle w:val="45"/>
          <w:rFonts w:hint="eastAsia" w:ascii="黑体" w:hAnsi="黑体"/>
        </w:rPr>
        <w:t>附表八</w:t>
      </w:r>
      <w:r>
        <w:rPr>
          <w:rStyle w:val="45"/>
          <w:rFonts w:ascii="黑体" w:hAnsi="黑体"/>
        </w:rPr>
        <w:t xml:space="preserve">  </w:t>
      </w:r>
      <w:r>
        <w:rPr>
          <w:rStyle w:val="45"/>
          <w:rFonts w:hint="eastAsia" w:ascii="黑体" w:hAnsi="黑体"/>
        </w:rPr>
        <w:t>镇区地块控制指标一览表</w:t>
      </w:r>
      <w:r>
        <w:tab/>
      </w:r>
      <w:r>
        <w:fldChar w:fldCharType="begin"/>
      </w:r>
      <w:r>
        <w:instrText xml:space="preserve"> PAGEREF _Toc515956501 \h </w:instrText>
      </w:r>
      <w:r>
        <w:fldChar w:fldCharType="separate"/>
      </w:r>
      <w:r>
        <w:t>22</w:t>
      </w:r>
      <w:r>
        <w:fldChar w:fldCharType="end"/>
      </w:r>
      <w:r>
        <w:fldChar w:fldCharType="end"/>
      </w:r>
    </w:p>
    <w:p>
      <w:pPr>
        <w:spacing w:line="360" w:lineRule="auto"/>
        <w:rPr>
          <w:rFonts w:ascii="Arial" w:hAnsi="Arial" w:cs="Arial"/>
          <w:sz w:val="24"/>
          <w:szCs w:val="24"/>
        </w:rPr>
      </w:pPr>
      <w:r>
        <w:rPr>
          <w:rFonts w:ascii="Arial" w:hAnsi="Arial" w:eastAsia="黑体" w:cs="Arial"/>
          <w:szCs w:val="24"/>
        </w:rPr>
        <w:fldChar w:fldCharType="end"/>
      </w:r>
    </w:p>
    <w:p>
      <w:pPr>
        <w:spacing w:line="360" w:lineRule="auto"/>
        <w:rPr>
          <w:rFonts w:ascii="Arial" w:hAnsi="Arial" w:cs="Arial"/>
          <w:sz w:val="24"/>
          <w:szCs w:val="24"/>
        </w:rPr>
      </w:pPr>
    </w:p>
    <w:p>
      <w:pPr>
        <w:spacing w:line="360" w:lineRule="auto"/>
        <w:rPr>
          <w:rFonts w:eastAsia="隶书"/>
          <w:b/>
          <w:sz w:val="48"/>
          <w:szCs w:val="48"/>
        </w:rPr>
        <w:sectPr>
          <w:footerReference r:id="rId6" w:type="even"/>
          <w:type w:val="continuous"/>
          <w:pgSz w:w="23814" w:h="16839" w:orient="landscape"/>
          <w:pgMar w:top="1099" w:right="1134" w:bottom="1418" w:left="1701" w:header="284" w:footer="0" w:gutter="1134"/>
          <w:pgNumType w:start="1" w:chapStyle="1"/>
          <w:cols w:space="1134" w:num="2"/>
          <w:docGrid w:linePitch="312" w:charSpace="0"/>
        </w:sectPr>
      </w:pPr>
    </w:p>
    <w:p>
      <w:pPr>
        <w:pStyle w:val="2"/>
        <w:numPr>
          <w:ilvl w:val="0"/>
          <w:numId w:val="3"/>
        </w:numPr>
        <w:spacing w:before="0" w:line="578" w:lineRule="atLeast"/>
        <w:rPr>
          <w:rFonts w:ascii="黑体"/>
          <w:sz w:val="28"/>
          <w:szCs w:val="30"/>
        </w:rPr>
      </w:pPr>
      <w:bookmarkStart w:id="0" w:name="_Toc215494647"/>
      <w:bookmarkStart w:id="1" w:name="_Toc515956471"/>
      <w:r>
        <w:rPr>
          <w:rFonts w:hint="eastAsia" w:ascii="黑体"/>
          <w:sz w:val="28"/>
          <w:szCs w:val="30"/>
        </w:rPr>
        <w:t>总则</w:t>
      </w:r>
      <w:bookmarkEnd w:id="0"/>
      <w:bookmarkEnd w:id="1"/>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编制目的</w:t>
      </w:r>
    </w:p>
    <w:p>
      <w:pPr>
        <w:spacing w:line="360" w:lineRule="auto"/>
        <w:ind w:firstLine="560" w:firstLineChars="200"/>
        <w:rPr>
          <w:rFonts w:ascii="宋体" w:hAnsi="宋体"/>
          <w:sz w:val="28"/>
          <w:szCs w:val="28"/>
        </w:rPr>
      </w:pPr>
      <w:r>
        <w:rPr>
          <w:rFonts w:hint="eastAsia" w:ascii="宋体" w:hAnsi="宋体"/>
          <w:sz w:val="28"/>
          <w:szCs w:val="28"/>
        </w:rPr>
        <w:t>为实现渝北区兴隆镇在党的十九大指导下的乡村振兴战略，满足城乡发展的空间与环境需求，</w:t>
      </w:r>
      <w:r>
        <w:rPr>
          <w:rFonts w:hint="eastAsia"/>
          <w:sz w:val="28"/>
          <w:szCs w:val="28"/>
        </w:rPr>
        <w:t>合理开发利用土地及其它各类资源，促进经济、社会与生态环境协调发展，</w:t>
      </w:r>
      <w:r>
        <w:rPr>
          <w:rFonts w:hint="eastAsia" w:ascii="宋体" w:hAnsi="宋体"/>
          <w:sz w:val="28"/>
          <w:szCs w:val="28"/>
        </w:rPr>
        <w:t>提高城镇化水平与质量，编制《渝北区兴隆镇总体规划（201</w:t>
      </w:r>
      <w:r>
        <w:rPr>
          <w:rFonts w:ascii="宋体" w:hAnsi="宋体"/>
          <w:sz w:val="28"/>
          <w:szCs w:val="28"/>
        </w:rPr>
        <w:t>8</w:t>
      </w:r>
      <w:r>
        <w:rPr>
          <w:rFonts w:hint="eastAsia" w:ascii="宋体" w:hAnsi="宋体"/>
          <w:sz w:val="28"/>
          <w:szCs w:val="28"/>
        </w:rPr>
        <w:t>编制）》，以下简称本规划。</w:t>
      </w:r>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规划依据</w:t>
      </w:r>
    </w:p>
    <w:p>
      <w:pPr>
        <w:spacing w:line="360" w:lineRule="auto"/>
        <w:ind w:firstLine="560" w:firstLineChars="200"/>
        <w:rPr>
          <w:rFonts w:ascii="宋体" w:hAnsi="宋体"/>
          <w:sz w:val="28"/>
          <w:szCs w:val="28"/>
        </w:rPr>
      </w:pPr>
      <w:r>
        <w:rPr>
          <w:rFonts w:hint="eastAsia" w:ascii="宋体" w:hAnsi="宋体"/>
          <w:sz w:val="28"/>
          <w:szCs w:val="28"/>
        </w:rPr>
        <w:t>1、《中华人民共和国城乡规划法》</w:t>
      </w:r>
    </w:p>
    <w:p>
      <w:pPr>
        <w:spacing w:line="360" w:lineRule="auto"/>
        <w:ind w:firstLine="560" w:firstLineChars="200"/>
        <w:rPr>
          <w:rFonts w:ascii="宋体" w:hAnsi="宋体"/>
          <w:sz w:val="28"/>
          <w:szCs w:val="28"/>
        </w:rPr>
      </w:pPr>
      <w:r>
        <w:rPr>
          <w:rFonts w:hint="eastAsia" w:ascii="宋体" w:hAnsi="宋体"/>
          <w:sz w:val="28"/>
          <w:szCs w:val="28"/>
        </w:rPr>
        <w:t>2、《城市、镇控制性详细规划编制审批办法（20110101）》（住建部令7号）</w:t>
      </w:r>
    </w:p>
    <w:p>
      <w:pPr>
        <w:spacing w:line="360" w:lineRule="auto"/>
        <w:ind w:firstLine="560" w:firstLineChars="200"/>
        <w:rPr>
          <w:rFonts w:ascii="宋体" w:hAnsi="宋体"/>
          <w:sz w:val="28"/>
          <w:szCs w:val="28"/>
        </w:rPr>
      </w:pPr>
      <w:r>
        <w:rPr>
          <w:rFonts w:hint="eastAsia" w:ascii="宋体" w:hAnsi="宋体"/>
          <w:sz w:val="28"/>
          <w:szCs w:val="28"/>
        </w:rPr>
        <w:t>3、《镇规划标准》》（GB50188-2007）</w:t>
      </w:r>
    </w:p>
    <w:p>
      <w:pPr>
        <w:spacing w:line="360" w:lineRule="auto"/>
        <w:ind w:firstLine="560" w:firstLineChars="200"/>
        <w:rPr>
          <w:rFonts w:ascii="宋体" w:hAnsi="宋体"/>
          <w:sz w:val="28"/>
          <w:szCs w:val="28"/>
        </w:rPr>
      </w:pPr>
      <w:r>
        <w:rPr>
          <w:rFonts w:hint="eastAsia" w:ascii="宋体" w:hAnsi="宋体"/>
          <w:sz w:val="28"/>
          <w:szCs w:val="28"/>
        </w:rPr>
        <w:t>4、《村镇规划编制办法（试行）》</w:t>
      </w:r>
    </w:p>
    <w:p>
      <w:pPr>
        <w:spacing w:line="360" w:lineRule="auto"/>
        <w:ind w:firstLine="560" w:firstLineChars="200"/>
        <w:rPr>
          <w:rFonts w:ascii="宋体" w:hAnsi="宋体"/>
          <w:sz w:val="28"/>
          <w:szCs w:val="28"/>
        </w:rPr>
      </w:pPr>
      <w:r>
        <w:rPr>
          <w:rFonts w:hint="eastAsia" w:ascii="宋体" w:hAnsi="宋体"/>
          <w:sz w:val="28"/>
          <w:szCs w:val="28"/>
        </w:rPr>
        <w:t>5、《镇（乡）域规划导则（试行）》</w:t>
      </w:r>
    </w:p>
    <w:p>
      <w:pPr>
        <w:spacing w:line="360" w:lineRule="auto"/>
        <w:ind w:firstLine="560" w:firstLineChars="200"/>
        <w:rPr>
          <w:rFonts w:ascii="宋体" w:hAnsi="宋体"/>
          <w:sz w:val="28"/>
          <w:szCs w:val="28"/>
        </w:rPr>
      </w:pPr>
      <w:r>
        <w:rPr>
          <w:rFonts w:hint="eastAsia" w:ascii="宋体" w:hAnsi="宋体"/>
          <w:sz w:val="28"/>
          <w:szCs w:val="28"/>
        </w:rPr>
        <w:t>6、《城市用地分类与规划建设用地标准》（GB50137-2011）</w:t>
      </w:r>
    </w:p>
    <w:p>
      <w:pPr>
        <w:spacing w:line="360" w:lineRule="auto"/>
        <w:ind w:firstLine="560" w:firstLineChars="200"/>
        <w:rPr>
          <w:rFonts w:ascii="宋体" w:hAnsi="宋体"/>
          <w:sz w:val="28"/>
          <w:szCs w:val="28"/>
        </w:rPr>
      </w:pPr>
      <w:r>
        <w:rPr>
          <w:rFonts w:hint="eastAsia" w:ascii="宋体" w:hAnsi="宋体"/>
          <w:sz w:val="28"/>
          <w:szCs w:val="28"/>
        </w:rPr>
        <w:t>7、《重庆市城乡总体规划（2007－2035年）》（2014年深化）</w:t>
      </w:r>
    </w:p>
    <w:p>
      <w:pPr>
        <w:spacing w:line="360" w:lineRule="auto"/>
        <w:ind w:firstLine="560" w:firstLineChars="200"/>
        <w:rPr>
          <w:rFonts w:ascii="宋体" w:hAnsi="宋体"/>
          <w:sz w:val="28"/>
          <w:szCs w:val="28"/>
        </w:rPr>
      </w:pPr>
      <w:r>
        <w:rPr>
          <w:rFonts w:hint="eastAsia" w:ascii="宋体" w:hAnsi="宋体"/>
          <w:sz w:val="28"/>
          <w:szCs w:val="28"/>
        </w:rPr>
        <w:t>8、《重庆市城乡规划条例》</w:t>
      </w:r>
    </w:p>
    <w:p>
      <w:pPr>
        <w:spacing w:line="360" w:lineRule="auto"/>
        <w:ind w:firstLine="560" w:firstLineChars="200"/>
        <w:rPr>
          <w:rFonts w:ascii="宋体" w:hAnsi="宋体"/>
          <w:sz w:val="28"/>
          <w:szCs w:val="28"/>
        </w:rPr>
      </w:pPr>
      <w:r>
        <w:rPr>
          <w:rFonts w:hint="eastAsia" w:ascii="宋体" w:hAnsi="宋体"/>
          <w:sz w:val="28"/>
          <w:szCs w:val="28"/>
        </w:rPr>
        <w:t>9、《重庆市城市规划管理技术规定》（2011年修订）</w:t>
      </w:r>
    </w:p>
    <w:p>
      <w:pPr>
        <w:spacing w:line="360" w:lineRule="auto"/>
        <w:ind w:firstLine="560" w:firstLineChars="200"/>
        <w:rPr>
          <w:rFonts w:ascii="宋体" w:hAnsi="宋体"/>
          <w:sz w:val="28"/>
          <w:szCs w:val="28"/>
        </w:rPr>
      </w:pPr>
      <w:r>
        <w:rPr>
          <w:rFonts w:hint="eastAsia" w:ascii="宋体" w:hAnsi="宋体"/>
          <w:sz w:val="28"/>
          <w:szCs w:val="28"/>
        </w:rPr>
        <w:t>10、《重庆市控制性详细规划编制技术规定》（2011年修订试行）</w:t>
      </w:r>
    </w:p>
    <w:p>
      <w:pPr>
        <w:spacing w:line="360" w:lineRule="auto"/>
        <w:ind w:firstLine="560" w:firstLineChars="200"/>
        <w:rPr>
          <w:rFonts w:asciiTheme="minorEastAsia" w:hAnsiTheme="minorEastAsia" w:eastAsiaTheme="minorEastAsia"/>
          <w:sz w:val="28"/>
          <w:szCs w:val="28"/>
        </w:rPr>
      </w:pPr>
      <w:r>
        <w:rPr>
          <w:rFonts w:hint="eastAsia" w:ascii="宋体" w:hAnsi="宋体"/>
          <w:sz w:val="28"/>
          <w:szCs w:val="28"/>
        </w:rPr>
        <w:t>11、重庆市渝北区规划全覆盖各专业专项规划</w:t>
      </w:r>
    </w:p>
    <w:p>
      <w:pPr>
        <w:spacing w:line="360" w:lineRule="auto"/>
        <w:ind w:right="103" w:rightChars="49"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12、国家、重庆市、渝北区其他现行相关法律法规和相关技术规范</w:t>
      </w:r>
    </w:p>
    <w:p>
      <w:pPr>
        <w:spacing w:line="360" w:lineRule="auto"/>
        <w:ind w:right="103" w:rightChars="49"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13、其他相关文件</w:t>
      </w:r>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规划编制年限</w:t>
      </w:r>
    </w:p>
    <w:p>
      <w:pPr>
        <w:spacing w:line="360" w:lineRule="auto"/>
        <w:ind w:firstLine="560" w:firstLineChars="200"/>
        <w:rPr>
          <w:rFonts w:ascii="宋体" w:hAnsi="宋体"/>
          <w:sz w:val="28"/>
          <w:szCs w:val="28"/>
        </w:rPr>
      </w:pPr>
      <w:r>
        <w:rPr>
          <w:rFonts w:hint="eastAsia" w:ascii="宋体" w:hAnsi="宋体"/>
          <w:sz w:val="28"/>
          <w:szCs w:val="28"/>
        </w:rPr>
        <w:t>规划编制年为2018年。</w:t>
      </w:r>
    </w:p>
    <w:p>
      <w:pPr>
        <w:spacing w:line="360" w:lineRule="auto"/>
        <w:ind w:firstLine="560" w:firstLineChars="200"/>
        <w:rPr>
          <w:rFonts w:ascii="宋体" w:hAnsi="宋体"/>
          <w:sz w:val="28"/>
          <w:szCs w:val="28"/>
        </w:rPr>
      </w:pPr>
      <w:r>
        <w:rPr>
          <w:rFonts w:hint="eastAsia" w:ascii="宋体" w:hAnsi="宋体"/>
          <w:sz w:val="28"/>
          <w:szCs w:val="28"/>
        </w:rPr>
        <w:t>规划期限展望至2035年。</w:t>
      </w:r>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规划范围</w:t>
      </w:r>
    </w:p>
    <w:p>
      <w:pPr>
        <w:spacing w:line="360" w:lineRule="auto"/>
        <w:ind w:firstLine="560" w:firstLineChars="200"/>
        <w:rPr>
          <w:rFonts w:ascii="宋体" w:hAnsi="宋体"/>
          <w:sz w:val="28"/>
          <w:szCs w:val="28"/>
        </w:rPr>
      </w:pPr>
      <w:bookmarkStart w:id="2" w:name="_Hlk508267005"/>
      <w:r>
        <w:rPr>
          <w:rFonts w:hint="eastAsia" w:ascii="宋体" w:hAnsi="宋体"/>
          <w:sz w:val="28"/>
          <w:szCs w:val="28"/>
        </w:rPr>
        <w:t>镇域规划范围为兴隆镇行政辖区范围，总面积88.72平方公里。</w:t>
      </w:r>
    </w:p>
    <w:p>
      <w:pPr>
        <w:spacing w:after="240" w:afterLines="100" w:line="480" w:lineRule="exact"/>
        <w:ind w:firstLine="560" w:firstLineChars="200"/>
        <w:rPr>
          <w:rFonts w:ascii="黑体" w:hAnsi="黑体" w:eastAsia="黑体"/>
          <w:b/>
          <w:sz w:val="28"/>
          <w:szCs w:val="28"/>
        </w:rPr>
      </w:pPr>
      <w:r>
        <w:rPr>
          <w:rFonts w:hint="eastAsia" w:ascii="宋体" w:hAnsi="宋体"/>
          <w:sz w:val="28"/>
          <w:szCs w:val="28"/>
        </w:rPr>
        <w:t>镇区规划范围为兴隆镇现状建成区，以及因城镇发展需要建设的区域，总面积1.</w:t>
      </w:r>
      <w:r>
        <w:rPr>
          <w:rFonts w:ascii="宋体" w:hAnsi="宋体"/>
          <w:sz w:val="28"/>
          <w:szCs w:val="28"/>
        </w:rPr>
        <w:t>79</w:t>
      </w:r>
      <w:r>
        <w:rPr>
          <w:rFonts w:hint="eastAsia" w:ascii="宋体" w:hAnsi="宋体"/>
          <w:sz w:val="28"/>
          <w:szCs w:val="28"/>
        </w:rPr>
        <w:t>平方公里。</w:t>
      </w:r>
    </w:p>
    <w:bookmarkEnd w:id="2"/>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强制性和技术性内容</w:t>
      </w:r>
    </w:p>
    <w:p>
      <w:pPr>
        <w:spacing w:line="360" w:lineRule="auto"/>
        <w:ind w:firstLine="562" w:firstLineChars="200"/>
        <w:rPr>
          <w:sz w:val="28"/>
          <w:szCs w:val="28"/>
        </w:rPr>
      </w:pPr>
      <w:r>
        <w:rPr>
          <w:rFonts w:hint="eastAsia"/>
          <w:b/>
          <w:sz w:val="28"/>
          <w:szCs w:val="28"/>
        </w:rPr>
        <w:t>规划区范围、规划区内建设用地规模、基础设施和公共服务设施用地、水源地和水系、生态红线、基本农田和绿化用地、环境保护、自然与历史文化遗产保护以及防灾减灾等内容，为镇总体规划强制性内容，文本中表现为加粗字体，任何单位和个人未经法定程序不得修改。</w:t>
      </w:r>
      <w:r>
        <w:rPr>
          <w:rFonts w:hint="eastAsia"/>
          <w:sz w:val="28"/>
          <w:szCs w:val="28"/>
        </w:rPr>
        <w:t>其他为一般技术性内容，可根据按法定程序批准的修建性详细规划和建筑方案设计按相关规定程序优化调整。</w:t>
      </w:r>
    </w:p>
    <w:p>
      <w:pPr>
        <w:spacing w:line="360" w:lineRule="auto"/>
        <w:ind w:firstLine="560" w:firstLineChars="200"/>
        <w:rPr>
          <w:rFonts w:ascii="宋体" w:hAnsi="宋体"/>
          <w:sz w:val="28"/>
          <w:szCs w:val="28"/>
        </w:rPr>
      </w:pPr>
      <w:r>
        <w:rPr>
          <w:rFonts w:hint="eastAsia" w:ascii="宋体" w:hAnsi="宋体"/>
          <w:sz w:val="28"/>
          <w:szCs w:val="28"/>
        </w:rPr>
        <w:t>凡在规划区范围内进行的各项土地开发、详细设计、城镇管理以及一切建设活动，均应按照本规划执行。</w:t>
      </w:r>
    </w:p>
    <w:p>
      <w:pPr>
        <w:pStyle w:val="2"/>
        <w:numPr>
          <w:ilvl w:val="0"/>
          <w:numId w:val="3"/>
        </w:numPr>
        <w:spacing w:before="0" w:line="578" w:lineRule="atLeast"/>
        <w:rPr>
          <w:rFonts w:ascii="黑体"/>
          <w:szCs w:val="30"/>
        </w:rPr>
      </w:pPr>
      <w:bookmarkStart w:id="3" w:name="_Toc515956472"/>
      <w:r>
        <w:rPr>
          <w:rFonts w:hint="eastAsia" w:ascii="黑体"/>
          <w:szCs w:val="30"/>
        </w:rPr>
        <w:t>镇域总体规划</w:t>
      </w:r>
      <w:bookmarkEnd w:id="3"/>
    </w:p>
    <w:p>
      <w:pPr>
        <w:pStyle w:val="3"/>
        <w:numPr>
          <w:ilvl w:val="0"/>
          <w:numId w:val="5"/>
        </w:numPr>
        <w:jc w:val="center"/>
        <w:rPr>
          <w:rFonts w:eastAsia="宋体"/>
          <w:sz w:val="30"/>
          <w:szCs w:val="30"/>
        </w:rPr>
      </w:pPr>
      <w:bookmarkStart w:id="4" w:name="_Toc515956473"/>
      <w:r>
        <w:rPr>
          <w:rFonts w:hint="eastAsia" w:eastAsia="宋体"/>
          <w:sz w:val="30"/>
          <w:szCs w:val="30"/>
        </w:rPr>
        <w:t>发展定位与规模预测</w:t>
      </w:r>
      <w:bookmarkEnd w:id="4"/>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发展定位</w:t>
      </w:r>
    </w:p>
    <w:p>
      <w:pPr>
        <w:spacing w:line="360" w:lineRule="auto"/>
        <w:ind w:right="103" w:rightChars="49" w:firstLine="560" w:firstLineChars="200"/>
        <w:rPr>
          <w:rFonts w:ascii="宋体" w:hAnsi="宋体"/>
          <w:sz w:val="28"/>
          <w:szCs w:val="28"/>
        </w:rPr>
      </w:pPr>
      <w:r>
        <w:rPr>
          <w:rFonts w:hint="eastAsia" w:ascii="宋体" w:hAnsi="宋体"/>
          <w:sz w:val="28"/>
          <w:szCs w:val="28"/>
        </w:rPr>
        <w:t>利用良好的交通区位优势、自然资源优势、产业优势，将兴隆镇建设成为以观光体验农业、现代都市农业、生态休闲旅游为主导的生态农业小镇。</w:t>
      </w:r>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人口规模</w:t>
      </w:r>
    </w:p>
    <w:p>
      <w:pPr>
        <w:spacing w:line="360" w:lineRule="auto"/>
        <w:ind w:firstLine="560" w:firstLineChars="200"/>
        <w:rPr>
          <w:rFonts w:ascii="宋体" w:hAnsi="宋体"/>
          <w:sz w:val="28"/>
          <w:szCs w:val="28"/>
        </w:rPr>
      </w:pPr>
      <w:r>
        <w:rPr>
          <w:rFonts w:hint="eastAsia" w:ascii="宋体" w:hAnsi="宋体"/>
          <w:sz w:val="28"/>
          <w:szCs w:val="28"/>
        </w:rPr>
        <w:t>至2035年，兴隆镇镇域常住人口达到3</w:t>
      </w:r>
      <w:r>
        <w:rPr>
          <w:rFonts w:ascii="宋体" w:hAnsi="宋体"/>
          <w:sz w:val="28"/>
          <w:szCs w:val="28"/>
        </w:rPr>
        <w:t>.6</w:t>
      </w:r>
      <w:r>
        <w:rPr>
          <w:rFonts w:hint="eastAsia" w:ascii="宋体" w:hAnsi="宋体"/>
          <w:sz w:val="28"/>
          <w:szCs w:val="28"/>
        </w:rPr>
        <w:t>万人。</w:t>
      </w:r>
    </w:p>
    <w:p>
      <w:pPr>
        <w:spacing w:line="360" w:lineRule="auto"/>
        <w:ind w:firstLine="560" w:firstLineChars="200"/>
        <w:rPr>
          <w:rFonts w:ascii="宋体" w:hAnsi="宋体"/>
          <w:kern w:val="0"/>
          <w:sz w:val="28"/>
          <w:szCs w:val="28"/>
        </w:rPr>
      </w:pPr>
      <w:r>
        <w:rPr>
          <w:rFonts w:hint="eastAsia" w:ascii="宋体" w:hAnsi="宋体"/>
          <w:sz w:val="28"/>
          <w:szCs w:val="28"/>
        </w:rPr>
        <w:t>至2035年，</w:t>
      </w:r>
      <w:r>
        <w:rPr>
          <w:rFonts w:hint="eastAsia" w:ascii="宋体" w:hAnsi="宋体"/>
          <w:kern w:val="0"/>
          <w:sz w:val="28"/>
          <w:szCs w:val="28"/>
        </w:rPr>
        <w:t>城镇化水平预计达到</w:t>
      </w:r>
      <w:r>
        <w:rPr>
          <w:rFonts w:ascii="宋体" w:hAnsi="宋体"/>
          <w:kern w:val="0"/>
          <w:sz w:val="28"/>
          <w:szCs w:val="28"/>
        </w:rPr>
        <w:t>6</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，城镇人口2.</w:t>
      </w:r>
      <w:r>
        <w:rPr>
          <w:rFonts w:ascii="宋体" w:hAnsi="宋体"/>
          <w:kern w:val="0"/>
          <w:sz w:val="28"/>
          <w:szCs w:val="28"/>
        </w:rPr>
        <w:t>3</w:t>
      </w:r>
      <w:r>
        <w:rPr>
          <w:rFonts w:hint="eastAsia" w:ascii="宋体" w:hAnsi="宋体"/>
          <w:kern w:val="0"/>
          <w:sz w:val="28"/>
          <w:szCs w:val="28"/>
        </w:rPr>
        <w:t>万人（含永庆社区）。</w:t>
      </w:r>
    </w:p>
    <w:p>
      <w:pPr>
        <w:pStyle w:val="3"/>
        <w:numPr>
          <w:ilvl w:val="0"/>
          <w:numId w:val="5"/>
        </w:numPr>
        <w:jc w:val="center"/>
        <w:rPr>
          <w:rFonts w:eastAsia="宋体"/>
          <w:sz w:val="30"/>
          <w:szCs w:val="30"/>
        </w:rPr>
      </w:pPr>
      <w:bookmarkStart w:id="5" w:name="_Toc515956474"/>
      <w:r>
        <w:rPr>
          <w:rFonts w:hint="eastAsia" w:eastAsia="宋体"/>
          <w:sz w:val="30"/>
          <w:szCs w:val="30"/>
        </w:rPr>
        <w:t>镇村体系规划</w:t>
      </w:r>
      <w:bookmarkEnd w:id="5"/>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镇村等级结构及职能</w:t>
      </w:r>
    </w:p>
    <w:p>
      <w:pPr>
        <w:spacing w:line="360" w:lineRule="auto"/>
        <w:ind w:firstLine="560" w:firstLineChars="200"/>
        <w:rPr>
          <w:rFonts w:ascii="宋体" w:hAnsi="宋体"/>
          <w:sz w:val="28"/>
          <w:szCs w:val="28"/>
        </w:rPr>
      </w:pPr>
      <w:r>
        <w:rPr>
          <w:rFonts w:hint="eastAsia" w:ascii="宋体" w:hAnsi="宋体"/>
          <w:sz w:val="28"/>
          <w:szCs w:val="28"/>
        </w:rPr>
        <w:t>共分为三个等级，镇区（含国家农业科技园区和永庆社区）、中心村、基层村（详见附表二）。</w:t>
      </w:r>
    </w:p>
    <w:p>
      <w:pPr>
        <w:spacing w:line="360" w:lineRule="auto"/>
        <w:ind w:right="103" w:rightChars="49" w:firstLine="560" w:firstLineChars="200"/>
        <w:rPr>
          <w:rFonts w:ascii="宋体" w:hAnsi="宋体"/>
          <w:sz w:val="28"/>
          <w:szCs w:val="28"/>
        </w:rPr>
      </w:pPr>
      <w:r>
        <w:rPr>
          <w:rFonts w:hint="eastAsia" w:ascii="宋体" w:hAnsi="宋体"/>
          <w:sz w:val="28"/>
          <w:szCs w:val="28"/>
        </w:rPr>
        <w:t>镇区（含国家农业科技园区和永庆社区）——行使行政中心、交通中心、商贸中心、文化中心、经济中心的职能。至2035年镇区建设用地1</w:t>
      </w:r>
      <w:r>
        <w:rPr>
          <w:rFonts w:ascii="宋体" w:hAnsi="宋体"/>
          <w:sz w:val="28"/>
          <w:szCs w:val="28"/>
        </w:rPr>
        <w:t>.79</w:t>
      </w:r>
      <w:r>
        <w:rPr>
          <w:rFonts w:hint="eastAsia" w:ascii="宋体" w:hAnsi="宋体"/>
          <w:sz w:val="28"/>
          <w:szCs w:val="28"/>
        </w:rPr>
        <w:t>平方公里，人口2.3万人。</w:t>
      </w:r>
    </w:p>
    <w:p>
      <w:pPr>
        <w:spacing w:line="360" w:lineRule="auto"/>
        <w:ind w:right="103" w:rightChars="49" w:firstLine="560" w:firstLineChars="200"/>
        <w:rPr>
          <w:rFonts w:ascii="宋体" w:hAnsi="宋体"/>
          <w:sz w:val="28"/>
          <w:szCs w:val="28"/>
        </w:rPr>
      </w:pPr>
      <w:r>
        <w:rPr>
          <w:rFonts w:hint="eastAsia" w:ascii="宋体" w:hAnsi="宋体"/>
          <w:sz w:val="28"/>
          <w:szCs w:val="28"/>
        </w:rPr>
        <w:t>中心村——发扬村。行使镇域副中心职能，辐射带动周边基层村的发展。</w:t>
      </w:r>
      <w:r>
        <w:rPr>
          <w:rFonts w:hint="eastAsia"/>
          <w:sz w:val="28"/>
          <w:szCs w:val="28"/>
        </w:rPr>
        <w:t>人</w:t>
      </w:r>
      <w:r>
        <w:rPr>
          <w:rFonts w:hint="eastAsia" w:ascii="宋体" w:hAnsi="宋体"/>
          <w:sz w:val="28"/>
          <w:szCs w:val="28"/>
        </w:rPr>
        <w:t>口1200人以上。</w:t>
      </w:r>
    </w:p>
    <w:p>
      <w:pPr>
        <w:spacing w:line="360" w:lineRule="auto"/>
        <w:ind w:right="103" w:rightChars="49" w:firstLine="560" w:firstLineChars="200"/>
        <w:rPr>
          <w:rFonts w:ascii="宋体" w:hAnsi="宋体"/>
          <w:sz w:val="28"/>
          <w:szCs w:val="28"/>
        </w:rPr>
      </w:pPr>
      <w:r>
        <w:rPr>
          <w:rFonts w:hint="eastAsia" w:ascii="宋体" w:hAnsi="宋体"/>
          <w:sz w:val="28"/>
          <w:szCs w:val="28"/>
        </w:rPr>
        <w:t>基层村——杜家村、南天门村、龙平村、永庆村、保胜寺村、永兴村、牛皇村、小五村、天堡寨村、黄葛村、新寨村、龙寨村、徐堡村、广佛村等，行使一般的村组行政职能。人口1200人以下。</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村庄建设用地规划</w:t>
      </w:r>
    </w:p>
    <w:p>
      <w:pPr>
        <w:spacing w:line="360" w:lineRule="auto"/>
        <w:ind w:firstLine="560" w:firstLineChars="200"/>
        <w:rPr>
          <w:rFonts w:ascii="黑体" w:hAnsi="黑体" w:eastAsia="黑体"/>
          <w:b/>
          <w:bCs/>
          <w:sz w:val="28"/>
          <w:szCs w:val="28"/>
        </w:rPr>
      </w:pPr>
      <w:r>
        <w:rPr>
          <w:rFonts w:hint="eastAsia" w:ascii="宋体" w:hAnsi="宋体"/>
          <w:sz w:val="28"/>
          <w:szCs w:val="28"/>
        </w:rPr>
        <w:t>根据《渝北区兴隆镇土地利用规划（</w:t>
      </w:r>
      <w:r>
        <w:rPr>
          <w:rFonts w:ascii="宋体" w:hAnsi="宋体"/>
          <w:sz w:val="28"/>
          <w:szCs w:val="28"/>
        </w:rPr>
        <w:t>2006-2020</w:t>
      </w:r>
      <w:r>
        <w:rPr>
          <w:rFonts w:hint="eastAsia" w:ascii="宋体" w:hAnsi="宋体"/>
          <w:sz w:val="28"/>
          <w:szCs w:val="28"/>
        </w:rPr>
        <w:t>）》（2</w:t>
      </w:r>
      <w:r>
        <w:rPr>
          <w:rFonts w:ascii="宋体" w:hAnsi="宋体"/>
          <w:sz w:val="28"/>
          <w:szCs w:val="28"/>
        </w:rPr>
        <w:t>017</w:t>
      </w:r>
      <w:r>
        <w:rPr>
          <w:rFonts w:hint="eastAsia" w:ascii="宋体" w:hAnsi="宋体"/>
          <w:sz w:val="28"/>
          <w:szCs w:val="28"/>
        </w:rPr>
        <w:t>年修订），</w:t>
      </w:r>
      <w:r>
        <w:rPr>
          <w:rFonts w:hint="eastAsia" w:ascii="宋体" w:hAnsi="宋体"/>
          <w:b/>
          <w:bCs/>
          <w:sz w:val="28"/>
          <w:szCs w:val="28"/>
        </w:rPr>
        <w:t>规划村庄建设用地面积45</w:t>
      </w:r>
      <w:r>
        <w:rPr>
          <w:rFonts w:ascii="宋体" w:hAnsi="宋体"/>
          <w:b/>
          <w:bCs/>
          <w:sz w:val="28"/>
          <w:szCs w:val="28"/>
        </w:rPr>
        <w:t>8.43</w:t>
      </w:r>
      <w:r>
        <w:rPr>
          <w:rFonts w:hint="eastAsia" w:ascii="宋体" w:hAnsi="宋体"/>
          <w:b/>
          <w:bCs/>
          <w:sz w:val="28"/>
          <w:szCs w:val="28"/>
        </w:rPr>
        <w:t>公顷。</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新农村建设规划</w:t>
      </w:r>
    </w:p>
    <w:p>
      <w:pPr>
        <w:spacing w:line="360" w:lineRule="auto"/>
        <w:ind w:firstLine="560" w:firstLineChars="200"/>
        <w:rPr>
          <w:sz w:val="28"/>
          <w:szCs w:val="28"/>
        </w:rPr>
      </w:pPr>
      <w:r>
        <w:rPr>
          <w:rFonts w:hint="eastAsia"/>
          <w:sz w:val="28"/>
          <w:szCs w:val="28"/>
        </w:rPr>
        <w:t>按“统一规划、合理布局、集约发展、量力而行”的原则，为进一步加强城乡</w:t>
      </w:r>
      <w:r>
        <w:rPr>
          <w:rFonts w:hint="eastAsia" w:ascii="宋体" w:hAnsi="宋体"/>
          <w:sz w:val="28"/>
          <w:szCs w:val="28"/>
        </w:rPr>
        <w:t>统筹</w:t>
      </w:r>
      <w:r>
        <w:rPr>
          <w:rFonts w:hint="eastAsia"/>
          <w:sz w:val="28"/>
          <w:szCs w:val="28"/>
        </w:rPr>
        <w:t>发展，结合兴隆镇和农业科技园区的发展布局，以及农业科技园区一期范围内的村规划编制，规划到</w:t>
      </w:r>
      <w:r>
        <w:rPr>
          <w:rFonts w:hint="eastAsia" w:asciiTheme="minorEastAsia" w:hAnsiTheme="minorEastAsia" w:eastAsiaTheme="minorEastAsia" w:cstheme="minorEastAsia"/>
          <w:sz w:val="28"/>
          <w:szCs w:val="28"/>
        </w:rPr>
        <w:t>2035</w:t>
      </w:r>
      <w:r>
        <w:rPr>
          <w:rFonts w:hint="eastAsia"/>
          <w:sz w:val="28"/>
          <w:szCs w:val="28"/>
        </w:rPr>
        <w:t>年，于龙寨村、广佛村、徐堡村各规划一处集中居民点。</w:t>
      </w:r>
    </w:p>
    <w:p>
      <w:pPr>
        <w:spacing w:line="360" w:lineRule="auto"/>
        <w:ind w:firstLine="560" w:firstLineChars="200"/>
        <w:rPr>
          <w:rFonts w:ascii="宋体" w:hAnsi="宋体"/>
          <w:sz w:val="28"/>
          <w:szCs w:val="28"/>
        </w:rPr>
      </w:pPr>
      <w:r>
        <w:rPr>
          <w:rFonts w:hint="eastAsia" w:ascii="宋体" w:hAnsi="宋体"/>
          <w:sz w:val="28"/>
          <w:szCs w:val="28"/>
        </w:rPr>
        <w:t>龙寨村集中居民点：位于龙寨村二社，建设用地面积5.13公顷。</w:t>
      </w:r>
    </w:p>
    <w:p>
      <w:pPr>
        <w:spacing w:line="360" w:lineRule="auto"/>
        <w:ind w:firstLine="560" w:firstLineChars="200"/>
        <w:rPr>
          <w:rFonts w:ascii="宋体" w:hAnsi="宋体"/>
          <w:sz w:val="28"/>
          <w:szCs w:val="28"/>
        </w:rPr>
      </w:pPr>
      <w:r>
        <w:rPr>
          <w:rFonts w:hint="eastAsia" w:ascii="宋体" w:hAnsi="宋体"/>
          <w:sz w:val="28"/>
          <w:szCs w:val="28"/>
        </w:rPr>
        <w:t>广佛村集中居民点：位于广佛村一社，建设用地面积7.34公顷。</w:t>
      </w:r>
    </w:p>
    <w:p>
      <w:pPr>
        <w:spacing w:line="360" w:lineRule="auto"/>
        <w:ind w:firstLine="560" w:firstLineChars="200"/>
        <w:rPr>
          <w:rFonts w:ascii="宋体" w:hAnsi="宋体"/>
          <w:sz w:val="28"/>
          <w:szCs w:val="28"/>
        </w:rPr>
      </w:pPr>
      <w:r>
        <w:rPr>
          <w:rFonts w:hint="eastAsia" w:ascii="宋体" w:hAnsi="宋体"/>
          <w:sz w:val="28"/>
          <w:szCs w:val="28"/>
        </w:rPr>
        <w:t>徐堡村集中居民点：位于徐堡村八社，建设用地面积8.23公顷。</w:t>
      </w:r>
    </w:p>
    <w:p>
      <w:pPr>
        <w:spacing w:line="360" w:lineRule="auto"/>
        <w:ind w:firstLine="560" w:firstLineChars="200"/>
        <w:rPr>
          <w:rFonts w:ascii="宋体" w:hAnsi="宋体"/>
          <w:sz w:val="28"/>
          <w:szCs w:val="28"/>
        </w:rPr>
      </w:pPr>
      <w:r>
        <w:rPr>
          <w:rFonts w:hint="eastAsia"/>
          <w:sz w:val="28"/>
          <w:szCs w:val="28"/>
        </w:rPr>
        <w:t>逐步改变农村单家独院的现状，引导村民集中建房，配套建设相应的设施，提高生活水平。</w:t>
      </w:r>
    </w:p>
    <w:p>
      <w:pPr>
        <w:spacing w:line="360" w:lineRule="auto"/>
        <w:ind w:firstLine="560" w:firstLineChars="200"/>
        <w:rPr>
          <w:rFonts w:ascii="宋体" w:hAnsi="宋体"/>
          <w:sz w:val="28"/>
          <w:szCs w:val="28"/>
        </w:rPr>
      </w:pPr>
      <w:r>
        <w:rPr>
          <w:rFonts w:hint="eastAsia" w:ascii="宋体" w:hAnsi="宋体"/>
          <w:sz w:val="28"/>
          <w:szCs w:val="28"/>
        </w:rPr>
        <w:t>社会服务设施参照相关标准设置，详见附表三。</w:t>
      </w:r>
    </w:p>
    <w:p>
      <w:pPr>
        <w:pStyle w:val="3"/>
        <w:numPr>
          <w:ilvl w:val="0"/>
          <w:numId w:val="5"/>
        </w:numPr>
        <w:jc w:val="center"/>
        <w:rPr>
          <w:rFonts w:eastAsia="宋体"/>
          <w:sz w:val="30"/>
          <w:szCs w:val="30"/>
        </w:rPr>
      </w:pPr>
      <w:bookmarkStart w:id="6" w:name="_Toc515956475"/>
      <w:r>
        <w:rPr>
          <w:rFonts w:hint="eastAsia" w:eastAsia="宋体"/>
          <w:sz w:val="30"/>
          <w:szCs w:val="30"/>
        </w:rPr>
        <w:t>镇域产业发展规划</w:t>
      </w:r>
      <w:bookmarkEnd w:id="6"/>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产业发展定位</w:t>
      </w:r>
    </w:p>
    <w:p>
      <w:pPr>
        <w:spacing w:line="360" w:lineRule="auto"/>
        <w:ind w:right="103" w:rightChars="49" w:firstLine="560" w:firstLineChars="200"/>
        <w:rPr>
          <w:rFonts w:ascii="宋体" w:hAnsi="宋体"/>
          <w:sz w:val="28"/>
          <w:szCs w:val="28"/>
        </w:rPr>
      </w:pPr>
      <w:r>
        <w:rPr>
          <w:rFonts w:hint="eastAsia" w:ascii="宋体" w:hAnsi="宋体"/>
          <w:sz w:val="28"/>
          <w:szCs w:val="28"/>
        </w:rPr>
        <w:t>利用本镇区位优势和自然条件，大力发展现代农业和生态旅游业，将兴隆镇建设成为重庆市近郊的现代化农业中心城镇。</w:t>
      </w:r>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产业发展规划</w:t>
      </w:r>
    </w:p>
    <w:p>
      <w:pPr>
        <w:spacing w:line="360" w:lineRule="auto"/>
        <w:ind w:firstLine="560" w:firstLineChars="200"/>
        <w:rPr>
          <w:rFonts w:ascii="宋体" w:hAnsi="宋体"/>
          <w:sz w:val="28"/>
          <w:szCs w:val="28"/>
        </w:rPr>
      </w:pPr>
      <w:r>
        <w:rPr>
          <w:rFonts w:hint="eastAsia" w:ascii="宋体" w:hAnsi="宋体"/>
          <w:sz w:val="28"/>
          <w:szCs w:val="28"/>
        </w:rPr>
        <w:t>第一产业：依托科技，加大投入杨梅、药材、五黑特色粮油和优质蔬菜等产业，使全镇的特色生态农业充分发挥优势。</w:t>
      </w:r>
    </w:p>
    <w:p>
      <w:pPr>
        <w:spacing w:line="360" w:lineRule="auto"/>
        <w:ind w:right="103" w:rightChars="49" w:firstLine="560" w:firstLineChars="200"/>
        <w:rPr>
          <w:rFonts w:ascii="宋体" w:hAnsi="宋体"/>
          <w:sz w:val="28"/>
          <w:szCs w:val="28"/>
        </w:rPr>
      </w:pPr>
      <w:r>
        <w:rPr>
          <w:rFonts w:hint="eastAsia" w:ascii="宋体" w:hAnsi="宋体"/>
          <w:sz w:val="28"/>
          <w:szCs w:val="28"/>
        </w:rPr>
        <w:t>第三产业：大力发展生态养生观光型旅游业。依托南天门森林公园，杨梅主题公园、渝北区国家农业科技园区等本底资源，大力发展生态养生观光型旅游业。</w:t>
      </w:r>
    </w:p>
    <w:p>
      <w:pPr>
        <w:numPr>
          <w:ilvl w:val="0"/>
          <w:numId w:val="4"/>
        </w:numPr>
        <w:spacing w:after="240" w:afterLines="100" w:line="480" w:lineRule="exact"/>
        <w:rPr>
          <w:rFonts w:ascii="黑体" w:hAnsi="黑体" w:eastAsia="黑体"/>
          <w:b/>
          <w:sz w:val="28"/>
          <w:szCs w:val="28"/>
        </w:rPr>
      </w:pPr>
      <w:r>
        <w:rPr>
          <w:rFonts w:hint="eastAsia" w:ascii="黑体" w:hAnsi="黑体" w:eastAsia="黑体"/>
          <w:b/>
          <w:sz w:val="28"/>
          <w:szCs w:val="28"/>
        </w:rPr>
        <w:t>产业空间发展策略</w:t>
      </w:r>
    </w:p>
    <w:p>
      <w:pPr>
        <w:spacing w:line="360" w:lineRule="auto"/>
        <w:ind w:firstLine="420"/>
        <w:rPr>
          <w:rFonts w:ascii="宋体" w:hAnsi="宋体"/>
          <w:sz w:val="28"/>
          <w:szCs w:val="28"/>
        </w:rPr>
      </w:pPr>
      <w:r>
        <w:rPr>
          <w:rFonts w:hint="eastAsia" w:ascii="宋体" w:hAnsi="宋体"/>
          <w:sz w:val="28"/>
          <w:szCs w:val="28"/>
        </w:rPr>
        <w:t>生态养生休闲旅游区：以龙平村、南天门村、杜家村、黄葛村为中心发展山地观光旅游、休闲旅游和观光农业的生态养生休闲旅游区。</w:t>
      </w:r>
    </w:p>
    <w:p>
      <w:pPr>
        <w:spacing w:line="360" w:lineRule="auto"/>
        <w:ind w:firstLine="420"/>
        <w:rPr>
          <w:rFonts w:ascii="宋体" w:hAnsi="宋体"/>
          <w:sz w:val="28"/>
          <w:szCs w:val="28"/>
        </w:rPr>
      </w:pPr>
      <w:r>
        <w:rPr>
          <w:rFonts w:hint="eastAsia" w:ascii="宋体" w:hAnsi="宋体"/>
          <w:sz w:val="28"/>
          <w:szCs w:val="28"/>
        </w:rPr>
        <w:t>观光体验农业区：以东北部发扬村为中心发展观光体验农业区。</w:t>
      </w:r>
    </w:p>
    <w:p>
      <w:pPr>
        <w:spacing w:line="360" w:lineRule="auto"/>
        <w:ind w:firstLine="420"/>
        <w:rPr>
          <w:rFonts w:ascii="宋体" w:hAnsi="宋体"/>
          <w:sz w:val="28"/>
          <w:szCs w:val="28"/>
        </w:rPr>
      </w:pPr>
      <w:r>
        <w:rPr>
          <w:rFonts w:hint="eastAsia" w:ascii="宋体" w:hAnsi="宋体"/>
          <w:sz w:val="28"/>
          <w:szCs w:val="28"/>
        </w:rPr>
        <w:t>国家农业科技园区：以广佛村、龙寨村和徐堡村为中心发展现代都市农业区。</w:t>
      </w:r>
    </w:p>
    <w:p>
      <w:pPr>
        <w:spacing w:line="360" w:lineRule="auto"/>
        <w:ind w:firstLine="420"/>
        <w:rPr>
          <w:rFonts w:ascii="宋体" w:hAnsi="宋体"/>
          <w:sz w:val="28"/>
          <w:szCs w:val="28"/>
        </w:rPr>
      </w:pPr>
      <w:r>
        <w:rPr>
          <w:rFonts w:hint="eastAsia" w:ascii="宋体" w:hAnsi="宋体"/>
          <w:sz w:val="28"/>
          <w:szCs w:val="28"/>
        </w:rPr>
        <w:t>行政商贸服务中心：以镇区和永庆社区为中心，配套发展旅游配套服务、商贸物流和农产品加工及交易等产业的行政文化商贸中心。</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旅游产业发展规划</w:t>
      </w:r>
    </w:p>
    <w:p>
      <w:pPr>
        <w:spacing w:line="360" w:lineRule="auto"/>
        <w:ind w:firstLine="480"/>
        <w:rPr>
          <w:rFonts w:ascii="宋体" w:hAnsi="宋体"/>
          <w:sz w:val="28"/>
          <w:szCs w:val="28"/>
        </w:rPr>
      </w:pPr>
      <w:r>
        <w:rPr>
          <w:rFonts w:hint="eastAsia" w:ascii="宋体" w:hAnsi="宋体"/>
          <w:sz w:val="28"/>
          <w:szCs w:val="28"/>
        </w:rPr>
        <w:t>1、旅游空间规划</w:t>
      </w:r>
    </w:p>
    <w:p>
      <w:pPr>
        <w:spacing w:line="360" w:lineRule="auto"/>
        <w:ind w:firstLine="480"/>
        <w:rPr>
          <w:rFonts w:ascii="宋体" w:hAnsi="宋体"/>
          <w:sz w:val="28"/>
          <w:szCs w:val="28"/>
        </w:rPr>
      </w:pPr>
      <w:r>
        <w:rPr>
          <w:rFonts w:hint="eastAsia" w:ascii="宋体" w:hAnsi="宋体"/>
          <w:sz w:val="28"/>
          <w:szCs w:val="28"/>
        </w:rPr>
        <w:t>生态养生休闲旅游区：即原210国道以西区域。区域内配套与生态旅游相关的游憩设施，与茨竹森林避暑和伏季水果带协调统一。</w:t>
      </w:r>
    </w:p>
    <w:p>
      <w:pPr>
        <w:spacing w:line="360" w:lineRule="auto"/>
        <w:ind w:firstLine="480"/>
        <w:rPr>
          <w:rFonts w:ascii="宋体" w:hAnsi="宋体"/>
          <w:sz w:val="28"/>
          <w:szCs w:val="28"/>
        </w:rPr>
      </w:pPr>
      <w:r>
        <w:rPr>
          <w:rFonts w:hint="eastAsia" w:ascii="宋体" w:hAnsi="宋体"/>
          <w:sz w:val="28"/>
          <w:szCs w:val="28"/>
        </w:rPr>
        <w:t>观光体验旅游区：即天堡寨村、发扬村、永庆村三村。利用现有的自然景观，将其建成集观赏、品尝、休闲、度假功能于一体的生态园。</w:t>
      </w:r>
    </w:p>
    <w:p>
      <w:pPr>
        <w:spacing w:line="360" w:lineRule="auto"/>
        <w:ind w:firstLine="480"/>
        <w:rPr>
          <w:rFonts w:ascii="宋体" w:hAnsi="宋体"/>
          <w:sz w:val="28"/>
          <w:szCs w:val="28"/>
        </w:rPr>
      </w:pPr>
      <w:r>
        <w:rPr>
          <w:rFonts w:hint="eastAsia" w:ascii="宋体" w:hAnsi="宋体"/>
          <w:sz w:val="28"/>
          <w:szCs w:val="28"/>
        </w:rPr>
        <w:t>现代都市旅游区：即为农业科技园区一期范围。打造创意集市、世界风情农庄、休闲耕种园地、农副产品展示区以及高端农业培育基地等，构建现代高端农业生态样板，展示科普、观光、生产、休闲的功能。</w:t>
      </w:r>
    </w:p>
    <w:p>
      <w:pPr>
        <w:spacing w:line="360" w:lineRule="auto"/>
        <w:ind w:firstLine="480"/>
        <w:rPr>
          <w:rFonts w:ascii="宋体" w:hAnsi="宋体"/>
          <w:sz w:val="28"/>
          <w:szCs w:val="28"/>
        </w:rPr>
      </w:pPr>
      <w:r>
        <w:rPr>
          <w:rFonts w:hint="eastAsia" w:ascii="宋体" w:hAnsi="宋体"/>
          <w:sz w:val="28"/>
          <w:szCs w:val="28"/>
        </w:rPr>
        <w:t>镇区旅游集散中心：即镇区。依托镇区的集散功能，配套与旅游相关的商业网点、特产销售、餐饮娱乐、养老休闲、旅游住宿等设施，打造富有浓郁地方生活气息的商业服务系统，扩大辐射范围。</w:t>
      </w:r>
    </w:p>
    <w:p>
      <w:pPr>
        <w:spacing w:line="360" w:lineRule="auto"/>
        <w:ind w:firstLine="480"/>
        <w:rPr>
          <w:rFonts w:ascii="宋体" w:hAnsi="宋体"/>
          <w:sz w:val="28"/>
          <w:szCs w:val="28"/>
        </w:rPr>
      </w:pPr>
      <w:r>
        <w:rPr>
          <w:rFonts w:hint="eastAsia" w:ascii="宋体" w:hAnsi="宋体"/>
          <w:sz w:val="28"/>
          <w:szCs w:val="28"/>
        </w:rPr>
        <w:t>2、旅游线路规划</w:t>
      </w:r>
    </w:p>
    <w:p>
      <w:pPr>
        <w:spacing w:line="360" w:lineRule="auto"/>
        <w:ind w:firstLine="560" w:firstLineChars="200"/>
        <w:rPr>
          <w:rFonts w:ascii="宋体" w:hAnsi="宋体"/>
          <w:sz w:val="28"/>
          <w:szCs w:val="28"/>
        </w:rPr>
      </w:pPr>
      <w:r>
        <w:rPr>
          <w:rFonts w:hint="eastAsia" w:ascii="宋体" w:hAnsi="宋体"/>
          <w:sz w:val="28"/>
          <w:szCs w:val="28"/>
        </w:rPr>
        <w:t>对外旅游线路规划：以原210国道、2</w:t>
      </w:r>
      <w:r>
        <w:rPr>
          <w:rFonts w:ascii="宋体" w:hAnsi="宋体"/>
          <w:sz w:val="28"/>
          <w:szCs w:val="28"/>
        </w:rPr>
        <w:t>10</w:t>
      </w:r>
      <w:r>
        <w:rPr>
          <w:rFonts w:hint="eastAsia" w:ascii="宋体" w:hAnsi="宋体"/>
          <w:sz w:val="28"/>
          <w:szCs w:val="28"/>
        </w:rPr>
        <w:t>国道（南北大道）和三环高速路为主。原210国道、2</w:t>
      </w:r>
      <w:r>
        <w:rPr>
          <w:rFonts w:ascii="宋体" w:hAnsi="宋体"/>
          <w:sz w:val="28"/>
          <w:szCs w:val="28"/>
        </w:rPr>
        <w:t>10</w:t>
      </w:r>
      <w:r>
        <w:rPr>
          <w:rFonts w:hint="eastAsia" w:ascii="宋体" w:hAnsi="宋体"/>
          <w:sz w:val="28"/>
          <w:szCs w:val="28"/>
        </w:rPr>
        <w:t>国道（南北大道）南北向串联花卉苗木基地、杨梅基地、李子产业园区及国家农业科技园区等观光体验型景点。三环高速串联东西向景点与周边乡镇的旅游景观资源。</w:t>
      </w:r>
    </w:p>
    <w:p>
      <w:pPr>
        <w:spacing w:line="360" w:lineRule="auto"/>
        <w:ind w:firstLine="560" w:firstLineChars="200"/>
        <w:rPr>
          <w:rFonts w:ascii="宋体" w:hAnsi="宋体"/>
          <w:sz w:val="28"/>
          <w:szCs w:val="28"/>
        </w:rPr>
      </w:pPr>
      <w:r>
        <w:rPr>
          <w:rFonts w:hint="eastAsia" w:ascii="宋体" w:hAnsi="宋体"/>
          <w:sz w:val="28"/>
          <w:szCs w:val="28"/>
        </w:rPr>
        <w:t>内部旅游线路规划：以各村道为基础，连接镇区、永庆、发扬等集散中心与各个景点，串联起观音洞水库、南天门森林公园、后河、农业科技园区、杨梅主题公园等景观资源。</w:t>
      </w:r>
    </w:p>
    <w:p>
      <w:pPr>
        <w:pStyle w:val="3"/>
        <w:numPr>
          <w:ilvl w:val="0"/>
          <w:numId w:val="5"/>
        </w:numPr>
        <w:jc w:val="center"/>
        <w:rPr>
          <w:rFonts w:eastAsia="宋体"/>
          <w:sz w:val="30"/>
          <w:szCs w:val="30"/>
        </w:rPr>
      </w:pPr>
      <w:bookmarkStart w:id="7" w:name="_Toc215494651"/>
      <w:bookmarkStart w:id="8" w:name="_Toc515956476"/>
      <w:r>
        <w:rPr>
          <w:rFonts w:hint="eastAsia" w:eastAsia="宋体"/>
          <w:sz w:val="30"/>
          <w:szCs w:val="30"/>
        </w:rPr>
        <w:t>镇域综合交通规划</w:t>
      </w:r>
      <w:bookmarkEnd w:id="7"/>
      <w:bookmarkEnd w:id="8"/>
    </w:p>
    <w:p>
      <w:pPr>
        <w:numPr>
          <w:ilvl w:val="0"/>
          <w:numId w:val="4"/>
        </w:numPr>
        <w:spacing w:line="360" w:lineRule="auto"/>
        <w:rPr>
          <w:b/>
          <w:sz w:val="28"/>
          <w:szCs w:val="28"/>
        </w:rPr>
      </w:pPr>
      <w:r>
        <w:rPr>
          <w:rFonts w:hint="eastAsia" w:ascii="黑体" w:hAnsi="黑体" w:eastAsia="黑体"/>
          <w:b/>
          <w:sz w:val="28"/>
          <w:szCs w:val="28"/>
        </w:rPr>
        <w:t>综合交通发展目标</w:t>
      </w:r>
    </w:p>
    <w:p>
      <w:pPr>
        <w:spacing w:line="360" w:lineRule="auto"/>
        <w:ind w:firstLine="560" w:firstLineChars="200"/>
        <w:rPr>
          <w:rFonts w:ascii="宋体" w:hAnsi="宋体"/>
          <w:sz w:val="28"/>
          <w:szCs w:val="28"/>
        </w:rPr>
      </w:pPr>
      <w:r>
        <w:rPr>
          <w:rFonts w:hint="eastAsia" w:ascii="宋体" w:hAnsi="宋体"/>
          <w:sz w:val="28"/>
          <w:szCs w:val="28"/>
        </w:rPr>
        <w:t>充分利用兴隆镇与渝北区近距离的区位优势，加强兴隆镇与周边城镇群的交通运输能力，构筑城乡统筹发展、客货有机分离、高效、安全、集约、可持续、一体化的交通运输系统，形成渝北区的重要交通枢纽。规划镇区与渝北主城区实现30分钟通达。</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公路规划</w:t>
      </w:r>
    </w:p>
    <w:p>
      <w:pPr>
        <w:spacing w:line="360" w:lineRule="auto"/>
        <w:ind w:firstLine="480"/>
        <w:rPr>
          <w:rFonts w:ascii="宋体" w:hAnsi="宋体"/>
          <w:sz w:val="28"/>
          <w:szCs w:val="28"/>
        </w:rPr>
      </w:pPr>
      <w:r>
        <w:rPr>
          <w:rFonts w:hint="eastAsia" w:ascii="宋体" w:hAnsi="宋体"/>
          <w:sz w:val="28"/>
          <w:szCs w:val="28"/>
        </w:rPr>
        <w:t>高速公路：三环高速公路东西向横穿兴隆镇域南端，并于红星水库南侧设置立交，与2</w:t>
      </w:r>
      <w:r>
        <w:rPr>
          <w:rFonts w:ascii="宋体" w:hAnsi="宋体"/>
          <w:sz w:val="28"/>
          <w:szCs w:val="28"/>
        </w:rPr>
        <w:t>10</w:t>
      </w:r>
      <w:r>
        <w:rPr>
          <w:rFonts w:hint="eastAsia" w:ascii="宋体" w:hAnsi="宋体"/>
          <w:sz w:val="28"/>
          <w:szCs w:val="28"/>
        </w:rPr>
        <w:t>国道（南北大道）连接。</w:t>
      </w:r>
    </w:p>
    <w:p>
      <w:pPr>
        <w:spacing w:line="360" w:lineRule="auto"/>
        <w:ind w:firstLine="480"/>
        <w:rPr>
          <w:rFonts w:ascii="宋体" w:hAnsi="宋体"/>
          <w:sz w:val="28"/>
          <w:szCs w:val="28"/>
        </w:rPr>
      </w:pPr>
      <w:r>
        <w:rPr>
          <w:rFonts w:hint="eastAsia" w:ascii="宋体" w:hAnsi="宋体"/>
          <w:sz w:val="28"/>
          <w:szCs w:val="28"/>
        </w:rPr>
        <w:t>一级公路：210国道（南北大道），现渝北城区至兴古路段已实现通车，与兴古路实现平交，是兴隆镇进入渝北城区的重要通道，北段线型纵向穿过兴隆镇东侧。</w:t>
      </w:r>
    </w:p>
    <w:p>
      <w:pPr>
        <w:spacing w:line="360" w:lineRule="auto"/>
        <w:ind w:firstLine="480"/>
        <w:rPr>
          <w:rFonts w:ascii="宋体" w:hAnsi="宋体"/>
          <w:sz w:val="28"/>
          <w:szCs w:val="28"/>
        </w:rPr>
      </w:pPr>
      <w:r>
        <w:rPr>
          <w:rFonts w:hint="eastAsia" w:ascii="宋体" w:hAnsi="宋体"/>
          <w:sz w:val="28"/>
          <w:szCs w:val="28"/>
        </w:rPr>
        <w:t>二级公路：351国道及原210国道。保留原210国道，镇区部分路段改造为城市道路。将三兴路和兴古路升级改造为351国道。农业科技园区大环线升级改造为二级公路。</w:t>
      </w:r>
    </w:p>
    <w:p>
      <w:pPr>
        <w:spacing w:line="360" w:lineRule="auto"/>
        <w:ind w:firstLine="480"/>
        <w:rPr>
          <w:rFonts w:ascii="宋体" w:hAnsi="宋体"/>
          <w:sz w:val="28"/>
          <w:szCs w:val="28"/>
        </w:rPr>
      </w:pPr>
      <w:r>
        <w:rPr>
          <w:rFonts w:hint="eastAsia" w:ascii="宋体" w:hAnsi="宋体"/>
          <w:sz w:val="28"/>
          <w:szCs w:val="28"/>
        </w:rPr>
        <w:t>四级公路：</w:t>
      </w:r>
    </w:p>
    <w:p>
      <w:pPr>
        <w:spacing w:line="360" w:lineRule="auto"/>
        <w:ind w:firstLine="480"/>
        <w:rPr>
          <w:rFonts w:ascii="宋体" w:hAnsi="宋体"/>
          <w:sz w:val="28"/>
          <w:szCs w:val="28"/>
        </w:rPr>
      </w:pPr>
      <w:r>
        <w:rPr>
          <w:rFonts w:hint="eastAsia" w:ascii="宋体" w:hAnsi="宋体"/>
          <w:sz w:val="28"/>
          <w:szCs w:val="28"/>
        </w:rPr>
        <w:t>永高路等道路：规划部分路段截弯取直进行路线优化。</w:t>
      </w:r>
    </w:p>
    <w:p>
      <w:pPr>
        <w:spacing w:line="360" w:lineRule="auto"/>
        <w:ind w:firstLine="480"/>
        <w:rPr>
          <w:rFonts w:ascii="宋体" w:hAnsi="宋体"/>
          <w:sz w:val="28"/>
          <w:szCs w:val="28"/>
        </w:rPr>
      </w:pPr>
      <w:r>
        <w:rPr>
          <w:rFonts w:hint="eastAsia" w:ascii="宋体" w:hAnsi="宋体"/>
          <w:sz w:val="28"/>
          <w:szCs w:val="28"/>
        </w:rPr>
        <w:t>其余乡道以及通村公路改造达到四级道路标准。</w:t>
      </w:r>
    </w:p>
    <w:p>
      <w:pPr>
        <w:numPr>
          <w:ilvl w:val="0"/>
          <w:numId w:val="4"/>
        </w:numPr>
        <w:spacing w:line="360" w:lineRule="auto"/>
        <w:rPr>
          <w:b/>
          <w:sz w:val="28"/>
          <w:szCs w:val="28"/>
        </w:rPr>
      </w:pPr>
      <w:r>
        <w:rPr>
          <w:rFonts w:hint="eastAsia" w:ascii="黑体" w:hAnsi="黑体" w:eastAsia="黑体"/>
          <w:b/>
          <w:sz w:val="28"/>
          <w:szCs w:val="28"/>
        </w:rPr>
        <w:t>道路红线控制措施</w:t>
      </w:r>
    </w:p>
    <w:p>
      <w:pPr>
        <w:spacing w:line="360" w:lineRule="auto"/>
        <w:ind w:firstLine="480"/>
        <w:rPr>
          <w:rFonts w:ascii="宋体" w:hAnsi="宋体"/>
          <w:sz w:val="28"/>
          <w:szCs w:val="28"/>
        </w:rPr>
      </w:pPr>
      <w:r>
        <w:rPr>
          <w:rFonts w:hint="eastAsia" w:ascii="宋体" w:hAnsi="宋体"/>
          <w:b/>
          <w:bCs/>
          <w:sz w:val="28"/>
          <w:szCs w:val="28"/>
        </w:rPr>
        <w:t>公路建筑控制区的范围，从公路用地外缘起向外的距离标准为：国道不少于20米；省道不少于15米；县道不少于10米；乡道不少于5米。公路弯道内侧、互通立交以及平面交叉道口的建筑控制区范围根据安全视距等要求确定。</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交通设施规划</w:t>
      </w:r>
    </w:p>
    <w:p>
      <w:pPr>
        <w:spacing w:line="360" w:lineRule="auto"/>
        <w:ind w:firstLine="480"/>
        <w:rPr>
          <w:rFonts w:ascii="宋体" w:hAnsi="宋体"/>
          <w:sz w:val="28"/>
          <w:szCs w:val="28"/>
        </w:rPr>
      </w:pPr>
      <w:r>
        <w:rPr>
          <w:rFonts w:hint="eastAsia" w:ascii="宋体" w:hAnsi="宋体"/>
          <w:b/>
          <w:bCs/>
          <w:sz w:val="28"/>
          <w:szCs w:val="28"/>
        </w:rPr>
        <w:t>规划在兴隆镇区设置1处公交首末站</w:t>
      </w:r>
      <w:r>
        <w:rPr>
          <w:rFonts w:hint="eastAsia" w:ascii="宋体" w:hAnsi="宋体"/>
          <w:sz w:val="28"/>
          <w:szCs w:val="28"/>
        </w:rPr>
        <w:t>，地块编号B06-2/01，占地面积为0.54公顷，以满足区域内外交通设施建设的需求。</w:t>
      </w:r>
    </w:p>
    <w:p>
      <w:pPr>
        <w:spacing w:line="360" w:lineRule="auto"/>
        <w:ind w:firstLine="480"/>
        <w:rPr>
          <w:rFonts w:ascii="宋体" w:hAnsi="宋体"/>
          <w:sz w:val="28"/>
          <w:szCs w:val="28"/>
        </w:rPr>
      </w:pPr>
      <w:r>
        <w:rPr>
          <w:rFonts w:hint="eastAsia" w:ascii="宋体" w:hAnsi="宋体"/>
          <w:b/>
          <w:bCs/>
          <w:sz w:val="28"/>
          <w:szCs w:val="28"/>
        </w:rPr>
        <w:t>规划在镇区设置2处社会停车场</w:t>
      </w:r>
      <w:r>
        <w:rPr>
          <w:rFonts w:hint="eastAsia" w:ascii="宋体" w:hAnsi="宋体"/>
          <w:sz w:val="28"/>
          <w:szCs w:val="28"/>
        </w:rPr>
        <w:t>，地块A05-6/01和A15-4/01，占地面积分别为0.37公顷和0.34公顷。</w:t>
      </w:r>
    </w:p>
    <w:p>
      <w:pPr>
        <w:spacing w:line="360" w:lineRule="auto"/>
        <w:ind w:firstLine="480"/>
        <w:rPr>
          <w:rFonts w:ascii="宋体" w:hAnsi="宋体"/>
          <w:sz w:val="28"/>
          <w:szCs w:val="28"/>
        </w:rPr>
      </w:pPr>
      <w:r>
        <w:rPr>
          <w:rFonts w:hint="eastAsia" w:ascii="宋体" w:hAnsi="宋体"/>
          <w:b/>
          <w:bCs/>
          <w:sz w:val="28"/>
          <w:szCs w:val="28"/>
        </w:rPr>
        <w:t>规划在农业科技园区设置1处社会停车场</w:t>
      </w:r>
      <w:r>
        <w:rPr>
          <w:rFonts w:hint="eastAsia" w:ascii="宋体" w:hAnsi="宋体"/>
          <w:sz w:val="28"/>
          <w:szCs w:val="28"/>
        </w:rPr>
        <w:t>，地块B04-1/01，占地面积0.39公顷。</w:t>
      </w:r>
    </w:p>
    <w:p>
      <w:pPr>
        <w:spacing w:line="360" w:lineRule="auto"/>
        <w:ind w:firstLine="480"/>
        <w:rPr>
          <w:rFonts w:ascii="宋体" w:hAnsi="宋体"/>
          <w:sz w:val="28"/>
          <w:szCs w:val="28"/>
        </w:rPr>
      </w:pPr>
      <w:r>
        <w:rPr>
          <w:rFonts w:hint="eastAsia" w:ascii="宋体" w:hAnsi="宋体"/>
          <w:b/>
          <w:bCs/>
          <w:sz w:val="28"/>
          <w:szCs w:val="28"/>
        </w:rPr>
        <w:t>规划农业科技园区设置加油站1处，</w:t>
      </w:r>
      <w:r>
        <w:rPr>
          <w:rFonts w:hint="eastAsia" w:ascii="宋体" w:hAnsi="宋体"/>
          <w:sz w:val="28"/>
          <w:szCs w:val="28"/>
        </w:rPr>
        <w:t>地块B09-3/01，占地面积为0.37公顷。</w:t>
      </w:r>
    </w:p>
    <w:p>
      <w:pPr>
        <w:pStyle w:val="3"/>
        <w:numPr>
          <w:ilvl w:val="0"/>
          <w:numId w:val="5"/>
        </w:numPr>
        <w:jc w:val="center"/>
        <w:rPr>
          <w:rFonts w:eastAsia="宋体"/>
          <w:sz w:val="30"/>
          <w:szCs w:val="30"/>
        </w:rPr>
      </w:pPr>
      <w:bookmarkStart w:id="9" w:name="_Toc215494652"/>
      <w:bookmarkStart w:id="10" w:name="_Toc515956477"/>
      <w:r>
        <w:rPr>
          <w:rFonts w:hint="eastAsia" w:eastAsia="宋体"/>
          <w:sz w:val="30"/>
          <w:szCs w:val="30"/>
        </w:rPr>
        <w:t>镇域</w:t>
      </w:r>
      <w:bookmarkEnd w:id="9"/>
      <w:r>
        <w:rPr>
          <w:rFonts w:hint="eastAsia" w:eastAsia="宋体"/>
          <w:sz w:val="30"/>
          <w:szCs w:val="30"/>
        </w:rPr>
        <w:t>重大市政基础设施规划</w:t>
      </w:r>
      <w:bookmarkEnd w:id="10"/>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电力工程规划</w:t>
      </w:r>
    </w:p>
    <w:p>
      <w:pPr>
        <w:spacing w:line="360" w:lineRule="auto"/>
        <w:ind w:firstLine="480"/>
        <w:rPr>
          <w:rFonts w:ascii="宋体" w:hAnsi="宋体"/>
          <w:sz w:val="28"/>
          <w:szCs w:val="28"/>
        </w:rPr>
      </w:pPr>
      <w:r>
        <w:rPr>
          <w:rFonts w:hint="eastAsia" w:ascii="宋体" w:hAnsi="宋体"/>
          <w:sz w:val="28"/>
          <w:szCs w:val="28"/>
        </w:rPr>
        <w:t>规划预测</w:t>
      </w:r>
      <w:r>
        <w:rPr>
          <w:rFonts w:hint="eastAsia" w:asciiTheme="minorEastAsia" w:hAnsiTheme="minorEastAsia"/>
          <w:sz w:val="28"/>
          <w:szCs w:val="28"/>
        </w:rPr>
        <w:t>至2035年兴隆镇总用电负荷为3.9万千瓦。</w:t>
      </w:r>
    </w:p>
    <w:p>
      <w:pPr>
        <w:spacing w:line="360" w:lineRule="auto"/>
        <w:ind w:right="103" w:rightChars="49" w:firstLine="560" w:firstLineChars="200"/>
        <w:rPr>
          <w:rFonts w:asciiTheme="minorEastAsia" w:hAnsiTheme="minorEastAsia"/>
          <w:sz w:val="28"/>
          <w:szCs w:val="28"/>
        </w:rPr>
      </w:pPr>
      <w:r>
        <w:rPr>
          <w:rFonts w:hint="eastAsia" w:asciiTheme="minorEastAsia" w:hAnsiTheme="minorEastAsia"/>
          <w:sz w:val="28"/>
          <w:szCs w:val="28"/>
        </w:rPr>
        <w:t>结合兴隆镇镇域各村的用电负荷分布情况，根据镇区及各村经济发展和用电量，确保镇区及各村供电的安全性、稳定性和可靠性，以及供配电进出线走廊的畅通，规划新建110千伏兴隆变电站，装机容量为2×50兆伏安，110千伏电源引自110千伏古路变电站。</w:t>
      </w:r>
    </w:p>
    <w:p>
      <w:pPr>
        <w:spacing w:line="360" w:lineRule="auto"/>
        <w:ind w:firstLine="480"/>
        <w:rPr>
          <w:rFonts w:ascii="宋体" w:hAnsi="宋体"/>
          <w:sz w:val="28"/>
          <w:szCs w:val="28"/>
        </w:rPr>
      </w:pPr>
      <w:r>
        <w:rPr>
          <w:rFonts w:hint="eastAsia" w:ascii="宋体" w:hAnsi="宋体"/>
          <w:sz w:val="28"/>
          <w:szCs w:val="28"/>
        </w:rPr>
        <w:t>规划要求加强农电设施的维护和管理，注意农户低压线路的改造与更新，提高供电可靠性。</w:t>
      </w:r>
    </w:p>
    <w:p>
      <w:pPr>
        <w:spacing w:line="360" w:lineRule="auto"/>
        <w:ind w:firstLine="480"/>
        <w:rPr>
          <w:rFonts w:ascii="宋体" w:hAnsi="宋体"/>
          <w:sz w:val="28"/>
          <w:szCs w:val="28"/>
        </w:rPr>
      </w:pPr>
      <w:r>
        <w:rPr>
          <w:rFonts w:hint="eastAsia" w:ascii="宋体" w:hAnsi="宋体"/>
          <w:sz w:val="28"/>
          <w:szCs w:val="28"/>
        </w:rPr>
        <w:t>根据《重庆市主城区输变电和配变电设施布局规划(2015-2020)》中，兴隆镇域范围内牛皇村内布局兴隆规划直流特高压换流站，占地面积约2</w:t>
      </w:r>
      <w:r>
        <w:rPr>
          <w:rFonts w:ascii="宋体" w:hAnsi="宋体"/>
          <w:sz w:val="28"/>
          <w:szCs w:val="28"/>
        </w:rPr>
        <w:t>0</w:t>
      </w:r>
      <w:r>
        <w:rPr>
          <w:rFonts w:hint="eastAsia" w:ascii="宋体" w:hAnsi="宋体"/>
          <w:sz w:val="28"/>
          <w:szCs w:val="28"/>
        </w:rPr>
        <w:t>公顷，规划控制2档1</w:t>
      </w:r>
      <w:r>
        <w:rPr>
          <w:rFonts w:ascii="宋体" w:hAnsi="宋体"/>
          <w:sz w:val="28"/>
          <w:szCs w:val="28"/>
        </w:rPr>
        <w:t>10kv</w:t>
      </w:r>
      <w:r>
        <w:rPr>
          <w:rFonts w:hint="eastAsia" w:ascii="宋体" w:hAnsi="宋体"/>
          <w:sz w:val="28"/>
          <w:szCs w:val="28"/>
        </w:rPr>
        <w:t>、</w:t>
      </w:r>
      <w:r>
        <w:rPr>
          <w:rFonts w:ascii="宋体" w:hAnsi="宋体"/>
          <w:sz w:val="28"/>
          <w:szCs w:val="28"/>
        </w:rPr>
        <w:t>7</w:t>
      </w:r>
      <w:r>
        <w:rPr>
          <w:rFonts w:hint="eastAsia" w:ascii="宋体" w:hAnsi="宋体"/>
          <w:sz w:val="28"/>
          <w:szCs w:val="28"/>
        </w:rPr>
        <w:t>档5</w:t>
      </w:r>
      <w:r>
        <w:rPr>
          <w:rFonts w:ascii="宋体" w:hAnsi="宋体"/>
          <w:sz w:val="28"/>
          <w:szCs w:val="28"/>
        </w:rPr>
        <w:t>00kv</w:t>
      </w:r>
      <w:r>
        <w:rPr>
          <w:rFonts w:hint="eastAsia" w:ascii="宋体" w:hAnsi="宋体"/>
          <w:sz w:val="28"/>
          <w:szCs w:val="28"/>
        </w:rPr>
        <w:t>高压电力走廊和1档新疆哈密北至重庆的直流特高压电力走廊。高压架空电力线路与邻近通信设施和建筑物之间的防护间距，应符合现行国家标准的相关规定。</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给水工程规划</w:t>
      </w:r>
    </w:p>
    <w:p>
      <w:pPr>
        <w:spacing w:line="360" w:lineRule="auto"/>
        <w:ind w:firstLine="480"/>
        <w:rPr>
          <w:rFonts w:ascii="宋体" w:hAnsi="宋体"/>
          <w:sz w:val="28"/>
          <w:szCs w:val="28"/>
        </w:rPr>
      </w:pPr>
      <w:r>
        <w:rPr>
          <w:rFonts w:hint="eastAsia" w:asciiTheme="minorEastAsia" w:hAnsiTheme="minorEastAsia"/>
          <w:sz w:val="28"/>
          <w:szCs w:val="28"/>
        </w:rPr>
        <w:t>规划至2035年，兴隆镇镇域总用水量为1.2万立方米/日。</w:t>
      </w:r>
    </w:p>
    <w:p>
      <w:pPr>
        <w:spacing w:line="360" w:lineRule="auto"/>
        <w:ind w:firstLine="480"/>
        <w:rPr>
          <w:rFonts w:ascii="宋体" w:hAnsi="宋体"/>
          <w:sz w:val="28"/>
          <w:szCs w:val="28"/>
        </w:rPr>
      </w:pPr>
      <w:r>
        <w:rPr>
          <w:rFonts w:hint="eastAsia" w:asciiTheme="minorEastAsia" w:hAnsiTheme="minorEastAsia"/>
          <w:sz w:val="28"/>
          <w:szCs w:val="28"/>
        </w:rPr>
        <w:t>给水设施及网络系统规划：近期保留现状兴隆水厂；远期用水由木耳镇牛头岩水厂主管网延伸至兴隆镇进行供水。其余各村根据人口分布情况，以地下水或山间溪流为水源，就近取用符合饮用水标准的水源，修建规模不等的供水设施，逐步普及村庄自来水。建立饮用水监测机制，保证饮水卫生。</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排水工程规划</w:t>
      </w:r>
    </w:p>
    <w:p>
      <w:pPr>
        <w:spacing w:line="360" w:lineRule="auto"/>
        <w:ind w:firstLine="480"/>
        <w:rPr>
          <w:rFonts w:asciiTheme="minorEastAsia" w:hAnsiTheme="minorEastAsia"/>
          <w:sz w:val="28"/>
          <w:szCs w:val="28"/>
        </w:rPr>
      </w:pPr>
      <w:r>
        <w:rPr>
          <w:rFonts w:hint="eastAsia" w:ascii="宋体" w:hAnsi="宋体"/>
          <w:sz w:val="28"/>
          <w:szCs w:val="28"/>
        </w:rPr>
        <w:t>镇区及中心村采用雨、污分流排水体制；</w:t>
      </w:r>
      <w:r>
        <w:rPr>
          <w:rFonts w:hint="eastAsia" w:asciiTheme="minorEastAsia" w:hAnsiTheme="minorEastAsia"/>
          <w:sz w:val="28"/>
          <w:szCs w:val="28"/>
        </w:rPr>
        <w:t>镇域范围内污水量按给水量的85%计，平均日污水排放总量为0.85万立方米/日。其中兴隆镇区污水量为0.65万立方米/日，农村地区为0.2万立方米/日。</w:t>
      </w:r>
    </w:p>
    <w:p>
      <w:pPr>
        <w:spacing w:line="360" w:lineRule="auto"/>
        <w:ind w:firstLine="480"/>
        <w:rPr>
          <w:rFonts w:asciiTheme="minorEastAsia" w:hAnsiTheme="minorEastAsia"/>
          <w:sz w:val="28"/>
          <w:szCs w:val="28"/>
        </w:rPr>
      </w:pPr>
      <w:r>
        <w:rPr>
          <w:rFonts w:hint="eastAsia" w:asciiTheme="minorEastAsia" w:hAnsiTheme="minorEastAsia"/>
          <w:b/>
          <w:bCs/>
          <w:sz w:val="28"/>
          <w:szCs w:val="28"/>
        </w:rPr>
        <w:t>兴隆场镇区规划扩建污水处理厂一座</w:t>
      </w:r>
      <w:r>
        <w:rPr>
          <w:rFonts w:hint="eastAsia" w:asciiTheme="minorEastAsia" w:hAnsiTheme="minorEastAsia"/>
          <w:sz w:val="28"/>
          <w:szCs w:val="28"/>
        </w:rPr>
        <w:t>，规模为0.35万立方米/日，</w:t>
      </w:r>
      <w:r>
        <w:rPr>
          <w:rFonts w:hint="eastAsia" w:asciiTheme="minorEastAsia" w:hAnsiTheme="minorEastAsia"/>
          <w:b/>
          <w:bCs/>
          <w:sz w:val="28"/>
          <w:szCs w:val="28"/>
        </w:rPr>
        <w:t>农业科技园区内新建污水处理厂两座</w:t>
      </w:r>
      <w:r>
        <w:rPr>
          <w:rFonts w:hint="eastAsia" w:asciiTheme="minorEastAsia" w:hAnsiTheme="minorEastAsia"/>
          <w:sz w:val="28"/>
          <w:szCs w:val="28"/>
        </w:rPr>
        <w:t>，处理规模分别为0.25万立方米/日和0.1万立方米/日。</w:t>
      </w:r>
      <w:r>
        <w:rPr>
          <w:rFonts w:hint="eastAsia" w:asciiTheme="minorEastAsia" w:hAnsiTheme="minorEastAsia"/>
          <w:b/>
          <w:bCs/>
          <w:sz w:val="28"/>
          <w:szCs w:val="28"/>
        </w:rPr>
        <w:t>保留发扬100立方米/日的污水处理站</w:t>
      </w:r>
      <w:r>
        <w:rPr>
          <w:rFonts w:hint="eastAsia" w:asciiTheme="minorEastAsia" w:hAnsiTheme="minorEastAsia"/>
          <w:sz w:val="28"/>
          <w:szCs w:val="28"/>
        </w:rPr>
        <w:t>；</w:t>
      </w:r>
      <w:r>
        <w:rPr>
          <w:rFonts w:hint="eastAsia" w:ascii="宋体" w:hAnsi="宋体"/>
          <w:sz w:val="28"/>
          <w:szCs w:val="28"/>
        </w:rPr>
        <w:t>规划永庆500立方米/日的污水处理站一处。</w:t>
      </w:r>
    </w:p>
    <w:p>
      <w:pPr>
        <w:spacing w:line="360" w:lineRule="auto"/>
        <w:ind w:firstLine="480"/>
        <w:rPr>
          <w:rFonts w:asciiTheme="minorEastAsia" w:hAnsiTheme="minorEastAsia"/>
          <w:sz w:val="28"/>
          <w:szCs w:val="28"/>
        </w:rPr>
      </w:pPr>
      <w:r>
        <w:rPr>
          <w:rFonts w:hint="eastAsia" w:asciiTheme="minorEastAsia" w:hAnsiTheme="minorEastAsia"/>
          <w:sz w:val="28"/>
          <w:szCs w:val="28"/>
        </w:rPr>
        <w:t>镇域其他地区村民要积极修建化粪池对污水进行无害化处理后可用于农田灌溉。推广建设沼气净化池，既能提供清洁能源，又能处理污水。</w:t>
      </w:r>
    </w:p>
    <w:p>
      <w:pPr>
        <w:spacing w:line="360" w:lineRule="auto"/>
        <w:ind w:firstLine="480"/>
        <w:rPr>
          <w:rFonts w:ascii="宋体" w:hAnsi="宋体"/>
          <w:sz w:val="28"/>
          <w:szCs w:val="28"/>
        </w:rPr>
      </w:pPr>
      <w:r>
        <w:rPr>
          <w:rFonts w:hint="eastAsia" w:ascii="宋体" w:hAnsi="宋体"/>
          <w:sz w:val="28"/>
          <w:szCs w:val="28"/>
        </w:rPr>
        <w:t>镇域雨水就近排入自然冲沟。</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燃气工程规划</w:t>
      </w:r>
    </w:p>
    <w:p>
      <w:pPr>
        <w:spacing w:line="360" w:lineRule="auto"/>
        <w:ind w:firstLine="560" w:firstLineChars="200"/>
        <w:rPr>
          <w:rFonts w:ascii="宋体" w:hAnsi="宋体"/>
          <w:sz w:val="28"/>
          <w:szCs w:val="28"/>
        </w:rPr>
      </w:pPr>
      <w:r>
        <w:rPr>
          <w:rFonts w:hint="eastAsia" w:asciiTheme="minorEastAsia" w:hAnsiTheme="minorEastAsia"/>
          <w:sz w:val="28"/>
          <w:szCs w:val="28"/>
        </w:rPr>
        <w:t>根据兴隆镇镇域区的规模、性质、功能以及用地分布情况，结合兴隆镇镇域产业结构，预测镇域总用气量。居民用气按1.2立方米/户•日，公建用气量按190立方米/公顷•日预测，预测2035年镇域总用气量为1.8万立方米/日。</w:t>
      </w:r>
    </w:p>
    <w:p>
      <w:pPr>
        <w:spacing w:line="360" w:lineRule="auto"/>
        <w:ind w:firstLine="480"/>
        <w:rPr>
          <w:rFonts w:ascii="宋体" w:hAnsi="宋体"/>
          <w:sz w:val="28"/>
          <w:szCs w:val="28"/>
        </w:rPr>
      </w:pPr>
      <w:r>
        <w:rPr>
          <w:rFonts w:hint="eastAsia" w:ascii="宋体" w:hAnsi="宋体"/>
          <w:sz w:val="28"/>
          <w:szCs w:val="28"/>
        </w:rPr>
        <w:t>燃气管网采用高压→中压→低压供气方式，气源采用天然气。</w:t>
      </w:r>
    </w:p>
    <w:p>
      <w:pPr>
        <w:spacing w:line="360" w:lineRule="auto"/>
        <w:ind w:firstLine="480"/>
        <w:rPr>
          <w:rFonts w:ascii="宋体" w:hAnsi="宋体"/>
          <w:sz w:val="28"/>
          <w:szCs w:val="28"/>
        </w:rPr>
      </w:pPr>
      <w:r>
        <w:rPr>
          <w:rFonts w:hint="eastAsia" w:ascii="宋体" w:hAnsi="宋体"/>
          <w:sz w:val="28"/>
          <w:szCs w:val="28"/>
        </w:rPr>
        <w:t>规划保留区内现状输气管道相渝线和相旱线，并严格按照《</w:t>
      </w:r>
      <w:r>
        <w:rPr>
          <w:rFonts w:hint="eastAsia" w:ascii="宋体" w:hAnsi="宋体"/>
          <w:sz w:val="28"/>
          <w:szCs w:val="28"/>
          <w:lang w:eastAsia="zh-CN"/>
        </w:rPr>
        <w:t>中华人民共和国石油天然气管道保护法</w:t>
      </w:r>
      <w:r>
        <w:rPr>
          <w:rFonts w:hint="eastAsia" w:ascii="宋体" w:hAnsi="宋体"/>
          <w:sz w:val="28"/>
          <w:szCs w:val="28"/>
        </w:rPr>
        <w:t>》、《城镇燃气设计规范 GB50028》的要求控制各种燃气设施的消防安全距离，确保各种燃气设施的安全。</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通讯工程规划</w:t>
      </w:r>
    </w:p>
    <w:p>
      <w:pPr>
        <w:spacing w:line="360" w:lineRule="auto"/>
        <w:ind w:firstLine="480"/>
        <w:rPr>
          <w:rFonts w:ascii="宋体" w:hAnsi="宋体"/>
          <w:sz w:val="28"/>
          <w:szCs w:val="28"/>
        </w:rPr>
      </w:pPr>
      <w:r>
        <w:rPr>
          <w:rFonts w:hint="eastAsia" w:asciiTheme="minorEastAsia" w:hAnsiTheme="minorEastAsia"/>
          <w:sz w:val="28"/>
          <w:szCs w:val="28"/>
        </w:rPr>
        <w:t>预测2035年镇域固话通信需求为1.5万门，镇区规划一座通信交换局。</w:t>
      </w:r>
    </w:p>
    <w:p>
      <w:pPr>
        <w:spacing w:line="360" w:lineRule="auto"/>
        <w:ind w:firstLine="480"/>
        <w:rPr>
          <w:rFonts w:ascii="宋体" w:hAnsi="宋体"/>
          <w:sz w:val="28"/>
          <w:szCs w:val="28"/>
        </w:rPr>
      </w:pPr>
      <w:r>
        <w:rPr>
          <w:rFonts w:hint="eastAsia" w:ascii="宋体" w:hAnsi="宋体"/>
          <w:b/>
          <w:bCs/>
          <w:sz w:val="28"/>
          <w:szCs w:val="28"/>
        </w:rPr>
        <w:t>以镇区为邮电服务中心，新建通信局一座</w:t>
      </w:r>
      <w:r>
        <w:rPr>
          <w:rFonts w:hint="eastAsia" w:ascii="宋体" w:hAnsi="宋体"/>
          <w:sz w:val="28"/>
          <w:szCs w:val="28"/>
        </w:rPr>
        <w:t>，装机总容量20000门，开通国际长途电话及传真等业务。由渝北区电信局敷设光缆至各服务点。</w:t>
      </w:r>
    </w:p>
    <w:p>
      <w:pPr>
        <w:spacing w:line="360" w:lineRule="auto"/>
        <w:ind w:firstLine="480"/>
        <w:rPr>
          <w:rFonts w:ascii="宋体" w:hAnsi="宋体"/>
          <w:sz w:val="28"/>
          <w:szCs w:val="28"/>
        </w:rPr>
      </w:pPr>
      <w:r>
        <w:rPr>
          <w:rFonts w:hint="eastAsia" w:ascii="宋体" w:hAnsi="宋体"/>
          <w:sz w:val="28"/>
          <w:szCs w:val="28"/>
        </w:rPr>
        <w:t>根据发展需要，</w:t>
      </w:r>
      <w:r>
        <w:rPr>
          <w:rFonts w:hint="eastAsia" w:ascii="宋体" w:hAnsi="宋体"/>
          <w:b/>
          <w:bCs/>
          <w:sz w:val="28"/>
          <w:szCs w:val="28"/>
        </w:rPr>
        <w:t>规划镇区设邮政所一处，于中心村和永庆社区分别设置邮政代办点。</w:t>
      </w:r>
      <w:r>
        <w:rPr>
          <w:rFonts w:hint="eastAsia" w:ascii="宋体" w:hAnsi="宋体"/>
          <w:sz w:val="28"/>
          <w:szCs w:val="28"/>
        </w:rPr>
        <w:t>合理布局农村的邮政网点，改善工作条件，提高邮政服务质量及邮件处理能力。</w:t>
      </w:r>
    </w:p>
    <w:p>
      <w:pPr>
        <w:pStyle w:val="3"/>
        <w:numPr>
          <w:ilvl w:val="0"/>
          <w:numId w:val="5"/>
        </w:numPr>
        <w:jc w:val="center"/>
        <w:rPr>
          <w:rFonts w:eastAsia="宋体"/>
          <w:sz w:val="30"/>
          <w:szCs w:val="30"/>
        </w:rPr>
      </w:pPr>
      <w:bookmarkStart w:id="11" w:name="_Toc515956478"/>
      <w:r>
        <w:rPr>
          <w:rFonts w:hint="eastAsia" w:eastAsia="宋体"/>
          <w:sz w:val="30"/>
          <w:szCs w:val="30"/>
        </w:rPr>
        <w:t>镇域公共服务设施规划</w:t>
      </w:r>
      <w:bookmarkEnd w:id="11"/>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公共服务设施配置标准</w:t>
      </w:r>
    </w:p>
    <w:p>
      <w:pPr>
        <w:spacing w:line="360" w:lineRule="auto"/>
        <w:ind w:firstLine="480"/>
        <w:rPr>
          <w:rFonts w:ascii="宋体" w:hAnsi="宋体"/>
          <w:sz w:val="28"/>
          <w:szCs w:val="28"/>
        </w:rPr>
      </w:pPr>
      <w:r>
        <w:rPr>
          <w:rFonts w:hint="eastAsia" w:ascii="宋体" w:hAnsi="宋体"/>
          <w:sz w:val="28"/>
          <w:szCs w:val="28"/>
        </w:rPr>
        <w:t>根据《重庆市城乡公共服务设施规划标准(2014)》（</w:t>
      </w:r>
      <w:r>
        <w:rPr>
          <w:rFonts w:ascii="宋体" w:hAnsi="宋体"/>
          <w:sz w:val="28"/>
          <w:szCs w:val="28"/>
        </w:rPr>
        <w:t>DB 50/T 543-2014</w:t>
      </w:r>
      <w:r>
        <w:rPr>
          <w:rFonts w:hint="eastAsia" w:ascii="宋体" w:hAnsi="宋体"/>
          <w:sz w:val="28"/>
          <w:szCs w:val="28"/>
        </w:rPr>
        <w:t>）等相关要求，公共服务设施配套配置标准详见附表四。</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公共服务设施规划</w:t>
      </w:r>
    </w:p>
    <w:p>
      <w:pPr>
        <w:spacing w:line="360" w:lineRule="auto"/>
        <w:ind w:firstLine="548" w:firstLineChars="196"/>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1、行政办公服务设施</w:t>
      </w:r>
    </w:p>
    <w:p>
      <w:pPr>
        <w:spacing w:line="360" w:lineRule="auto"/>
        <w:ind w:firstLine="548" w:firstLineChars="196"/>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镇区配置镇政府、工商、税务等项目齐全的政府行政办公机构，</w:t>
      </w:r>
      <w:r>
        <w:rPr>
          <w:rFonts w:hint="eastAsia" w:asciiTheme="minorEastAsia" w:hAnsiTheme="minorEastAsia" w:eastAsiaTheme="minorEastAsia" w:cstheme="minorEastAsia"/>
          <w:b/>
          <w:bCs/>
          <w:sz w:val="28"/>
          <w:szCs w:val="24"/>
        </w:rPr>
        <w:t>于农业科技园区和永庆社区各布置1处社区综合服务中心，</w:t>
      </w:r>
      <w:r>
        <w:rPr>
          <w:rFonts w:hint="eastAsia" w:asciiTheme="minorEastAsia" w:hAnsiTheme="minorEastAsia" w:eastAsiaTheme="minorEastAsia" w:cstheme="minorEastAsia"/>
          <w:sz w:val="28"/>
          <w:szCs w:val="24"/>
        </w:rPr>
        <w:t>地块分别为B11/01和C05-4/01。</w:t>
      </w:r>
    </w:p>
    <w:p>
      <w:pPr>
        <w:tabs>
          <w:tab w:val="left" w:pos="1276"/>
        </w:tabs>
        <w:spacing w:line="360" w:lineRule="auto"/>
        <w:ind w:right="-199" w:rightChars="-95" w:firstLine="562"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b/>
          <w:sz w:val="28"/>
          <w:szCs w:val="24"/>
        </w:rPr>
        <w:t>每个行政村规划1处村委会，</w:t>
      </w:r>
      <w:r>
        <w:rPr>
          <w:rFonts w:hint="eastAsia" w:asciiTheme="minorEastAsia" w:hAnsiTheme="minorEastAsia" w:eastAsiaTheme="minorEastAsia" w:cstheme="minorEastAsia"/>
          <w:sz w:val="28"/>
          <w:szCs w:val="24"/>
        </w:rPr>
        <w:t>统筹安排村管理用房，建筑面积100-200平方米左右。</w:t>
      </w:r>
    </w:p>
    <w:p>
      <w:pPr>
        <w:spacing w:line="360" w:lineRule="auto"/>
        <w:ind w:firstLine="480"/>
        <w:rPr>
          <w:rFonts w:ascii="宋体" w:hAnsi="宋体"/>
          <w:sz w:val="28"/>
          <w:szCs w:val="28"/>
        </w:rPr>
      </w:pPr>
      <w:r>
        <w:rPr>
          <w:rFonts w:hint="eastAsia" w:ascii="宋体" w:hAnsi="宋体"/>
          <w:sz w:val="28"/>
          <w:szCs w:val="28"/>
        </w:rPr>
        <w:t>2、教育设施规划</w:t>
      </w:r>
    </w:p>
    <w:p>
      <w:pPr>
        <w:spacing w:line="360" w:lineRule="auto"/>
        <w:ind w:firstLine="480"/>
        <w:rPr>
          <w:rFonts w:ascii="宋体" w:hAnsi="宋体"/>
          <w:b/>
          <w:bCs/>
          <w:sz w:val="28"/>
          <w:szCs w:val="28"/>
        </w:rPr>
      </w:pPr>
      <w:r>
        <w:rPr>
          <w:rFonts w:hint="eastAsia" w:ascii="宋体" w:hAnsi="宋体"/>
          <w:b/>
          <w:bCs/>
          <w:sz w:val="28"/>
          <w:szCs w:val="28"/>
        </w:rPr>
        <w:t>保留渝兴中学、永庆初级中学、永庆中心小学及现状的2处幼儿园，规划原址扩建兴隆中心小学至18班，镇区中部</w:t>
      </w:r>
      <w:r>
        <w:rPr>
          <w:rFonts w:ascii="宋体" w:hAnsi="宋体"/>
          <w:b/>
          <w:bCs/>
          <w:sz w:val="28"/>
          <w:szCs w:val="28"/>
        </w:rPr>
        <w:t>A09-2/01</w:t>
      </w:r>
      <w:r>
        <w:rPr>
          <w:rFonts w:hint="eastAsia" w:ascii="宋体" w:hAnsi="宋体"/>
          <w:b/>
          <w:bCs/>
          <w:sz w:val="28"/>
          <w:szCs w:val="28"/>
        </w:rPr>
        <w:t>规划2</w:t>
      </w:r>
      <w:r>
        <w:rPr>
          <w:rFonts w:ascii="宋体" w:hAnsi="宋体"/>
          <w:b/>
          <w:bCs/>
          <w:sz w:val="28"/>
          <w:szCs w:val="28"/>
        </w:rPr>
        <w:t>4</w:t>
      </w:r>
      <w:r>
        <w:rPr>
          <w:rFonts w:hint="eastAsia" w:ascii="宋体" w:hAnsi="宋体"/>
          <w:b/>
          <w:bCs/>
          <w:sz w:val="28"/>
          <w:szCs w:val="28"/>
        </w:rPr>
        <w:t>班初级中学一处，规划于农业科技园区新增1处6班幼儿园。</w:t>
      </w:r>
    </w:p>
    <w:p>
      <w:pPr>
        <w:spacing w:line="360" w:lineRule="auto"/>
        <w:ind w:firstLine="480"/>
        <w:rPr>
          <w:rFonts w:ascii="宋体" w:hAnsi="宋体"/>
          <w:sz w:val="28"/>
          <w:szCs w:val="28"/>
        </w:rPr>
      </w:pPr>
      <w:r>
        <w:rPr>
          <w:rFonts w:hint="eastAsia" w:ascii="宋体" w:hAnsi="宋体"/>
          <w:sz w:val="28"/>
          <w:szCs w:val="28"/>
        </w:rPr>
        <w:t>3、医疗卫生设施规划</w:t>
      </w:r>
    </w:p>
    <w:p>
      <w:pPr>
        <w:spacing w:line="360" w:lineRule="auto"/>
        <w:ind w:firstLine="480"/>
        <w:rPr>
          <w:rFonts w:ascii="宋体" w:hAnsi="宋体"/>
          <w:b/>
          <w:bCs/>
          <w:sz w:val="28"/>
          <w:szCs w:val="28"/>
        </w:rPr>
      </w:pPr>
      <w:r>
        <w:rPr>
          <w:rFonts w:hint="eastAsia" w:ascii="宋体" w:hAnsi="宋体"/>
          <w:b/>
          <w:bCs/>
          <w:sz w:val="28"/>
          <w:szCs w:val="28"/>
        </w:rPr>
        <w:t>原址扩建现状中心卫生院</w:t>
      </w:r>
      <w:r>
        <w:rPr>
          <w:rFonts w:hint="eastAsia" w:ascii="宋体" w:hAnsi="宋体"/>
          <w:sz w:val="28"/>
          <w:szCs w:val="28"/>
        </w:rPr>
        <w:t>，规模扩至100床。</w:t>
      </w:r>
    </w:p>
    <w:p>
      <w:pPr>
        <w:spacing w:line="360" w:lineRule="auto"/>
        <w:ind w:firstLine="480"/>
        <w:rPr>
          <w:rFonts w:ascii="宋体" w:hAnsi="宋体"/>
          <w:b/>
          <w:bCs/>
          <w:sz w:val="28"/>
          <w:szCs w:val="28"/>
        </w:rPr>
      </w:pPr>
      <w:r>
        <w:rPr>
          <w:rFonts w:hint="eastAsia" w:ascii="宋体" w:hAnsi="宋体"/>
          <w:b/>
          <w:bCs/>
          <w:sz w:val="28"/>
          <w:szCs w:val="28"/>
        </w:rPr>
        <w:t>规划2处社区卫生服务站</w:t>
      </w:r>
      <w:r>
        <w:rPr>
          <w:rFonts w:hint="eastAsia" w:ascii="宋体" w:hAnsi="宋体"/>
          <w:sz w:val="28"/>
          <w:szCs w:val="28"/>
        </w:rPr>
        <w:t>，分别位于地块A12-3/01及C03-3/01，建筑面积不小于150平方米。</w:t>
      </w:r>
    </w:p>
    <w:p>
      <w:pPr>
        <w:spacing w:line="360" w:lineRule="auto"/>
        <w:ind w:firstLine="480"/>
        <w:rPr>
          <w:rFonts w:ascii="宋体" w:hAnsi="宋体"/>
          <w:sz w:val="28"/>
          <w:szCs w:val="28"/>
        </w:rPr>
      </w:pPr>
      <w:r>
        <w:rPr>
          <w:rFonts w:hint="eastAsia" w:ascii="宋体" w:hAnsi="宋体"/>
          <w:b/>
          <w:bCs/>
          <w:sz w:val="28"/>
          <w:szCs w:val="28"/>
        </w:rPr>
        <w:t>每个行政村设置1处村卫生室</w:t>
      </w:r>
      <w:r>
        <w:rPr>
          <w:rFonts w:hint="eastAsia" w:ascii="宋体" w:hAnsi="宋体"/>
          <w:sz w:val="28"/>
          <w:szCs w:val="28"/>
        </w:rPr>
        <w:t>，建筑面积不小于60平方米。</w:t>
      </w:r>
    </w:p>
    <w:p>
      <w:pPr>
        <w:spacing w:line="360" w:lineRule="auto"/>
        <w:ind w:firstLine="480"/>
        <w:rPr>
          <w:rFonts w:ascii="宋体" w:hAnsi="宋体"/>
          <w:sz w:val="28"/>
          <w:szCs w:val="28"/>
        </w:rPr>
      </w:pPr>
      <w:r>
        <w:rPr>
          <w:rFonts w:hint="eastAsia" w:ascii="宋体" w:hAnsi="宋体"/>
          <w:sz w:val="28"/>
          <w:szCs w:val="28"/>
        </w:rPr>
        <w:t>4、商业服务设施规划</w:t>
      </w:r>
    </w:p>
    <w:p>
      <w:pPr>
        <w:spacing w:line="360" w:lineRule="auto"/>
        <w:ind w:firstLine="480"/>
        <w:rPr>
          <w:rFonts w:ascii="宋体" w:hAnsi="宋体"/>
          <w:sz w:val="28"/>
          <w:szCs w:val="28"/>
        </w:rPr>
      </w:pPr>
      <w:r>
        <w:rPr>
          <w:rFonts w:hint="eastAsia" w:asciiTheme="minorEastAsia" w:hAnsiTheme="minorEastAsia" w:eastAsiaTheme="minorEastAsia"/>
          <w:b/>
          <w:bCs/>
          <w:sz w:val="28"/>
          <w:szCs w:val="28"/>
        </w:rPr>
        <w:t>镇区中部规划新建独立占地的农贸市场1处</w:t>
      </w:r>
      <w:r>
        <w:rPr>
          <w:rFonts w:hint="eastAsia" w:asciiTheme="minorEastAsia" w:hAnsiTheme="minorEastAsia" w:eastAsiaTheme="minorEastAsia"/>
          <w:sz w:val="28"/>
          <w:szCs w:val="28"/>
        </w:rPr>
        <w:t>，位于地块A05-2/01，面积0.73公顷。另于永庆社区C05-6/01地块配建一处农贸市场。</w:t>
      </w:r>
    </w:p>
    <w:p>
      <w:pPr>
        <w:spacing w:line="360" w:lineRule="auto"/>
        <w:ind w:firstLine="480"/>
        <w:rPr>
          <w:rFonts w:ascii="宋体" w:hAnsi="宋体"/>
          <w:sz w:val="28"/>
          <w:szCs w:val="28"/>
        </w:rPr>
      </w:pPr>
      <w:r>
        <w:rPr>
          <w:rFonts w:hint="eastAsia" w:ascii="宋体" w:hAnsi="宋体"/>
          <w:sz w:val="28"/>
          <w:szCs w:val="28"/>
        </w:rPr>
        <w:t>5、文体设施规划</w:t>
      </w:r>
    </w:p>
    <w:p>
      <w:pPr>
        <w:spacing w:line="360" w:lineRule="auto"/>
        <w:ind w:firstLine="562" w:firstLineChars="200"/>
        <w:rPr>
          <w:rFonts w:ascii="宋体" w:hAnsi="宋体"/>
          <w:sz w:val="28"/>
          <w:szCs w:val="28"/>
        </w:rPr>
      </w:pPr>
      <w:r>
        <w:rPr>
          <w:rFonts w:hint="eastAsia" w:ascii="宋体" w:hAnsi="宋体"/>
          <w:b/>
          <w:bCs/>
          <w:sz w:val="28"/>
          <w:szCs w:val="28"/>
        </w:rPr>
        <w:t>镇区规划新建文化活动中心1处</w:t>
      </w:r>
      <w:r>
        <w:rPr>
          <w:rFonts w:hint="eastAsia" w:ascii="宋体" w:hAnsi="宋体"/>
          <w:sz w:val="28"/>
          <w:szCs w:val="28"/>
        </w:rPr>
        <w:t>，位于地块A05-4/01，占地面积0.23公顷。</w:t>
      </w:r>
      <w:r>
        <w:rPr>
          <w:rFonts w:hint="eastAsia" w:ascii="宋体" w:hAnsi="宋体"/>
          <w:b/>
          <w:bCs/>
          <w:sz w:val="28"/>
          <w:szCs w:val="28"/>
        </w:rPr>
        <w:t>设置2处社区多功能运动场</w:t>
      </w:r>
      <w:r>
        <w:rPr>
          <w:rFonts w:hint="eastAsia" w:ascii="宋体" w:hAnsi="宋体"/>
          <w:sz w:val="28"/>
          <w:szCs w:val="28"/>
        </w:rPr>
        <w:t>（地块A14-1/01、C01-5/01），场地面积不小于600平方米。</w:t>
      </w:r>
    </w:p>
    <w:p>
      <w:pPr>
        <w:spacing w:line="360" w:lineRule="auto"/>
        <w:ind w:firstLine="562" w:firstLineChars="200"/>
        <w:rPr>
          <w:rFonts w:ascii="宋体" w:hAnsi="宋体"/>
          <w:sz w:val="28"/>
          <w:szCs w:val="28"/>
        </w:rPr>
      </w:pPr>
      <w:r>
        <w:rPr>
          <w:rFonts w:hint="eastAsia" w:ascii="宋体" w:hAnsi="宋体"/>
          <w:b/>
          <w:bCs/>
          <w:sz w:val="28"/>
          <w:szCs w:val="28"/>
        </w:rPr>
        <w:t>每个行政村配置1处村文化活动室、1处农民体育健身场地。</w:t>
      </w:r>
      <w:r>
        <w:rPr>
          <w:rFonts w:hint="eastAsia" w:ascii="宋体" w:hAnsi="宋体"/>
          <w:sz w:val="28"/>
          <w:szCs w:val="28"/>
        </w:rPr>
        <w:t>村文化活动室建筑面积不小于100平方米，应包括科技服务、图书阅览等功能；农民体育健身场地用地面积不小于600平方米，应包括1个标准篮球场、1副标准篮球架和2张室外乒乓球台。</w:t>
      </w:r>
    </w:p>
    <w:p>
      <w:pPr>
        <w:spacing w:line="360" w:lineRule="auto"/>
        <w:ind w:firstLine="560" w:firstLineChars="200"/>
        <w:rPr>
          <w:rFonts w:ascii="宋体" w:hAnsi="宋体"/>
          <w:sz w:val="28"/>
          <w:szCs w:val="28"/>
        </w:rPr>
      </w:pPr>
      <w:r>
        <w:rPr>
          <w:rFonts w:hint="eastAsia" w:ascii="宋体" w:hAnsi="宋体"/>
          <w:sz w:val="28"/>
          <w:szCs w:val="28"/>
        </w:rPr>
        <w:t>6、社会福利设施</w:t>
      </w:r>
    </w:p>
    <w:p>
      <w:pPr>
        <w:spacing w:line="360" w:lineRule="auto"/>
        <w:ind w:firstLine="562" w:firstLineChars="200"/>
        <w:rPr>
          <w:rFonts w:ascii="宋体" w:hAnsi="宋体"/>
          <w:b/>
          <w:bCs/>
          <w:sz w:val="28"/>
          <w:szCs w:val="28"/>
        </w:rPr>
      </w:pPr>
      <w:r>
        <w:rPr>
          <w:rFonts w:hint="eastAsia" w:ascii="宋体" w:hAnsi="宋体"/>
          <w:b/>
          <w:bCs/>
          <w:sz w:val="28"/>
          <w:szCs w:val="28"/>
        </w:rPr>
        <w:t>保留永庆社区现状敬老院</w:t>
      </w:r>
      <w:r>
        <w:rPr>
          <w:rFonts w:hint="eastAsia" w:ascii="宋体" w:hAnsi="宋体"/>
          <w:sz w:val="28"/>
          <w:szCs w:val="28"/>
        </w:rPr>
        <w:t>，位于地块C01-3/01，占地面积0.16公顷。</w:t>
      </w:r>
    </w:p>
    <w:p>
      <w:pPr>
        <w:spacing w:line="360" w:lineRule="auto"/>
        <w:ind w:firstLine="562" w:firstLineChars="200"/>
        <w:rPr>
          <w:rFonts w:ascii="宋体" w:hAnsi="宋体"/>
          <w:b/>
          <w:bCs/>
          <w:sz w:val="28"/>
          <w:szCs w:val="28"/>
        </w:rPr>
      </w:pPr>
      <w:r>
        <w:rPr>
          <w:rFonts w:hint="eastAsia" w:ascii="宋体" w:hAnsi="宋体"/>
          <w:b/>
          <w:bCs/>
          <w:sz w:val="28"/>
          <w:szCs w:val="28"/>
        </w:rPr>
        <w:t>规划新建养老院1处</w:t>
      </w:r>
      <w:r>
        <w:rPr>
          <w:rFonts w:hint="eastAsia" w:ascii="宋体" w:hAnsi="宋体"/>
          <w:sz w:val="28"/>
          <w:szCs w:val="28"/>
        </w:rPr>
        <w:t>，位于地块A05-7/01，占地面积1.05公顷。</w:t>
      </w:r>
    </w:p>
    <w:p>
      <w:pPr>
        <w:spacing w:line="360" w:lineRule="auto"/>
        <w:ind w:firstLine="562" w:firstLineChars="200"/>
        <w:rPr>
          <w:rFonts w:ascii="宋体" w:hAnsi="宋体"/>
          <w:sz w:val="28"/>
          <w:szCs w:val="28"/>
        </w:rPr>
      </w:pPr>
      <w:r>
        <w:rPr>
          <w:rFonts w:hint="eastAsia" w:ascii="宋体" w:hAnsi="宋体"/>
          <w:b/>
          <w:bCs/>
          <w:sz w:val="28"/>
          <w:szCs w:val="28"/>
        </w:rPr>
        <w:t>每个行政村设置1处老年人活动室，</w:t>
      </w:r>
      <w:r>
        <w:rPr>
          <w:rFonts w:hint="eastAsia" w:ascii="宋体" w:hAnsi="宋体"/>
          <w:sz w:val="28"/>
          <w:szCs w:val="28"/>
        </w:rPr>
        <w:t>建筑面积不小于50平方米。</w:t>
      </w:r>
    </w:p>
    <w:p>
      <w:pPr>
        <w:pStyle w:val="3"/>
        <w:numPr>
          <w:ilvl w:val="0"/>
          <w:numId w:val="5"/>
        </w:numPr>
        <w:jc w:val="center"/>
        <w:rPr>
          <w:rFonts w:eastAsia="宋体"/>
          <w:sz w:val="30"/>
          <w:szCs w:val="30"/>
        </w:rPr>
      </w:pPr>
      <w:bookmarkStart w:id="12" w:name="_Toc515956479"/>
      <w:r>
        <w:rPr>
          <w:rFonts w:hint="eastAsia" w:eastAsia="宋体"/>
          <w:sz w:val="30"/>
          <w:szCs w:val="30"/>
        </w:rPr>
        <w:t>镇域空间布局及管制规划</w:t>
      </w:r>
      <w:bookmarkEnd w:id="12"/>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“三大空间”划定</w:t>
      </w:r>
    </w:p>
    <w:p>
      <w:pPr>
        <w:spacing w:line="360" w:lineRule="auto"/>
        <w:ind w:firstLine="562" w:firstLineChars="200"/>
        <w:rPr>
          <w:rFonts w:ascii="宋体" w:hAnsi="宋体"/>
          <w:b/>
          <w:sz w:val="28"/>
          <w:szCs w:val="28"/>
        </w:rPr>
      </w:pPr>
      <w:r>
        <w:rPr>
          <w:rFonts w:hint="eastAsia" w:ascii="宋体" w:hAnsi="宋体"/>
          <w:b/>
          <w:sz w:val="28"/>
          <w:szCs w:val="28"/>
        </w:rPr>
        <w:t>根据《重庆市规划局关于镇乡规划工作的指导意见》（渝规发[</w:t>
      </w:r>
      <w:r>
        <w:rPr>
          <w:rFonts w:ascii="宋体" w:hAnsi="宋体"/>
          <w:b/>
          <w:sz w:val="28"/>
          <w:szCs w:val="28"/>
        </w:rPr>
        <w:t>2017]142</w:t>
      </w:r>
      <w:r>
        <w:rPr>
          <w:rFonts w:hint="eastAsia" w:ascii="宋体" w:hAnsi="宋体"/>
          <w:b/>
          <w:sz w:val="28"/>
          <w:szCs w:val="28"/>
        </w:rPr>
        <w:t>号）要求，结合现状，衔接相关专业专项规划，综合划定生态、农业和建设空间。</w:t>
      </w:r>
    </w:p>
    <w:p>
      <w:pPr>
        <w:spacing w:line="360" w:lineRule="auto"/>
        <w:ind w:firstLine="562" w:firstLineChars="200"/>
        <w:rPr>
          <w:rFonts w:ascii="宋体" w:hAnsi="宋体"/>
          <w:b/>
          <w:sz w:val="28"/>
          <w:szCs w:val="28"/>
        </w:rPr>
      </w:pPr>
      <w:r>
        <w:rPr>
          <w:rFonts w:hint="eastAsia" w:ascii="宋体" w:hAnsi="宋体"/>
          <w:b/>
          <w:sz w:val="28"/>
          <w:szCs w:val="28"/>
        </w:rPr>
        <w:t>生态空间：将以生态保护为主导功能的空间划入生态空间，包括南天门森林公园、观音洞和后河饮用水源保护区、四山管制区内禁建区（除区域内耕地、园地、其他农用地和宅基地）、二级以上林地等特殊管控区范围以及其他生态资源范围划定为生态空间。镇域范围内划定生态空间</w:t>
      </w:r>
      <w:r>
        <w:rPr>
          <w:rFonts w:ascii="宋体" w:hAnsi="宋体"/>
          <w:b/>
          <w:sz w:val="28"/>
          <w:szCs w:val="28"/>
        </w:rPr>
        <w:t>31.1</w:t>
      </w:r>
      <w:r>
        <w:rPr>
          <w:rFonts w:hint="eastAsia" w:ascii="宋体" w:hAnsi="宋体"/>
          <w:b/>
          <w:sz w:val="28"/>
          <w:szCs w:val="28"/>
        </w:rPr>
        <w:t>3平方公里，占全镇镇域空间</w:t>
      </w:r>
      <w:r>
        <w:rPr>
          <w:rFonts w:ascii="宋体" w:hAnsi="宋体"/>
          <w:b/>
          <w:sz w:val="28"/>
          <w:szCs w:val="28"/>
        </w:rPr>
        <w:t>35.0</w:t>
      </w:r>
      <w:r>
        <w:rPr>
          <w:rFonts w:hint="eastAsia" w:ascii="宋体" w:hAnsi="宋体"/>
          <w:b/>
          <w:sz w:val="28"/>
          <w:szCs w:val="28"/>
        </w:rPr>
        <w:t>9</w:t>
      </w:r>
      <w:r>
        <w:rPr>
          <w:rFonts w:ascii="宋体" w:hAnsi="宋体"/>
          <w:b/>
          <w:sz w:val="28"/>
          <w:szCs w:val="28"/>
        </w:rPr>
        <w:t>%</w:t>
      </w:r>
      <w:r>
        <w:rPr>
          <w:rFonts w:hint="eastAsia" w:ascii="宋体" w:hAnsi="宋体"/>
          <w:b/>
          <w:sz w:val="28"/>
          <w:szCs w:val="28"/>
        </w:rPr>
        <w:t>。</w:t>
      </w:r>
    </w:p>
    <w:p>
      <w:pPr>
        <w:spacing w:line="360" w:lineRule="auto"/>
        <w:ind w:firstLine="562" w:firstLineChars="200"/>
        <w:rPr>
          <w:rFonts w:ascii="宋体" w:hAnsi="宋体"/>
          <w:b/>
          <w:sz w:val="28"/>
          <w:szCs w:val="28"/>
        </w:rPr>
      </w:pPr>
      <w:r>
        <w:rPr>
          <w:rFonts w:hint="eastAsia" w:ascii="宋体" w:hAnsi="宋体"/>
          <w:b/>
          <w:sz w:val="28"/>
          <w:szCs w:val="28"/>
        </w:rPr>
        <w:t>农业空间：将以农业生产为主导功能的空间划入农业空间，包括耕地、园地、牧草地、其他农用地（设施农用地、坑塘水面、农田水利用地等）等。镇域范围内划定农业空间</w:t>
      </w:r>
      <w:r>
        <w:rPr>
          <w:rFonts w:ascii="宋体" w:hAnsi="宋体"/>
          <w:b/>
          <w:sz w:val="28"/>
          <w:szCs w:val="28"/>
        </w:rPr>
        <w:t>50.23</w:t>
      </w:r>
      <w:r>
        <w:rPr>
          <w:rFonts w:hint="eastAsia" w:ascii="宋体" w:hAnsi="宋体"/>
          <w:b/>
          <w:sz w:val="28"/>
          <w:szCs w:val="28"/>
        </w:rPr>
        <w:t>平方公里，占全镇镇域空间</w:t>
      </w:r>
      <w:r>
        <w:rPr>
          <w:rFonts w:ascii="宋体" w:hAnsi="宋体"/>
          <w:b/>
          <w:sz w:val="28"/>
          <w:szCs w:val="28"/>
        </w:rPr>
        <w:t>56.62%</w:t>
      </w:r>
      <w:r>
        <w:rPr>
          <w:rFonts w:hint="eastAsia" w:ascii="宋体" w:hAnsi="宋体"/>
          <w:b/>
          <w:sz w:val="28"/>
          <w:szCs w:val="28"/>
        </w:rPr>
        <w:t>。</w:t>
      </w:r>
    </w:p>
    <w:p>
      <w:pPr>
        <w:spacing w:line="360" w:lineRule="auto"/>
        <w:ind w:firstLine="562" w:firstLineChars="200"/>
        <w:rPr>
          <w:rFonts w:ascii="宋体" w:hAnsi="宋体"/>
          <w:b/>
          <w:sz w:val="28"/>
          <w:szCs w:val="28"/>
        </w:rPr>
      </w:pPr>
      <w:r>
        <w:rPr>
          <w:rFonts w:hint="eastAsia" w:ascii="宋体" w:hAnsi="宋体"/>
          <w:b/>
          <w:sz w:val="28"/>
          <w:szCs w:val="28"/>
        </w:rPr>
        <w:t>建设空间：将以建设为主导功能的空间划入建设空间，包括镇区（集镇）和村的城乡居民点建设用地、区域交通设施用地、区域公用设施用地、特殊用地、采矿用地和其他建设用地。镇域范围内划定建设空间</w:t>
      </w:r>
      <w:r>
        <w:rPr>
          <w:rFonts w:ascii="宋体" w:hAnsi="宋体"/>
          <w:b/>
          <w:sz w:val="28"/>
          <w:szCs w:val="28"/>
        </w:rPr>
        <w:t>7.36</w:t>
      </w:r>
      <w:r>
        <w:rPr>
          <w:rFonts w:hint="eastAsia" w:ascii="宋体" w:hAnsi="宋体"/>
          <w:b/>
          <w:sz w:val="28"/>
          <w:szCs w:val="28"/>
        </w:rPr>
        <w:t>平方公里，占全镇镇域空间</w:t>
      </w:r>
      <w:r>
        <w:rPr>
          <w:rFonts w:ascii="宋体" w:hAnsi="宋体"/>
          <w:b/>
          <w:sz w:val="28"/>
          <w:szCs w:val="28"/>
        </w:rPr>
        <w:t>8.</w:t>
      </w:r>
      <w:r>
        <w:rPr>
          <w:rFonts w:hint="eastAsia" w:ascii="宋体" w:hAnsi="宋体"/>
          <w:b/>
          <w:sz w:val="28"/>
          <w:szCs w:val="28"/>
        </w:rPr>
        <w:t>29</w:t>
      </w:r>
      <w:r>
        <w:rPr>
          <w:rFonts w:ascii="宋体" w:hAnsi="宋体"/>
          <w:b/>
          <w:sz w:val="28"/>
          <w:szCs w:val="28"/>
        </w:rPr>
        <w:t>%</w:t>
      </w:r>
      <w:r>
        <w:rPr>
          <w:rFonts w:hint="eastAsia" w:ascii="宋体" w:hAnsi="宋体"/>
          <w:b/>
          <w:sz w:val="28"/>
          <w:szCs w:val="28"/>
        </w:rPr>
        <w:t>。</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分区控制规划</w:t>
      </w:r>
    </w:p>
    <w:p>
      <w:pPr>
        <w:spacing w:line="360" w:lineRule="auto"/>
        <w:ind w:firstLine="560" w:firstLineChars="200"/>
        <w:rPr>
          <w:rFonts w:ascii="宋体" w:hAnsi="宋体"/>
          <w:sz w:val="28"/>
          <w:szCs w:val="28"/>
        </w:rPr>
      </w:pPr>
      <w:r>
        <w:rPr>
          <w:rFonts w:hint="eastAsia" w:ascii="宋体" w:hAnsi="宋体"/>
          <w:sz w:val="28"/>
          <w:szCs w:val="28"/>
        </w:rPr>
        <w:t>镇域空间划分为适宜建设区、限制建设区和禁止建设区。</w:t>
      </w:r>
    </w:p>
    <w:p>
      <w:pPr>
        <w:spacing w:line="360" w:lineRule="auto"/>
        <w:ind w:firstLine="560" w:firstLineChars="200"/>
        <w:rPr>
          <w:rFonts w:ascii="宋体" w:hAnsi="宋体"/>
          <w:sz w:val="28"/>
          <w:szCs w:val="28"/>
        </w:rPr>
      </w:pPr>
      <w:r>
        <w:rPr>
          <w:rFonts w:hint="eastAsia" w:asciiTheme="minorEastAsia" w:hAnsiTheme="minorEastAsia" w:eastAsiaTheme="minorEastAsia" w:cstheme="minorEastAsia"/>
          <w:bCs/>
          <w:sz w:val="28"/>
          <w:szCs w:val="28"/>
        </w:rPr>
        <w:t>适宜建设区：</w:t>
      </w:r>
      <w:r>
        <w:rPr>
          <w:rFonts w:hint="eastAsia" w:ascii="宋体" w:hAnsi="宋体"/>
          <w:sz w:val="28"/>
          <w:szCs w:val="28"/>
        </w:rPr>
        <w:t>包括</w:t>
      </w:r>
      <w:r>
        <w:rPr>
          <w:rFonts w:hint="eastAsia" w:ascii="宋体" w:hAnsi="宋体"/>
          <w:b/>
          <w:bCs/>
          <w:sz w:val="28"/>
          <w:szCs w:val="28"/>
        </w:rPr>
        <w:t>城镇现状建成区、村集体建设区、城镇建设拓展区、城镇拓展预控区</w:t>
      </w:r>
      <w:r>
        <w:rPr>
          <w:rFonts w:hint="eastAsia" w:ascii="宋体" w:hAnsi="宋体"/>
          <w:sz w:val="28"/>
          <w:szCs w:val="28"/>
        </w:rPr>
        <w:t>，总面积8.21平方公里，占全镇土地总面积的9.25%，主要分布于镇区、农业科技园区、永庆社区，各村零散布局少量建设区。</w:t>
      </w:r>
    </w:p>
    <w:p>
      <w:pPr>
        <w:spacing w:line="360" w:lineRule="auto"/>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禁止建设区：</w:t>
      </w:r>
      <w:r>
        <w:rPr>
          <w:rFonts w:hint="eastAsia" w:ascii="宋体" w:hAnsi="宋体"/>
          <w:sz w:val="28"/>
          <w:szCs w:val="28"/>
        </w:rPr>
        <w:t>包括</w:t>
      </w:r>
      <w:r>
        <w:rPr>
          <w:rFonts w:hint="eastAsia" w:ascii="宋体" w:hAnsi="宋体"/>
          <w:b/>
          <w:bCs/>
          <w:sz w:val="28"/>
          <w:szCs w:val="28"/>
        </w:rPr>
        <w:t>生态红线范围、四山禁建区、基本农田保护区、水库水面、河流水面</w:t>
      </w:r>
      <w:r>
        <w:rPr>
          <w:rFonts w:hint="eastAsia" w:ascii="宋体" w:hAnsi="宋体"/>
          <w:sz w:val="28"/>
          <w:szCs w:val="28"/>
        </w:rPr>
        <w:t>等，面积58.68平方公里，占全镇土地总面积的66.14%，主要分布于南天门、杜家、黄葛、龙平等村。</w:t>
      </w:r>
    </w:p>
    <w:p>
      <w:pPr>
        <w:spacing w:line="360" w:lineRule="auto"/>
        <w:ind w:firstLine="560" w:firstLineChars="200"/>
        <w:rPr>
          <w:rFonts w:ascii="宋体" w:hAnsi="宋体"/>
          <w:sz w:val="28"/>
          <w:szCs w:val="28"/>
        </w:rPr>
      </w:pPr>
      <w:r>
        <w:rPr>
          <w:rFonts w:hint="eastAsia" w:asciiTheme="minorEastAsia" w:hAnsiTheme="minorEastAsia" w:eastAsiaTheme="minorEastAsia" w:cstheme="minorEastAsia"/>
          <w:bCs/>
          <w:sz w:val="28"/>
          <w:szCs w:val="28"/>
        </w:rPr>
        <w:t>限制建设区：</w:t>
      </w:r>
      <w:r>
        <w:rPr>
          <w:rFonts w:hint="eastAsia" w:ascii="宋体" w:hAnsi="宋体"/>
          <w:sz w:val="28"/>
          <w:szCs w:val="28"/>
        </w:rPr>
        <w:t>辖区范围内除建设区、禁建区外的其它区域即为兴隆镇限制建设区，主要为散布在兴隆镇域范围内的农林用地，面积21.83平方公里，占全镇土地总面积的24.61%。</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空间管制要求</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切实保护耕地，确保耕地占补平衡。兴隆镇基本农田保护区面积2143公顷。基本农田应按照《基本农田保护条例》予以长期严格保护，不得随意征用或改作它用。禁止在保护区挖沙、取土、采石、采矿、建房、堆放固体废弃物，禁止非农业开发建设，国家和城市重点建设项目确实无法避开基本农田保护区的，应经法定程序报批调整。</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调整农业结构，完善水利设施，改善农业生产条件、积极发展生态农业、现代农业。按照“适度集中、节约用地、有利生产、方便生活”的原则，引导散居农民向新型农村社区聚集，通过统筹城乡改革，调整使用宅基地。保持乡村生态环境风貌。</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加强农村面源污染治理，严格保护饮用水源。地表水饮用水源一级保护区内，停止一切农业生产活动，逐步搬迁现有生产企业和住宅，控制农田的化肥和农药使用量，严格禁止与水源保护无关的任何建设活动。</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4、在地质灾害危险性大区，禁止除排危抢险外的各类开发建设活动。后河控制河道二十年一遇洪水位以下区域不允许任意侵占、开发，禁止修建一切阻碍行洪的建筑物。</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在四山管制区禁建区内除排危抢险；村民自用住宅建设；道路、铁路、码头、桥梁、电力线路、通信线路、输气（油）管道、水利工程等重大基础设施及其必要的附属设施建设；军事设施建设；重要的公益性项目建设；因生态环境保护、风景名胜资源保护、文物保护需要进行的建设外，禁止各类开发建设活动。</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6、镇域内规划的国省级公路、重要基础设施等用地与走廊应予以严格保护。</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7、农村集中居民点一经确定，其用地应予控制，经依法审批，方可建设。</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8、落实兴隆镇生态红线划定方案，镇域内生态红线面积4000公顷，应严格执行生态红线相关管控要求。</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9、南天门森林公园面积1100公顷，严格按照国家林业局《森林公园管理办法》相关要求对其进行保护。</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五线控制</w:t>
      </w:r>
    </w:p>
    <w:p>
      <w:pPr>
        <w:spacing w:line="360" w:lineRule="auto"/>
        <w:ind w:firstLine="562" w:firstLineChars="200"/>
        <w:rPr>
          <w:rFonts w:ascii="黑体" w:hAnsi="黑体" w:eastAsia="黑体"/>
          <w:b/>
          <w:sz w:val="28"/>
          <w:szCs w:val="28"/>
        </w:rPr>
      </w:pPr>
      <w:r>
        <w:rPr>
          <w:rFonts w:hint="eastAsia" w:ascii="黑体" w:hAnsi="黑体" w:eastAsia="黑体"/>
          <w:b/>
          <w:sz w:val="28"/>
          <w:szCs w:val="28"/>
        </w:rPr>
        <w:t>规划区内凡是被红线、绿线、蓝线、黄线、紫线划定的区域，城市建设不得随意侵占，区域内各项建设将受到严格控制。</w:t>
      </w:r>
    </w:p>
    <w:p>
      <w:pPr>
        <w:spacing w:line="360" w:lineRule="auto"/>
        <w:ind w:firstLine="560" w:firstLineChars="200"/>
        <w:rPr>
          <w:rFonts w:ascii="宋体" w:hAnsi="宋体"/>
          <w:sz w:val="28"/>
          <w:szCs w:val="28"/>
        </w:rPr>
      </w:pPr>
      <w:r>
        <w:rPr>
          <w:rFonts w:hint="eastAsia" w:ascii="宋体" w:hAnsi="宋体"/>
          <w:sz w:val="28"/>
          <w:szCs w:val="28"/>
        </w:rPr>
        <w:t>1、红线控制</w:t>
      </w:r>
    </w:p>
    <w:p>
      <w:pPr>
        <w:spacing w:line="360" w:lineRule="auto"/>
        <w:ind w:firstLine="560" w:firstLineChars="200"/>
        <w:rPr>
          <w:rFonts w:ascii="宋体" w:hAnsi="宋体"/>
          <w:sz w:val="28"/>
          <w:szCs w:val="28"/>
        </w:rPr>
      </w:pPr>
      <w:r>
        <w:rPr>
          <w:rFonts w:hint="eastAsia" w:ascii="宋体" w:hAnsi="宋体"/>
          <w:sz w:val="28"/>
          <w:szCs w:val="28"/>
        </w:rPr>
        <w:t>镇区、村庄用地红线即城镇和村庄建设用地边界、生态保护红线。</w:t>
      </w:r>
    </w:p>
    <w:p>
      <w:pPr>
        <w:spacing w:line="360" w:lineRule="auto"/>
        <w:ind w:firstLine="560" w:firstLineChars="200"/>
        <w:rPr>
          <w:rFonts w:ascii="宋体" w:hAnsi="宋体"/>
          <w:sz w:val="28"/>
          <w:szCs w:val="28"/>
        </w:rPr>
      </w:pPr>
      <w:r>
        <w:rPr>
          <w:rFonts w:hint="eastAsia" w:ascii="宋体" w:hAnsi="宋体"/>
          <w:sz w:val="28"/>
          <w:szCs w:val="28"/>
        </w:rPr>
        <w:t>2、绿线控制</w:t>
      </w:r>
    </w:p>
    <w:p>
      <w:pPr>
        <w:spacing w:line="360" w:lineRule="auto"/>
        <w:ind w:right="103" w:rightChars="49" w:firstLine="560" w:firstLineChars="200"/>
        <w:rPr>
          <w:rFonts w:ascii="宋体" w:hAnsi="宋体"/>
          <w:sz w:val="28"/>
          <w:szCs w:val="28"/>
        </w:rPr>
      </w:pPr>
      <w:r>
        <w:rPr>
          <w:rFonts w:hint="eastAsia" w:ascii="宋体" w:hAnsi="宋体"/>
          <w:sz w:val="28"/>
          <w:szCs w:val="28"/>
        </w:rPr>
        <w:t>规划确定高速公路两侧按50米控制绿线，国道两侧按20米控制绿线，省道两侧按15米控制绿线，县道两侧按10米控制绿线，乡道两侧按5米控制绿线。</w:t>
      </w:r>
    </w:p>
    <w:p>
      <w:pPr>
        <w:spacing w:line="360" w:lineRule="auto"/>
        <w:ind w:firstLine="560" w:firstLineChars="200"/>
        <w:rPr>
          <w:rFonts w:ascii="宋体" w:hAnsi="宋体"/>
          <w:sz w:val="28"/>
          <w:szCs w:val="28"/>
        </w:rPr>
      </w:pPr>
      <w:r>
        <w:rPr>
          <w:rFonts w:hint="eastAsia" w:ascii="宋体" w:hAnsi="宋体"/>
          <w:sz w:val="28"/>
          <w:szCs w:val="28"/>
        </w:rPr>
        <w:t>镇区建设区范围外，水库水体外围按50米控制绿线，后河两侧按20米控制绿线，其余冲沟两侧按3米控制绿线。水体两侧绿线内为绝对禁建区，外围绿地控制为相对禁建区。</w:t>
      </w:r>
    </w:p>
    <w:p>
      <w:pPr>
        <w:spacing w:line="360" w:lineRule="auto"/>
        <w:ind w:firstLine="560" w:firstLineChars="200"/>
        <w:rPr>
          <w:rFonts w:ascii="宋体" w:hAnsi="宋体"/>
          <w:sz w:val="28"/>
          <w:szCs w:val="28"/>
        </w:rPr>
      </w:pPr>
      <w:r>
        <w:rPr>
          <w:rFonts w:hint="eastAsia" w:ascii="宋体" w:hAnsi="宋体"/>
          <w:sz w:val="28"/>
          <w:szCs w:val="28"/>
        </w:rPr>
        <w:t>3、蓝线控制</w:t>
      </w:r>
    </w:p>
    <w:p>
      <w:pPr>
        <w:spacing w:line="360" w:lineRule="auto"/>
        <w:ind w:firstLine="560" w:firstLineChars="200"/>
        <w:rPr>
          <w:rFonts w:ascii="宋体" w:hAnsi="宋体"/>
          <w:sz w:val="28"/>
          <w:szCs w:val="28"/>
        </w:rPr>
      </w:pPr>
      <w:r>
        <w:rPr>
          <w:rFonts w:hint="eastAsia" w:ascii="宋体" w:hAnsi="宋体"/>
          <w:sz w:val="28"/>
          <w:szCs w:val="28"/>
        </w:rPr>
        <w:t>后河流域和镇区蓝线按照天然河道水位二十年一遇执行。镇区按天然河道水位20年一遇洪水位等高线沿河流两侧自然岸线划定。</w:t>
      </w:r>
    </w:p>
    <w:p>
      <w:pPr>
        <w:spacing w:line="360" w:lineRule="auto"/>
        <w:ind w:firstLine="560" w:firstLineChars="200"/>
        <w:rPr>
          <w:rFonts w:ascii="宋体" w:hAnsi="宋体"/>
          <w:sz w:val="28"/>
          <w:szCs w:val="28"/>
        </w:rPr>
      </w:pPr>
      <w:r>
        <w:rPr>
          <w:rFonts w:hint="eastAsia" w:ascii="宋体" w:hAnsi="宋体"/>
          <w:sz w:val="28"/>
          <w:szCs w:val="28"/>
        </w:rPr>
        <w:t>4、紫线控制</w:t>
      </w:r>
    </w:p>
    <w:p>
      <w:pPr>
        <w:spacing w:line="360" w:lineRule="auto"/>
        <w:ind w:firstLine="560" w:firstLineChars="200"/>
        <w:rPr>
          <w:rFonts w:ascii="宋体" w:hAnsi="宋体"/>
          <w:sz w:val="28"/>
          <w:szCs w:val="28"/>
        </w:rPr>
      </w:pPr>
      <w:r>
        <w:rPr>
          <w:rFonts w:hint="eastAsia" w:ascii="宋体" w:hAnsi="宋体"/>
          <w:sz w:val="28"/>
          <w:szCs w:val="28"/>
        </w:rPr>
        <w:t>石岭岗崖墓群、永庆回龙庙崖墓群、干坝子石室墓群、古峰寺坊门、杜家冶炼址五个区级文物保护单位严格按照城市紫线管理办法的相关要求划定保护范围。禁止占用或者破坏紫线保护范围内的历史建筑、构筑物、园林绿地、道路和古树名木等。在该范围内的一切建设项目必须经文物主管部门及规划建设部门共同组织论证，禁止对文物单位构成破坏性影响的建设活动，在紫线范围内除绿地景观建设及文物保护单位修复活动外禁止其他形式建设活动。</w:t>
      </w:r>
    </w:p>
    <w:p>
      <w:pPr>
        <w:spacing w:line="360" w:lineRule="auto"/>
        <w:ind w:firstLine="560" w:firstLineChars="200"/>
        <w:rPr>
          <w:rFonts w:ascii="宋体" w:hAnsi="宋体"/>
          <w:sz w:val="28"/>
          <w:szCs w:val="28"/>
        </w:rPr>
      </w:pPr>
      <w:r>
        <w:rPr>
          <w:rFonts w:hint="eastAsia" w:ascii="宋体" w:hAnsi="宋体"/>
          <w:sz w:val="28"/>
          <w:szCs w:val="28"/>
        </w:rPr>
        <w:t>5、黄线控制</w:t>
      </w:r>
    </w:p>
    <w:p>
      <w:pPr>
        <w:pStyle w:val="69"/>
        <w:spacing w:line="360" w:lineRule="auto"/>
        <w:ind w:firstLine="560"/>
        <w:rPr>
          <w:rFonts w:ascii="宋体" w:hAnsi="宋体"/>
          <w:sz w:val="28"/>
          <w:szCs w:val="28"/>
        </w:rPr>
      </w:pPr>
      <w:r>
        <w:rPr>
          <w:rFonts w:hint="eastAsia" w:ascii="宋体" w:hAnsi="宋体"/>
          <w:sz w:val="28"/>
          <w:szCs w:val="28"/>
        </w:rPr>
        <w:t>电力线保护区黄线控制：</w:t>
      </w:r>
      <w:r>
        <w:rPr>
          <w:rFonts w:ascii="宋体" w:hAnsi="宋体"/>
          <w:sz w:val="28"/>
          <w:szCs w:val="28"/>
        </w:rPr>
        <w:t>110千伏架空电力线两侧</w:t>
      </w:r>
      <w:r>
        <w:rPr>
          <w:rFonts w:hint="eastAsia" w:ascii="宋体" w:hAnsi="宋体"/>
          <w:sz w:val="28"/>
          <w:szCs w:val="28"/>
        </w:rPr>
        <w:t>15</w:t>
      </w:r>
      <w:r>
        <w:rPr>
          <w:rFonts w:ascii="宋体" w:hAnsi="宋体"/>
          <w:sz w:val="28"/>
          <w:szCs w:val="28"/>
        </w:rPr>
        <w:t>米</w:t>
      </w:r>
      <w:r>
        <w:rPr>
          <w:rFonts w:hint="eastAsia" w:ascii="宋体" w:hAnsi="宋体"/>
          <w:sz w:val="28"/>
          <w:szCs w:val="28"/>
        </w:rPr>
        <w:t>为黄线控制区</w:t>
      </w:r>
      <w:r>
        <w:rPr>
          <w:rFonts w:ascii="宋体" w:hAnsi="宋体"/>
          <w:sz w:val="28"/>
          <w:szCs w:val="28"/>
        </w:rPr>
        <w:t>；35千伏架空电力线两侧</w:t>
      </w:r>
      <w:r>
        <w:rPr>
          <w:rFonts w:hint="eastAsia" w:ascii="宋体" w:hAnsi="宋体"/>
          <w:sz w:val="28"/>
          <w:szCs w:val="28"/>
        </w:rPr>
        <w:t>10</w:t>
      </w:r>
      <w:r>
        <w:rPr>
          <w:rFonts w:ascii="宋体" w:hAnsi="宋体"/>
          <w:sz w:val="28"/>
          <w:szCs w:val="28"/>
        </w:rPr>
        <w:t>米为黄线控制区。</w:t>
      </w:r>
    </w:p>
    <w:p>
      <w:pPr>
        <w:spacing w:line="360" w:lineRule="auto"/>
        <w:ind w:firstLine="560" w:firstLineChars="200"/>
        <w:rPr>
          <w:rFonts w:ascii="宋体" w:hAnsi="宋体"/>
          <w:sz w:val="28"/>
          <w:szCs w:val="28"/>
        </w:rPr>
      </w:pPr>
      <w:r>
        <w:rPr>
          <w:rFonts w:hint="eastAsia" w:ascii="宋体" w:hAnsi="宋体"/>
          <w:sz w:val="28"/>
          <w:szCs w:val="28"/>
        </w:rPr>
        <w:t>变电站、天然气配气站、水厂、污水处理厂、垃圾中转站等按有关规定划定黄线区域。</w:t>
      </w:r>
    </w:p>
    <w:p>
      <w:pPr>
        <w:pStyle w:val="3"/>
        <w:numPr>
          <w:ilvl w:val="0"/>
          <w:numId w:val="5"/>
        </w:numPr>
        <w:jc w:val="center"/>
        <w:rPr>
          <w:rFonts w:eastAsia="宋体"/>
          <w:sz w:val="30"/>
          <w:szCs w:val="30"/>
        </w:rPr>
      </w:pPr>
      <w:bookmarkStart w:id="13" w:name="_Toc515956480"/>
      <w:r>
        <w:rPr>
          <w:rFonts w:hint="eastAsia" w:eastAsia="宋体"/>
          <w:sz w:val="30"/>
          <w:szCs w:val="30"/>
        </w:rPr>
        <w:t>镇域生态环境保护规划</w:t>
      </w:r>
      <w:bookmarkEnd w:id="13"/>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水环境保护</w:t>
      </w:r>
    </w:p>
    <w:p>
      <w:pPr>
        <w:tabs>
          <w:tab w:val="left" w:pos="1276"/>
        </w:tabs>
        <w:spacing w:line="360" w:lineRule="auto"/>
        <w:ind w:right="-199" w:rightChars="-95" w:firstLine="560" w:firstLineChars="200"/>
        <w:rPr>
          <w:sz w:val="28"/>
          <w:szCs w:val="24"/>
        </w:rPr>
      </w:pPr>
      <w:r>
        <w:rPr>
          <w:rFonts w:hint="eastAsia"/>
          <w:sz w:val="28"/>
          <w:szCs w:val="24"/>
        </w:rPr>
        <w:t>所有用于饮用水水源的江河、水库，均应按国家饮用水水源保护的规定，设定管制区和防护区。确保观音洞水库饮用水水源的水质符合国家标准。</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镇域内所有水系的水质应保持在国家地表水Ⅲ类标准。</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大气环境保护</w:t>
      </w:r>
    </w:p>
    <w:p>
      <w:pPr>
        <w:tabs>
          <w:tab w:val="left" w:pos="1276"/>
        </w:tabs>
        <w:spacing w:line="360" w:lineRule="auto"/>
        <w:ind w:right="-199" w:rightChars="-95" w:firstLine="562" w:firstLineChars="200"/>
        <w:rPr>
          <w:sz w:val="28"/>
          <w:szCs w:val="24"/>
        </w:rPr>
      </w:pPr>
      <w:r>
        <w:rPr>
          <w:rFonts w:hint="eastAsia" w:asciiTheme="minorEastAsia" w:hAnsiTheme="minorEastAsia" w:eastAsiaTheme="minorEastAsia" w:cstheme="minorEastAsia"/>
          <w:b/>
          <w:sz w:val="28"/>
          <w:szCs w:val="24"/>
        </w:rPr>
        <w:t>镇域内南天门森林公园范围为一类功能区，其它区域为二类功能区。</w:t>
      </w:r>
      <w:r>
        <w:rPr>
          <w:rFonts w:hint="eastAsia"/>
          <w:sz w:val="28"/>
          <w:szCs w:val="24"/>
        </w:rPr>
        <w:t>两类功能区应分别执行《环境空气质量标准》（</w:t>
      </w:r>
      <w:r>
        <w:rPr>
          <w:sz w:val="28"/>
          <w:szCs w:val="24"/>
        </w:rPr>
        <w:t>GB3095</w:t>
      </w:r>
      <w:r>
        <w:rPr>
          <w:rFonts w:hint="eastAsia"/>
          <w:sz w:val="28"/>
          <w:szCs w:val="24"/>
        </w:rPr>
        <w:t>－</w:t>
      </w:r>
      <w:r>
        <w:rPr>
          <w:sz w:val="28"/>
          <w:szCs w:val="24"/>
        </w:rPr>
        <w:t>2012</w:t>
      </w:r>
      <w:r>
        <w:rPr>
          <w:rFonts w:hint="eastAsia"/>
          <w:sz w:val="28"/>
          <w:szCs w:val="24"/>
        </w:rPr>
        <w:t>）中的对应等级标准。</w:t>
      </w:r>
    </w:p>
    <w:p>
      <w:pPr>
        <w:tabs>
          <w:tab w:val="left" w:pos="1276"/>
        </w:tabs>
        <w:spacing w:line="360" w:lineRule="auto"/>
        <w:ind w:right="-199" w:rightChars="-95" w:firstLine="560" w:firstLineChars="200"/>
        <w:rPr>
          <w:sz w:val="24"/>
        </w:rPr>
      </w:pPr>
      <w:r>
        <w:rPr>
          <w:rFonts w:hint="eastAsia"/>
          <w:sz w:val="28"/>
          <w:szCs w:val="24"/>
        </w:rPr>
        <w:t>镇域内应加强生态绿地建设与国省道、县级公路和水库四周的防护绿地建设，加强农村“四地四旁”绿地建设，退耕还林，消灭荒山秃岭。</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声环境保护</w:t>
      </w:r>
    </w:p>
    <w:p>
      <w:pPr>
        <w:tabs>
          <w:tab w:val="left" w:pos="1276"/>
        </w:tabs>
        <w:spacing w:line="360" w:lineRule="auto"/>
        <w:ind w:right="-199" w:rightChars="-95" w:firstLine="560" w:firstLineChars="200"/>
        <w:rPr>
          <w:rFonts w:asciiTheme="minorEastAsia" w:hAnsiTheme="minorEastAsia" w:eastAsiaTheme="minorEastAsia" w:cstheme="minorEastAsia"/>
          <w:b/>
          <w:sz w:val="28"/>
          <w:szCs w:val="24"/>
        </w:rPr>
      </w:pPr>
      <w:r>
        <w:rPr>
          <w:rFonts w:hint="eastAsia"/>
          <w:sz w:val="28"/>
          <w:szCs w:val="24"/>
        </w:rPr>
        <w:t>根据《声环境质量标准》（</w:t>
      </w:r>
      <w:r>
        <w:rPr>
          <w:sz w:val="28"/>
          <w:szCs w:val="24"/>
        </w:rPr>
        <w:t>GB3096</w:t>
      </w:r>
      <w:r>
        <w:rPr>
          <w:rFonts w:hint="eastAsia"/>
          <w:sz w:val="28"/>
          <w:szCs w:val="24"/>
        </w:rPr>
        <w:t>－</w:t>
      </w:r>
      <w:r>
        <w:rPr>
          <w:sz w:val="28"/>
          <w:szCs w:val="24"/>
        </w:rPr>
        <w:t>2008</w:t>
      </w:r>
      <w:r>
        <w:rPr>
          <w:rFonts w:hint="eastAsia"/>
          <w:sz w:val="28"/>
          <w:szCs w:val="24"/>
        </w:rPr>
        <w:t>）的要求，</w:t>
      </w:r>
      <w:r>
        <w:rPr>
          <w:rFonts w:hint="eastAsia" w:asciiTheme="minorEastAsia" w:hAnsiTheme="minorEastAsia" w:eastAsiaTheme="minorEastAsia" w:cstheme="minorEastAsia"/>
          <w:b/>
          <w:sz w:val="28"/>
          <w:szCs w:val="24"/>
        </w:rPr>
        <w:t>镇区与永庆社区执行2类声环境功能区要求，其它区域原则上执行1类声环境功能要求。</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固体废弃物处置</w:t>
      </w:r>
    </w:p>
    <w:p>
      <w:pPr>
        <w:tabs>
          <w:tab w:val="left" w:pos="1276"/>
        </w:tabs>
        <w:spacing w:line="360" w:lineRule="auto"/>
        <w:ind w:right="-199" w:rightChars="-95" w:firstLine="560" w:firstLineChars="200"/>
        <w:rPr>
          <w:sz w:val="24"/>
        </w:rPr>
      </w:pPr>
      <w:r>
        <w:rPr>
          <w:rFonts w:hint="eastAsia"/>
          <w:sz w:val="28"/>
          <w:szCs w:val="24"/>
        </w:rPr>
        <w:t>镇域内各农村集中居民点的生活垃圾，应开展生活垃圾分片收集、集中处理，指定地点卫生填埋；任何建筑、生产、生活垃圾均不得随意堆放和倾倒。</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环卫设施规划</w:t>
      </w:r>
    </w:p>
    <w:p>
      <w:pPr>
        <w:spacing w:line="360" w:lineRule="auto"/>
        <w:ind w:firstLine="560" w:firstLineChars="200"/>
        <w:rPr>
          <w:rFonts w:ascii="宋体" w:hAnsi="宋体"/>
          <w:sz w:val="28"/>
          <w:szCs w:val="28"/>
        </w:rPr>
      </w:pPr>
      <w:r>
        <w:rPr>
          <w:rFonts w:hint="eastAsia" w:ascii="宋体" w:hAnsi="宋体"/>
          <w:sz w:val="28"/>
          <w:szCs w:val="28"/>
        </w:rPr>
        <w:t>加强村镇环卫设施建设，对生活、生产污染加以控制，在人口集中的地方修建公厕、垃圾收集点。全镇垃圾统一送至垃圾处理厂处理，本镇应完善垃圾收集、转运设施。</w:t>
      </w:r>
    </w:p>
    <w:p>
      <w:pPr>
        <w:spacing w:line="360" w:lineRule="auto"/>
        <w:ind w:firstLine="560" w:firstLineChars="200"/>
        <w:rPr>
          <w:rFonts w:ascii="宋体" w:hAnsi="宋体"/>
          <w:sz w:val="28"/>
          <w:szCs w:val="28"/>
        </w:rPr>
      </w:pPr>
      <w:r>
        <w:rPr>
          <w:rFonts w:hint="eastAsia" w:ascii="宋体" w:hAnsi="宋体"/>
          <w:sz w:val="28"/>
          <w:szCs w:val="28"/>
        </w:rPr>
        <w:t>规划垃圾垃圾收集点16处，垃圾收集点应采用封闭式设施，每处面积不得小于100平方米，与周围建筑物的间隔不得小于5米。</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历史文化遗产保护规划</w:t>
      </w:r>
    </w:p>
    <w:p>
      <w:pPr>
        <w:spacing w:line="360" w:lineRule="auto"/>
        <w:ind w:firstLine="560" w:firstLineChars="200"/>
        <w:rPr>
          <w:rFonts w:ascii="宋体" w:hAnsi="宋体"/>
          <w:sz w:val="28"/>
          <w:szCs w:val="28"/>
        </w:rPr>
      </w:pPr>
      <w:r>
        <w:rPr>
          <w:rFonts w:hint="eastAsia" w:ascii="宋体" w:hAnsi="宋体"/>
          <w:sz w:val="28"/>
          <w:szCs w:val="28"/>
        </w:rPr>
        <w:t>认真贯彻“保护为主，抢救第一，合理利用，加强管理”的原则，在切实做好历史文化遗产保护的前提下，充分发挥历史文化遗产的社会教育作用、历史借鉴作用和科学研究作用。以历史文化资源为依托，合理发展旅游。分类编制保护规划，按照城市紫线管理办法，划定石岭岗崖墓群、永庆回龙庙崖墓群、干坝子石室墓群、古峰寺坊门、杜家冶炼址五个区级文物保护单位的保护范围和建设控制地带。</w:t>
      </w:r>
    </w:p>
    <w:p>
      <w:pPr>
        <w:numPr>
          <w:ilvl w:val="0"/>
          <w:numId w:val="4"/>
        </w:numPr>
        <w:spacing w:line="360" w:lineRule="auto"/>
        <w:rPr>
          <w:rFonts w:ascii="黑体" w:hAnsi="黑体" w:eastAsia="黑体"/>
          <w:b/>
          <w:sz w:val="28"/>
          <w:szCs w:val="28"/>
        </w:rPr>
      </w:pPr>
      <w:r>
        <w:rPr>
          <w:rFonts w:ascii="黑体" w:hAnsi="黑体" w:eastAsia="黑体"/>
          <w:b/>
          <w:sz w:val="28"/>
          <w:szCs w:val="28"/>
        </w:rPr>
        <w:t>环境影响评价</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环境影响评价法》《规划环境影响评价条例》《重庆市环境保护条例》《重庆市人民政府批转市环保局关于开展规划环境影响评价工作的实施意见的通知》（渝府发[2005]40号）《关于加强产业园区规划环境影响评价有关工作的通知》（环发[2011]14号）中相关规定和要求，规划区不涉及国务院及省、自治区、直辖市人民政府批准设立的经济技术开发区、高新技术开发区、保税区、出口加工区、边境经济合作区等开发区以及设区的市级以上地方人民政府批准设立的各类产业集聚区、工业园区等产业园区，需编制环境影响评价篇章或说明。</w:t>
      </w:r>
    </w:p>
    <w:p>
      <w:pPr>
        <w:numPr>
          <w:ilvl w:val="0"/>
          <w:numId w:val="6"/>
        </w:num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镇域资源环境承载能力</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土地资源承载力：规划农林用地7</w:t>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t>40.26公顷，能满足规划种植业的发展，规划建设用地836.29公顷，基本满足兴隆镇现代农业服务产及都市农业休闲观光旅游产业的发展。</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农业资源承载力：兴隆镇域良好的蔬菜、水产及伏季水果等农业资源，能为农副产品加工业提供原料支撑。渝北国家科技农业园区范围内传统养殖模式下，养鸡和养猪存栏规模合计不超过8000头猪。</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水资源承载力：规划区水资源需求总量不超过镇域水资源承载力，生活用水近期依托现状兴隆水厂，中远期由牛头岩水厂供水。灌溉用水主要依托红卫水库、红星水库、红旗水库、丰收水库、新桥水库。</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大气环境承载力：主要大气污染因子为SO</w:t>
      </w:r>
      <w:r>
        <w:rPr>
          <w:rFonts w:hint="eastAsia" w:asciiTheme="minorEastAsia" w:hAnsiTheme="minorEastAsia" w:eastAsiaTheme="minorEastAsia" w:cstheme="minorEastAsia"/>
          <w:sz w:val="28"/>
          <w:szCs w:val="28"/>
          <w:vertAlign w:val="subscript"/>
        </w:rPr>
        <w:t>2</w:t>
      </w:r>
      <w:r>
        <w:rPr>
          <w:rFonts w:hint="eastAsia" w:asciiTheme="minorEastAsia" w:hAnsiTheme="minorEastAsia" w:eastAsiaTheme="minorEastAsia" w:cstheme="minorEastAsia"/>
          <w:sz w:val="28"/>
          <w:szCs w:val="28"/>
        </w:rPr>
        <w:t>、NO</w:t>
      </w:r>
      <w:r>
        <w:rPr>
          <w:rFonts w:hint="eastAsia" w:asciiTheme="minorEastAsia" w:hAnsiTheme="minorEastAsia" w:eastAsiaTheme="minorEastAsia" w:cstheme="minorEastAsia"/>
          <w:sz w:val="28"/>
          <w:szCs w:val="28"/>
          <w:vertAlign w:val="subscript"/>
        </w:rPr>
        <w:t>2</w:t>
      </w:r>
      <w:r>
        <w:rPr>
          <w:rFonts w:hint="eastAsia" w:asciiTheme="minorEastAsia" w:hAnsiTheme="minorEastAsia" w:eastAsiaTheme="minorEastAsia" w:cstheme="minorEastAsia"/>
          <w:sz w:val="28"/>
          <w:szCs w:val="28"/>
        </w:rPr>
        <w:t>、PM10，污染物排放量占区域大气环境容量比例极小，大气环境能够支撑规划发展需要。</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环境容量：镇域大气和地表水环境容量，可支撑规划实施。</w:t>
      </w:r>
    </w:p>
    <w:p>
      <w:pPr>
        <w:numPr>
          <w:ilvl w:val="0"/>
          <w:numId w:val="6"/>
        </w:num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三线一单管理要求</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（1）生态保护红线</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划定基本农田区域及210国道以西的四山管制区为生态保护红线区域，面积约4</w:t>
      </w:r>
      <w:r>
        <w:rPr>
          <w:rFonts w:asciiTheme="minorEastAsia" w:hAnsiTheme="minorEastAsia" w:eastAsiaTheme="minorEastAsia" w:cstheme="minorEastAsia"/>
          <w:b/>
          <w:sz w:val="28"/>
          <w:szCs w:val="28"/>
        </w:rPr>
        <w:t>0</w:t>
      </w:r>
      <w:r>
        <w:rPr>
          <w:rFonts w:hint="eastAsia" w:asciiTheme="minorEastAsia" w:hAnsiTheme="minorEastAsia" w:eastAsiaTheme="minorEastAsia" w:cstheme="minorEastAsia"/>
          <w:b/>
          <w:sz w:val="28"/>
          <w:szCs w:val="28"/>
        </w:rPr>
        <w:t>平方公里。禁止四山管制区禁建区内进行单一的房地产开发；畜禽粪便贮存设施的位置必须远离各类功能地表水体（距离不得小于400米）；禁止除中药材初加工以外的中药材加工项目。</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规划镇域内各水库周边不少于30米的绿化缓冲带，三环高速不少于50米的绿化防护带及镇区开发建设边界临近四山管制区50米的缓冲带为限制建设区。</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（2）环境质量底线</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大气环境质量底线：区域大气环境质量满足《环境空气质量标准》(GB3095 -2012)二级标准。</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地表水环境质量底线：温塘河水环境质量满足《地表水环境质量标准》（GB3838－2002）III类标准要求。</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土壤环境质量底线：区域土壤环境质量满足《土壤环境质量标准》(GB15618-1995)二级标准要求。</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地下水环境质量底线：区域地下水环境满足《地下水质量标准》(GB/T14848-1993)III类标准要求。</w:t>
      </w:r>
    </w:p>
    <w:p>
      <w:pPr>
        <w:adjustRightInd w:val="0"/>
        <w:snapToGrid w:val="0"/>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（3）资源利用上线</w:t>
      </w:r>
    </w:p>
    <w:p>
      <w:pPr>
        <w:adjustRightInd w:val="0"/>
        <w:snapToGrid w:val="0"/>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水资源利用上限：生活用水总量上限</w:t>
      </w:r>
      <w:r>
        <w:rPr>
          <w:rFonts w:asciiTheme="minorEastAsia" w:hAnsiTheme="minorEastAsia" w:eastAsiaTheme="minorEastAsia" w:cstheme="minorEastAsia"/>
          <w:b/>
          <w:bCs/>
          <w:sz w:val="28"/>
          <w:szCs w:val="28"/>
        </w:rPr>
        <w:t>1.2</w:t>
      </w:r>
      <w:r>
        <w:rPr>
          <w:rFonts w:hint="eastAsia" w:asciiTheme="minorEastAsia" w:hAnsiTheme="minorEastAsia" w:eastAsiaTheme="minorEastAsia" w:cstheme="minorEastAsia"/>
          <w:b/>
          <w:bCs/>
          <w:sz w:val="28"/>
          <w:szCs w:val="28"/>
        </w:rPr>
        <w:t>万立方米/天，灌溉用水总量上限400万立方米/天。</w:t>
      </w:r>
    </w:p>
    <w:p>
      <w:pPr>
        <w:adjustRightInd w:val="0"/>
        <w:snapToGrid w:val="0"/>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土地资源:建设用地总量上限</w:t>
      </w:r>
      <w:r>
        <w:rPr>
          <w:rFonts w:hint="eastAsia" w:asciiTheme="minorEastAsia" w:hAnsiTheme="minorEastAsia" w:eastAsiaTheme="minorEastAsia" w:cstheme="minorEastAsia"/>
          <w:b/>
          <w:sz w:val="28"/>
          <w:szCs w:val="28"/>
        </w:rPr>
        <w:t>776.03</w:t>
      </w:r>
      <w:r>
        <w:rPr>
          <w:rFonts w:hint="eastAsia" w:asciiTheme="minorEastAsia" w:hAnsiTheme="minorEastAsia" w:eastAsiaTheme="minorEastAsia" w:cstheme="minorEastAsia"/>
          <w:b/>
          <w:bCs/>
          <w:sz w:val="28"/>
          <w:szCs w:val="28"/>
        </w:rPr>
        <w:t>公顷。</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（4）环境准入清单</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产业准入：限制畜禽养殖选址在红旗水库沿岸300米-500米区域内；禁止除农业配套外的加工型工业；禁止规划区位于四山管控区部分进行单一的房地产开发；禁止禽粪便贮存选址在红旗水库400米范围内；禁止畜禽养殖选址在红旗水库沿岸300米区域内。</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工艺准入：限制水产养殖使用抗生素等化学药品；禁止高毒、高残留农药施用及除中药材初加工以外的中药材加工项目。</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3、环境保护措施</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（1）废水收集处理</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排水采用雨、污分流制，利用原合流沟渠作为雨水沟渠，新建污水管道系统。兴隆污水处理厂处理后排入附近小河沟，最终汇入温塘河。农业园区内两座污水处理厂污水处理后排入园区内天然坑塘天鹅湖，之后回用于园区灌溉。污水处理厂的产臭设施应加盖或者采用地埋式建设方案。</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（2）大气污染防治</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燃料废气及餐饮油烟：鼓励居民以电能、天然气为能源，减少居民对生物质能源的使用量；鼓励各养殖企业对沼气的综合利用，对沼气池内产生的沼气进行集中收集，用于企业自身及周边农户；推广清洁能源工程，提高清洁能源使用比例。餐厅等一律安装油烟净化器，除油达标后引至屋顶排放；居住区厨房油烟经烟道引至屋顶集中排放。</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农产品加工废气：通过垃圾密闭收集、定点收集、日产日清、场地每日清扫、冲洗等措施减缓不利影响。</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污水处理厂及养殖臭气：污水处理厂室内部分，采用机械通风方式，减少臭气危害，露天部分采用自然通风消除臭气，合理布置沉砂池、格栅井、污泥浓缩池的位置，污水处理厂的产臭设施应加盖或者采用地埋式建设方案。对于养殖场、有机肥生产厂以及污水处理设施等臭气，应做到合理优化禽舍布置，提高场内空气流动性，粪便及时清理，种植抗臭能力较强的乔灌木等，确保养殖场场界处恶臭气体浓度满足《恶臭污染物排放标准》（GB14554-93）中二级标准。对各类废气进行收集处理，确保工艺废气达标排放。</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交通废气：车辆尾气达标排放，加强道路两侧绿化。</w:t>
      </w:r>
    </w:p>
    <w:p>
      <w:pPr>
        <w:spacing w:line="360" w:lineRule="auto"/>
        <w:ind w:left="420" w:left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（3）固体废物处理</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严格按照“无害化、减量化、资源化的”目标，提高农作物秸秆、畜禽粪便、农膜等农业固体废弃物的综合利用效率。</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危险废物按国家《危险废物污染防治技术政策》和重庆市危险废物管理的有关规定严格管理，危险废物送主城区危险废物处置场处置。卫生服务站产生的医疗废物，送同兴医疗废物处置场处置，必须符合有关环保要求。</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加强村镇环卫设施建设，完善垃圾收集、转运设施，对生活、生产污染加以控制，人口集中的地方修建公厕、垃圾收集点，通过分类收集，提高资源利用率，由环卫部门统一送至垃圾处理厂集中处理。</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污水处理厂产生的栅渣等应采用密闭垃圾车直接运往垃圾填埋场填埋，产生的污泥尽量作为肥料利用，不能利用的，建议采用袋装化后送垃圾填埋场进行卫生填埋。</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菜叶、秸秆废渣等固体废物可作肥料退还土壤，以补充和更新土壤有机质，提供丰富的氮、磷、钾、硅等元素。废弃农膜在整地过程中应及时将薄膜回收，外售再生利用。</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（4）防止噪声污染扰民</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合理布局，科学规划建筑物与交通干线的防噪声距离。</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居住、医疗、学校等地方，充分考虑区域内主要交通干道的交通噪声，依据国家声环境质量标准和建筑隔声设计规范，提出相应的规划设计要求。</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面向道路的建筑物，应间隔必要的距离，且层数不易过高，更不宜两侧相对减少，以免回声带来更大的噪声污染。</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严格控制交通噪声，道路沿线采取限速、禁鸣等相关管理措施，最大限度的控制交通噪声污染。</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加强社会生活噪声管理，包括营业性文化娱乐场所，商业经营活动中向环境排放的噪声等。</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严格控制施工噪声污染。对建筑施工项目采取开工前15天排污申报登记许可证制度，施工作业时间应避开居民休息时间。环保部门应加强对施工场地现场的监督检查并要求施工方采取隔声降噪措施。</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（5）控制开发规模</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控制区域开发强度和规模，合理规划居住人口，创造良好的宜居环境，减少对区域环境的影响。</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（6）环境管理</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宋体" w:hAnsi="宋体" w:eastAsiaTheme="minorEastAsia"/>
          <w:b/>
          <w:sz w:val="28"/>
          <w:szCs w:val="28"/>
        </w:rPr>
        <w:t>单个建设项目必须严格执行环境影响评价和环保“三同时”制度。</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（7）环境影响跟踪评价</w:t>
      </w:r>
    </w:p>
    <w:p>
      <w:pPr>
        <w:adjustRightInd w:val="0"/>
        <w:snapToGrid w:val="0"/>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规划实施后应按规定组织开展规划环境影响跟踪评价，针对发现的环境问题采取改进措施或修订规划。</w:t>
      </w:r>
    </w:p>
    <w:p>
      <w:pPr>
        <w:pStyle w:val="3"/>
        <w:numPr>
          <w:ilvl w:val="0"/>
          <w:numId w:val="5"/>
        </w:numPr>
        <w:jc w:val="center"/>
        <w:rPr>
          <w:rFonts w:eastAsia="宋体"/>
          <w:sz w:val="30"/>
          <w:szCs w:val="30"/>
        </w:rPr>
      </w:pPr>
      <w:bookmarkStart w:id="14" w:name="_Toc515956481"/>
      <w:r>
        <w:rPr>
          <w:rFonts w:hint="eastAsia" w:eastAsia="宋体"/>
          <w:sz w:val="30"/>
          <w:szCs w:val="30"/>
        </w:rPr>
        <w:t>镇域综合防灾减灾规划</w:t>
      </w:r>
      <w:bookmarkEnd w:id="14"/>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地质灾害防治规划</w:t>
      </w:r>
    </w:p>
    <w:p>
      <w:pPr>
        <w:spacing w:line="360" w:lineRule="auto"/>
        <w:ind w:firstLine="480"/>
        <w:rPr>
          <w:rFonts w:ascii="宋体" w:hAnsi="宋体"/>
          <w:b/>
          <w:bCs/>
          <w:sz w:val="28"/>
          <w:szCs w:val="28"/>
        </w:rPr>
      </w:pPr>
      <w:r>
        <w:rPr>
          <w:rFonts w:hint="eastAsia" w:ascii="宋体" w:hAnsi="宋体"/>
          <w:b/>
          <w:bCs/>
          <w:sz w:val="28"/>
          <w:szCs w:val="28"/>
        </w:rPr>
        <w:t>镇域内一切建设活动都必须以相应的地质勘探资料为依据，应进行地灾处理的项目必须在处理之后，按规定程序报批建设。</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防洪</w:t>
      </w:r>
    </w:p>
    <w:p>
      <w:pPr>
        <w:spacing w:line="360" w:lineRule="auto"/>
        <w:ind w:firstLine="480"/>
        <w:rPr>
          <w:rFonts w:ascii="宋体" w:hAnsi="宋体"/>
          <w:sz w:val="28"/>
          <w:szCs w:val="28"/>
        </w:rPr>
      </w:pPr>
      <w:r>
        <w:rPr>
          <w:rFonts w:hint="eastAsia" w:ascii="宋体" w:hAnsi="宋体"/>
          <w:sz w:val="28"/>
          <w:szCs w:val="28"/>
        </w:rPr>
        <w:t>镇区按照天然河道水位二十年一遇洪水位设防，其他非镇区段河流按照天然河道水位二十年一遇洪水位设防。水域两侧二十年一遇洪水位以下为禁建区，在此区域内禁止修建任何阻碍行洪的构筑物及重要基础设施工程。此外，还应采取相应措施预防山洪，整治河道，加固现有防洪堤，改建新建水闸和排涝站；定期疏浚河道、排洪沟，提高其蓄洪和排涝能力，设置防护绿廊，注意防山洪。</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消防</w:t>
      </w:r>
    </w:p>
    <w:p>
      <w:pPr>
        <w:spacing w:line="360" w:lineRule="auto"/>
        <w:ind w:firstLine="480"/>
        <w:rPr>
          <w:rFonts w:ascii="宋体" w:hAnsi="宋体"/>
          <w:sz w:val="28"/>
          <w:szCs w:val="28"/>
        </w:rPr>
      </w:pPr>
      <w:r>
        <w:rPr>
          <w:rFonts w:hint="eastAsia" w:ascii="宋体" w:hAnsi="宋体"/>
          <w:sz w:val="28"/>
          <w:szCs w:val="28"/>
        </w:rPr>
        <w:t>根据《重庆市小城镇消防规划编制技术规定》的规定，</w:t>
      </w:r>
      <w:r>
        <w:rPr>
          <w:rFonts w:hint="eastAsia" w:ascii="宋体" w:hAnsi="宋体"/>
          <w:b/>
          <w:bCs/>
          <w:sz w:val="28"/>
          <w:szCs w:val="28"/>
        </w:rPr>
        <w:t>于镇区A12-5/01地块新建一座消防站，占地面积3346平方米，</w:t>
      </w:r>
      <w:r>
        <w:rPr>
          <w:rFonts w:hint="eastAsia" w:ascii="宋体" w:hAnsi="宋体"/>
          <w:sz w:val="28"/>
          <w:szCs w:val="28"/>
        </w:rPr>
        <w:t>设置专职消防队和消防指挥中心。</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镇域内具备镇区自来水供应的农村集中居民点的消防，应纳入压力水消防范畴进行规划；无市政给水管网的行政村及大型居民点应设消防专用水池，充分利用天然水源作为消防水源，并应设置取水设施。</w:t>
      </w:r>
    </w:p>
    <w:p>
      <w:pPr>
        <w:spacing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建立完善的森林防火规章制度，杜绝火灾隐患，设立森林防火隔离带，每隔一定距离设森林防火通道。</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防震</w:t>
      </w:r>
    </w:p>
    <w:p>
      <w:pPr>
        <w:spacing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镇域范围内所有建筑按6度设防，重要建筑和生命线工程应提高一度设防。学校、医院等人员密集的公共场所的建筑应采用高于一般建设工程的抗震设防要求建设</w:t>
      </w:r>
      <w:r>
        <w:rPr>
          <w:rFonts w:hint="eastAsia" w:asciiTheme="minorEastAsia" w:hAnsiTheme="minorEastAsia" w:eastAsiaTheme="minorEastAsia" w:cstheme="minorEastAsia"/>
          <w:sz w:val="28"/>
          <w:szCs w:val="28"/>
        </w:rPr>
        <w:t>。</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人防</w:t>
      </w:r>
    </w:p>
    <w:p>
      <w:pPr>
        <w:spacing w:line="360" w:lineRule="auto"/>
        <w:ind w:firstLine="562" w:firstLineChars="200"/>
        <w:rPr>
          <w:rFonts w:ascii="宋体" w:hAnsi="宋体"/>
          <w:b/>
          <w:bCs/>
          <w:sz w:val="28"/>
          <w:szCs w:val="28"/>
        </w:rPr>
      </w:pPr>
      <w:r>
        <w:rPr>
          <w:rFonts w:hint="eastAsia" w:ascii="宋体" w:hAnsi="宋体"/>
          <w:b/>
          <w:bCs/>
          <w:sz w:val="28"/>
          <w:szCs w:val="28"/>
        </w:rPr>
        <w:t>按国家规定，</w:t>
      </w:r>
      <w:r>
        <w:rPr>
          <w:rFonts w:ascii="宋体" w:hAnsi="宋体"/>
          <w:b/>
          <w:bCs/>
          <w:sz w:val="28"/>
          <w:szCs w:val="28"/>
        </w:rPr>
        <w:t>结合绿化广场、小区地下停车库、体量较大的办公楼逐步建立起地下人防工程</w:t>
      </w:r>
      <w:r>
        <w:rPr>
          <w:rFonts w:hint="eastAsia" w:ascii="宋体" w:hAnsi="宋体"/>
          <w:b/>
          <w:bCs/>
          <w:sz w:val="28"/>
          <w:szCs w:val="28"/>
        </w:rPr>
        <w:t>，镇区</w:t>
      </w:r>
      <w:r>
        <w:rPr>
          <w:rFonts w:ascii="宋体" w:hAnsi="宋体"/>
          <w:b/>
          <w:bCs/>
          <w:sz w:val="28"/>
          <w:szCs w:val="28"/>
        </w:rPr>
        <w:t>绿地、广场等开敞空间作为紧急避难场所，人均用地不小于2平方米，</w:t>
      </w:r>
      <w:r>
        <w:rPr>
          <w:rFonts w:hint="eastAsia" w:ascii="宋体" w:hAnsi="宋体"/>
          <w:b/>
          <w:bCs/>
          <w:sz w:val="28"/>
          <w:szCs w:val="28"/>
        </w:rPr>
        <w:t>以步行5至10分钟路程的疏散半径为宜</w:t>
      </w:r>
      <w:r>
        <w:rPr>
          <w:rFonts w:ascii="宋体" w:hAnsi="宋体"/>
          <w:b/>
          <w:bCs/>
          <w:sz w:val="28"/>
          <w:szCs w:val="28"/>
        </w:rPr>
        <w:t>。</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气象灾害防治</w:t>
      </w:r>
    </w:p>
    <w:p>
      <w:pPr>
        <w:spacing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镇域内所有建构筑物必须按防雷规范进行设计，设置安全的避雷装置。采取切实可行的抗风、防旱措施。大力开展植树绿化活动，扩大雨水调蓄能力，做好水土保持工作</w:t>
      </w:r>
      <w:r>
        <w:rPr>
          <w:rFonts w:hint="eastAsia" w:asciiTheme="minorEastAsia" w:hAnsiTheme="minorEastAsia" w:eastAsiaTheme="minorEastAsia" w:cstheme="minorEastAsia"/>
          <w:sz w:val="28"/>
          <w:szCs w:val="28"/>
        </w:rPr>
        <w:t>。</w:t>
      </w:r>
    </w:p>
    <w:p>
      <w:pPr>
        <w:pStyle w:val="2"/>
        <w:numPr>
          <w:ilvl w:val="0"/>
          <w:numId w:val="3"/>
        </w:numPr>
        <w:spacing w:before="0" w:line="360" w:lineRule="auto"/>
        <w:rPr>
          <w:rFonts w:ascii="黑体"/>
          <w:szCs w:val="30"/>
        </w:rPr>
      </w:pPr>
      <w:bookmarkStart w:id="15" w:name="_Toc515956482"/>
      <w:bookmarkStart w:id="16" w:name="_Toc215494653"/>
      <w:r>
        <w:rPr>
          <w:rFonts w:hint="eastAsia" w:ascii="黑体"/>
          <w:szCs w:val="30"/>
        </w:rPr>
        <w:t>镇区规划</w:t>
      </w:r>
      <w:bookmarkEnd w:id="15"/>
      <w:bookmarkEnd w:id="16"/>
    </w:p>
    <w:p>
      <w:pPr>
        <w:pStyle w:val="3"/>
        <w:numPr>
          <w:ilvl w:val="0"/>
          <w:numId w:val="7"/>
        </w:numPr>
        <w:jc w:val="center"/>
        <w:rPr>
          <w:rFonts w:eastAsia="宋体"/>
          <w:sz w:val="30"/>
          <w:szCs w:val="30"/>
        </w:rPr>
      </w:pPr>
      <w:bookmarkStart w:id="17" w:name="_Toc515956483"/>
      <w:r>
        <w:rPr>
          <w:rFonts w:hint="eastAsia" w:eastAsia="宋体"/>
          <w:sz w:val="30"/>
          <w:szCs w:val="30"/>
        </w:rPr>
        <w:t>镇区职能、规模与用地布局</w:t>
      </w:r>
      <w:bookmarkEnd w:id="17"/>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镇区职能</w:t>
      </w:r>
    </w:p>
    <w:p>
      <w:pPr>
        <w:spacing w:line="360" w:lineRule="auto"/>
        <w:ind w:firstLine="480"/>
        <w:rPr>
          <w:rFonts w:ascii="宋体" w:hAnsi="宋体"/>
          <w:sz w:val="28"/>
          <w:szCs w:val="28"/>
        </w:rPr>
      </w:pPr>
      <w:r>
        <w:rPr>
          <w:rFonts w:hint="eastAsia" w:ascii="宋体" w:hAnsi="宋体"/>
          <w:sz w:val="28"/>
          <w:szCs w:val="28"/>
        </w:rPr>
        <w:t>以商贸流通为主，工业和旅游配套发展为辅的全镇政治、经济、文化、交通中心。</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规模</w:t>
      </w:r>
    </w:p>
    <w:p>
      <w:pPr>
        <w:spacing w:line="360" w:lineRule="auto"/>
        <w:ind w:firstLine="480"/>
        <w:rPr>
          <w:rFonts w:ascii="宋体" w:hAnsi="宋体"/>
          <w:sz w:val="28"/>
          <w:szCs w:val="28"/>
        </w:rPr>
      </w:pPr>
      <w:r>
        <w:rPr>
          <w:rFonts w:hint="eastAsia" w:ascii="宋体" w:hAnsi="宋体"/>
          <w:b/>
          <w:bCs/>
          <w:sz w:val="28"/>
          <w:szCs w:val="28"/>
        </w:rPr>
        <w:t>至2035年，城镇人口规模</w:t>
      </w:r>
      <w:r>
        <w:rPr>
          <w:rFonts w:ascii="宋体" w:hAnsi="宋体"/>
          <w:b/>
          <w:bCs/>
          <w:sz w:val="28"/>
          <w:szCs w:val="28"/>
        </w:rPr>
        <w:t>2.3</w:t>
      </w:r>
      <w:r>
        <w:rPr>
          <w:rFonts w:hint="eastAsia" w:ascii="宋体" w:hAnsi="宋体"/>
          <w:b/>
          <w:bCs/>
          <w:sz w:val="28"/>
          <w:szCs w:val="28"/>
        </w:rPr>
        <w:t>万人，建设用地规模1.79平方公里，人均建设用地</w:t>
      </w:r>
      <w:r>
        <w:rPr>
          <w:rFonts w:ascii="宋体" w:hAnsi="宋体"/>
          <w:b/>
          <w:bCs/>
          <w:sz w:val="28"/>
          <w:szCs w:val="28"/>
        </w:rPr>
        <w:t>77.8</w:t>
      </w:r>
      <w:r>
        <w:rPr>
          <w:rFonts w:hint="eastAsia" w:ascii="宋体" w:hAnsi="宋体"/>
          <w:b/>
          <w:bCs/>
          <w:sz w:val="28"/>
          <w:szCs w:val="28"/>
        </w:rPr>
        <w:t>3平方米。</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空间结构</w:t>
      </w:r>
    </w:p>
    <w:p>
      <w:pPr>
        <w:spacing w:line="360" w:lineRule="auto"/>
        <w:ind w:firstLine="480"/>
        <w:rPr>
          <w:rFonts w:ascii="宋体" w:hAnsi="宋体"/>
          <w:sz w:val="28"/>
          <w:szCs w:val="28"/>
        </w:rPr>
      </w:pPr>
      <w:r>
        <w:rPr>
          <w:rFonts w:hint="eastAsia" w:ascii="宋体" w:hAnsi="宋体"/>
          <w:sz w:val="28"/>
          <w:szCs w:val="28"/>
        </w:rPr>
        <w:t>镇区形成“一心、二轴、多点”的空间布局结构。</w:t>
      </w:r>
    </w:p>
    <w:p>
      <w:pPr>
        <w:spacing w:line="360" w:lineRule="auto"/>
        <w:ind w:firstLine="560" w:firstLineChars="200"/>
        <w:rPr>
          <w:rFonts w:ascii="宋体" w:hAnsi="宋体"/>
          <w:sz w:val="28"/>
          <w:szCs w:val="28"/>
        </w:rPr>
      </w:pPr>
      <w:r>
        <w:rPr>
          <w:rFonts w:hint="eastAsia" w:ascii="宋体" w:hAnsi="宋体"/>
          <w:sz w:val="28"/>
          <w:szCs w:val="28"/>
        </w:rPr>
        <w:t>一心：核心功能区，依托现状兴隆场镇，南北侧拓展，是未来镇区及农业园区的经济核心区，以商贸和居住功能为主，大力发展旅游产业配套设施、农业科技研发等。</w:t>
      </w:r>
    </w:p>
    <w:p>
      <w:pPr>
        <w:spacing w:line="360" w:lineRule="auto"/>
        <w:ind w:firstLine="560" w:firstLineChars="200"/>
        <w:rPr>
          <w:rFonts w:ascii="宋体" w:hAnsi="宋体"/>
          <w:sz w:val="28"/>
          <w:szCs w:val="28"/>
        </w:rPr>
      </w:pPr>
      <w:r>
        <w:rPr>
          <w:rFonts w:hint="eastAsia" w:ascii="宋体" w:hAnsi="宋体"/>
          <w:sz w:val="28"/>
          <w:szCs w:val="28"/>
        </w:rPr>
        <w:t>二轴：穿越镇区中心的26米主干道为南北向主轴，联系兴隆镇与南北向邻镇。兴古路为东西向主轴，连接兴隆镇与南北大道及东侧邻镇。</w:t>
      </w:r>
    </w:p>
    <w:p>
      <w:pPr>
        <w:spacing w:line="360" w:lineRule="auto"/>
        <w:ind w:firstLine="420" w:firstLineChars="150"/>
        <w:rPr>
          <w:b/>
          <w:sz w:val="28"/>
          <w:szCs w:val="28"/>
        </w:rPr>
      </w:pPr>
      <w:r>
        <w:rPr>
          <w:rFonts w:hint="eastAsia" w:ascii="宋体" w:hAnsi="宋体"/>
          <w:sz w:val="28"/>
          <w:szCs w:val="28"/>
        </w:rPr>
        <w:t>多点：沿兴古路散点分布企业用地，形成农业科技园区核心功能区产业腹地。</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建设用地布局</w:t>
      </w:r>
    </w:p>
    <w:p>
      <w:pPr>
        <w:spacing w:line="360" w:lineRule="auto"/>
        <w:ind w:firstLine="480"/>
        <w:rPr>
          <w:rFonts w:ascii="宋体" w:hAnsi="宋体"/>
          <w:b/>
          <w:sz w:val="28"/>
          <w:szCs w:val="28"/>
        </w:rPr>
      </w:pPr>
      <w:r>
        <w:rPr>
          <w:rFonts w:hint="eastAsia" w:ascii="宋体" w:hAnsi="宋体"/>
          <w:b/>
          <w:sz w:val="28"/>
          <w:szCs w:val="28"/>
        </w:rPr>
        <w:t>一、居住用地</w:t>
      </w:r>
    </w:p>
    <w:p>
      <w:pPr>
        <w:spacing w:line="360" w:lineRule="auto"/>
        <w:ind w:right="103" w:rightChars="49"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镇区居住用地全部为二类居住用地，占地</w:t>
      </w:r>
      <w:r>
        <w:rPr>
          <w:rFonts w:asciiTheme="minorEastAsia" w:hAnsiTheme="minorEastAsia" w:eastAsiaTheme="minorEastAsia"/>
          <w:b/>
          <w:bCs/>
          <w:sz w:val="28"/>
          <w:szCs w:val="28"/>
        </w:rPr>
        <w:t>57.02</w:t>
      </w:r>
      <w:r>
        <w:rPr>
          <w:rFonts w:hint="eastAsia" w:asciiTheme="minorEastAsia" w:hAnsiTheme="minorEastAsia" w:eastAsiaTheme="minorEastAsia"/>
          <w:b/>
          <w:bCs/>
          <w:sz w:val="28"/>
          <w:szCs w:val="28"/>
        </w:rPr>
        <w:t>公顷，占镇区总用地的3</w:t>
      </w:r>
      <w:r>
        <w:rPr>
          <w:rFonts w:asciiTheme="minorEastAsia" w:hAnsiTheme="minorEastAsia" w:eastAsiaTheme="minorEastAsia"/>
          <w:b/>
          <w:bCs/>
          <w:sz w:val="28"/>
          <w:szCs w:val="28"/>
        </w:rPr>
        <w:t>1.85</w:t>
      </w:r>
      <w:r>
        <w:rPr>
          <w:rFonts w:hint="eastAsia" w:asciiTheme="minorEastAsia" w:hAnsiTheme="minorEastAsia" w:eastAsiaTheme="minorEastAsia"/>
          <w:b/>
          <w:bCs/>
          <w:sz w:val="28"/>
          <w:szCs w:val="28"/>
        </w:rPr>
        <w:t>%，分布在兴隆场镇北侧和永庆社区范围内。</w:t>
      </w:r>
    </w:p>
    <w:p>
      <w:pPr>
        <w:pStyle w:val="69"/>
        <w:spacing w:line="360" w:lineRule="auto"/>
        <w:ind w:left="426" w:firstLine="0" w:firstLineChars="0"/>
        <w:rPr>
          <w:rFonts w:ascii="宋体" w:hAnsi="宋体"/>
          <w:b/>
          <w:sz w:val="28"/>
          <w:szCs w:val="28"/>
        </w:rPr>
      </w:pPr>
      <w:r>
        <w:rPr>
          <w:rFonts w:hint="eastAsia" w:ascii="宋体" w:hAnsi="宋体"/>
          <w:b/>
          <w:sz w:val="28"/>
          <w:szCs w:val="28"/>
        </w:rPr>
        <w:t>二、公共管理与公共服务设施用地</w:t>
      </w:r>
    </w:p>
    <w:p>
      <w:pPr>
        <w:spacing w:line="360" w:lineRule="auto"/>
        <w:ind w:right="103" w:rightChars="49" w:firstLine="560" w:firstLineChars="200"/>
        <w:rPr>
          <w:rFonts w:ascii="宋体" w:hAnsi="宋体"/>
          <w:b/>
          <w:bCs/>
          <w:sz w:val="28"/>
          <w:szCs w:val="28"/>
        </w:rPr>
      </w:pPr>
      <w:r>
        <w:rPr>
          <w:rFonts w:hint="eastAsia" w:ascii="宋体" w:hAnsi="宋体"/>
          <w:sz w:val="28"/>
          <w:szCs w:val="28"/>
        </w:rPr>
        <w:t>行政办公用地：</w:t>
      </w:r>
      <w:r>
        <w:rPr>
          <w:rFonts w:hint="eastAsia" w:ascii="宋体" w:hAnsi="宋体"/>
          <w:b/>
          <w:bCs/>
          <w:sz w:val="28"/>
          <w:szCs w:val="28"/>
        </w:rPr>
        <w:t>规划新建镇政府一处（含街道综合服务中心，地块A06-3/01），兴隆公巡大队一处（地块A01-1/01），社区综合服务中心两处（地块B11/01、C05-4/01）。行政办公用地1.63公顷，占镇区总用地面积的0.91%。</w:t>
      </w:r>
    </w:p>
    <w:p>
      <w:pPr>
        <w:spacing w:line="360" w:lineRule="auto"/>
        <w:ind w:right="103" w:rightChars="49" w:firstLine="560" w:firstLineChars="200"/>
        <w:rPr>
          <w:rFonts w:ascii="宋体" w:hAnsi="宋体"/>
          <w:b/>
          <w:bCs/>
          <w:sz w:val="28"/>
          <w:szCs w:val="28"/>
        </w:rPr>
      </w:pPr>
      <w:r>
        <w:rPr>
          <w:rFonts w:hint="eastAsia" w:ascii="宋体" w:hAnsi="宋体"/>
          <w:sz w:val="28"/>
          <w:szCs w:val="28"/>
        </w:rPr>
        <w:t>中小学用地：</w:t>
      </w:r>
      <w:r>
        <w:rPr>
          <w:rFonts w:hint="eastAsia" w:ascii="宋体" w:hAnsi="宋体"/>
          <w:b/>
          <w:bCs/>
          <w:sz w:val="28"/>
          <w:szCs w:val="28"/>
        </w:rPr>
        <w:t>规划保留永庆初级中学（9班，地块C05-3/01），保留现状永庆中心小学（15班，地块C03-2/01）及幼儿园（6班，地块C03-2/01），原址扩建现状兴隆中心小学至18班规模（地块A11-1/01），镇区中部规划初级中学一处（2</w:t>
      </w:r>
      <w:r>
        <w:rPr>
          <w:rFonts w:ascii="宋体" w:hAnsi="宋体"/>
          <w:b/>
          <w:bCs/>
          <w:sz w:val="28"/>
          <w:szCs w:val="28"/>
        </w:rPr>
        <w:t>4</w:t>
      </w:r>
      <w:r>
        <w:rPr>
          <w:rFonts w:hint="eastAsia" w:ascii="宋体" w:hAnsi="宋体"/>
          <w:b/>
          <w:bCs/>
          <w:sz w:val="28"/>
          <w:szCs w:val="28"/>
        </w:rPr>
        <w:t>班，地块</w:t>
      </w:r>
      <w:r>
        <w:rPr>
          <w:rFonts w:ascii="宋体" w:hAnsi="宋体"/>
          <w:b/>
          <w:bCs/>
          <w:sz w:val="28"/>
          <w:szCs w:val="28"/>
        </w:rPr>
        <w:t>A09-2/01</w:t>
      </w:r>
      <w:r>
        <w:rPr>
          <w:rFonts w:hint="eastAsia" w:ascii="宋体" w:hAnsi="宋体"/>
          <w:b/>
          <w:bCs/>
          <w:sz w:val="28"/>
          <w:szCs w:val="28"/>
        </w:rPr>
        <w:t>），规划保留兴隆中心小学内的6班幼儿园，于农业科技园区新增1处幼儿园（地块B07/01）。中小学用地共约</w:t>
      </w:r>
      <w:r>
        <w:rPr>
          <w:rFonts w:ascii="宋体" w:hAnsi="宋体"/>
          <w:b/>
          <w:bCs/>
          <w:sz w:val="28"/>
          <w:szCs w:val="28"/>
        </w:rPr>
        <w:t>6.85</w:t>
      </w:r>
      <w:r>
        <w:rPr>
          <w:rFonts w:hint="eastAsia" w:ascii="宋体" w:hAnsi="宋体"/>
          <w:b/>
          <w:bCs/>
          <w:sz w:val="28"/>
          <w:szCs w:val="28"/>
        </w:rPr>
        <w:t>公顷，占总用地面积的</w:t>
      </w:r>
      <w:r>
        <w:rPr>
          <w:rFonts w:ascii="宋体" w:hAnsi="宋体"/>
          <w:b/>
          <w:bCs/>
          <w:sz w:val="28"/>
          <w:szCs w:val="28"/>
        </w:rPr>
        <w:t>3.83</w:t>
      </w:r>
      <w:r>
        <w:rPr>
          <w:rFonts w:hint="eastAsia" w:ascii="宋体" w:hAnsi="宋体"/>
          <w:b/>
          <w:bCs/>
          <w:sz w:val="28"/>
          <w:szCs w:val="28"/>
        </w:rPr>
        <w:t>%。</w:t>
      </w:r>
    </w:p>
    <w:p>
      <w:pPr>
        <w:spacing w:line="360" w:lineRule="auto"/>
        <w:ind w:right="103" w:rightChars="49" w:firstLine="560" w:firstLineChars="200"/>
        <w:rPr>
          <w:rFonts w:ascii="宋体" w:hAnsi="宋体"/>
          <w:b/>
          <w:bCs/>
          <w:sz w:val="28"/>
          <w:szCs w:val="28"/>
        </w:rPr>
      </w:pPr>
      <w:r>
        <w:rPr>
          <w:rFonts w:hint="eastAsia" w:ascii="宋体" w:hAnsi="宋体"/>
          <w:sz w:val="28"/>
          <w:szCs w:val="28"/>
        </w:rPr>
        <w:t>文化设施用地：</w:t>
      </w:r>
      <w:r>
        <w:rPr>
          <w:rFonts w:hint="eastAsia" w:ascii="宋体" w:hAnsi="宋体"/>
          <w:b/>
          <w:bCs/>
          <w:sz w:val="28"/>
          <w:szCs w:val="28"/>
        </w:rPr>
        <w:t>规划新建文化活动中心1处（地块A05-4/01），占地面积0.23公顷，占总用地面积的0.13%。设置2处社区多功能运动场（地块A14-1/01、C01-5/01），场地面积不小于600平方米。</w:t>
      </w:r>
    </w:p>
    <w:p>
      <w:pPr>
        <w:spacing w:line="360" w:lineRule="auto"/>
        <w:ind w:right="103" w:rightChars="49" w:firstLine="560" w:firstLineChars="200"/>
        <w:rPr>
          <w:rFonts w:ascii="宋体" w:hAnsi="宋体"/>
          <w:b/>
          <w:bCs/>
          <w:sz w:val="28"/>
          <w:szCs w:val="28"/>
        </w:rPr>
      </w:pPr>
      <w:r>
        <w:rPr>
          <w:rFonts w:hint="eastAsia" w:ascii="宋体" w:hAnsi="宋体"/>
          <w:sz w:val="28"/>
          <w:szCs w:val="28"/>
        </w:rPr>
        <w:t>医疗卫生用地：</w:t>
      </w:r>
      <w:r>
        <w:rPr>
          <w:rFonts w:hint="eastAsia" w:ascii="宋体" w:hAnsi="宋体"/>
          <w:b/>
          <w:bCs/>
          <w:sz w:val="28"/>
          <w:szCs w:val="28"/>
        </w:rPr>
        <w:t>规划原址扩建现状医院，规模达到100床（地块A03-5/01），占地1.39公顷，占总用地面积的0.7</w:t>
      </w:r>
      <w:r>
        <w:rPr>
          <w:rFonts w:ascii="宋体" w:hAnsi="宋体"/>
          <w:b/>
          <w:bCs/>
          <w:sz w:val="28"/>
          <w:szCs w:val="28"/>
        </w:rPr>
        <w:t>8</w:t>
      </w:r>
      <w:r>
        <w:rPr>
          <w:rFonts w:hint="eastAsia" w:ascii="宋体" w:hAnsi="宋体"/>
          <w:b/>
          <w:bCs/>
          <w:sz w:val="28"/>
          <w:szCs w:val="28"/>
        </w:rPr>
        <w:t>%。另于镇区、永庆社区各配建1处社区卫生服务站，分别位于地块A12-3/01、C03-3/01，服务半径500米，建筑面积不小于150平方米。</w:t>
      </w:r>
    </w:p>
    <w:p>
      <w:pPr>
        <w:spacing w:line="360" w:lineRule="auto"/>
        <w:ind w:right="103" w:rightChars="49" w:firstLine="560" w:firstLineChars="200"/>
        <w:rPr>
          <w:rFonts w:ascii="宋体" w:hAnsi="宋体"/>
          <w:b/>
          <w:bCs/>
          <w:sz w:val="28"/>
          <w:szCs w:val="28"/>
        </w:rPr>
      </w:pPr>
      <w:r>
        <w:rPr>
          <w:rFonts w:hint="eastAsia" w:ascii="宋体" w:hAnsi="宋体"/>
          <w:sz w:val="28"/>
          <w:szCs w:val="28"/>
        </w:rPr>
        <w:t>社会福利用地：</w:t>
      </w:r>
      <w:r>
        <w:rPr>
          <w:rFonts w:hint="eastAsia" w:ascii="宋体" w:hAnsi="宋体"/>
          <w:b/>
          <w:bCs/>
          <w:sz w:val="28"/>
          <w:szCs w:val="28"/>
        </w:rPr>
        <w:t>规划新建养老院一处（地块A05-7/01），保留永庆社区现状敬老院（地块C01-3/01），占地面积共1.20公顷，占总用地面积的0.67%。</w:t>
      </w:r>
    </w:p>
    <w:p>
      <w:pPr>
        <w:pStyle w:val="69"/>
        <w:spacing w:line="360" w:lineRule="auto"/>
        <w:ind w:left="426" w:firstLine="0" w:firstLineChars="0"/>
        <w:rPr>
          <w:rFonts w:ascii="宋体" w:hAnsi="宋体"/>
          <w:b/>
          <w:bCs/>
          <w:sz w:val="28"/>
          <w:szCs w:val="28"/>
        </w:rPr>
      </w:pPr>
      <w:r>
        <w:rPr>
          <w:rFonts w:hint="eastAsia" w:ascii="宋体" w:hAnsi="宋体"/>
          <w:b/>
          <w:bCs/>
          <w:sz w:val="28"/>
          <w:szCs w:val="28"/>
        </w:rPr>
        <w:t>三、商业服务业设施用地</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商业服务业设施用地面积62.89公顷，占总用地的35.13%。</w:t>
      </w:r>
    </w:p>
    <w:p>
      <w:pPr>
        <w:spacing w:line="360" w:lineRule="auto"/>
        <w:ind w:firstLine="560" w:firstLineChars="200"/>
        <w:rPr>
          <w:rFonts w:asciiTheme="minorEastAsia" w:hAnsiTheme="minorEastAsia" w:eastAsiaTheme="minorEastAsia"/>
          <w:b/>
          <w:bCs/>
          <w:sz w:val="28"/>
          <w:szCs w:val="28"/>
        </w:rPr>
      </w:pPr>
      <w:r>
        <w:rPr>
          <w:rFonts w:hint="eastAsia" w:asciiTheme="minorEastAsia" w:hAnsiTheme="minorEastAsia" w:eastAsiaTheme="minorEastAsia"/>
          <w:sz w:val="28"/>
          <w:szCs w:val="28"/>
        </w:rPr>
        <w:t>商业用地：</w:t>
      </w:r>
      <w:r>
        <w:rPr>
          <w:rFonts w:hint="eastAsia" w:asciiTheme="minorEastAsia" w:hAnsiTheme="minorEastAsia" w:eastAsiaTheme="minorEastAsia"/>
          <w:b/>
          <w:bCs/>
          <w:sz w:val="28"/>
          <w:szCs w:val="28"/>
        </w:rPr>
        <w:t>面积61.54公顷，占总用地的34.38%，主要位于农业科技园区内。</w:t>
      </w:r>
    </w:p>
    <w:p>
      <w:pPr>
        <w:spacing w:line="360" w:lineRule="auto"/>
        <w:ind w:firstLine="560" w:firstLineChars="200"/>
        <w:rPr>
          <w:rFonts w:asciiTheme="minorEastAsia" w:hAnsiTheme="minorEastAsia" w:eastAsiaTheme="minorEastAsia"/>
          <w:b/>
          <w:bCs/>
          <w:sz w:val="28"/>
          <w:szCs w:val="28"/>
        </w:rPr>
      </w:pPr>
      <w:r>
        <w:rPr>
          <w:rFonts w:hint="eastAsia" w:asciiTheme="minorEastAsia" w:hAnsiTheme="minorEastAsia" w:eastAsiaTheme="minorEastAsia"/>
          <w:bCs/>
          <w:sz w:val="28"/>
          <w:szCs w:val="28"/>
        </w:rPr>
        <w:t>集贸市场用地：</w:t>
      </w:r>
      <w:r>
        <w:rPr>
          <w:rFonts w:hint="eastAsia" w:asciiTheme="minorEastAsia" w:hAnsiTheme="minorEastAsia" w:eastAsiaTheme="minorEastAsia"/>
          <w:b/>
          <w:bCs/>
          <w:sz w:val="28"/>
          <w:szCs w:val="28"/>
        </w:rPr>
        <w:t>镇区中部规划新建独立占地的农贸市场1处（地块A05-2/01），面积0.73公顷。</w:t>
      </w:r>
    </w:p>
    <w:p>
      <w:pPr>
        <w:spacing w:line="360" w:lineRule="auto"/>
        <w:ind w:firstLine="560" w:firstLineChars="200"/>
        <w:rPr>
          <w:rFonts w:asciiTheme="minorEastAsia" w:hAnsiTheme="minorEastAsia" w:eastAsiaTheme="minorEastAsia"/>
          <w:b/>
          <w:bCs/>
          <w:sz w:val="28"/>
          <w:szCs w:val="28"/>
        </w:rPr>
      </w:pPr>
      <w:r>
        <w:rPr>
          <w:rFonts w:hint="eastAsia" w:asciiTheme="minorEastAsia" w:hAnsiTheme="minorEastAsia" w:eastAsiaTheme="minorEastAsia"/>
          <w:sz w:val="28"/>
          <w:szCs w:val="28"/>
        </w:rPr>
        <w:t>公用设施营业网点用地：</w:t>
      </w:r>
      <w:r>
        <w:rPr>
          <w:rFonts w:hint="eastAsia" w:asciiTheme="minorEastAsia" w:hAnsiTheme="minorEastAsia" w:eastAsiaTheme="minorEastAsia"/>
          <w:b/>
          <w:bCs/>
          <w:sz w:val="28"/>
          <w:szCs w:val="28"/>
        </w:rPr>
        <w:t>面积0.62公顷，占总用地的0.34%。另于南北大道至镇区入口处规划新建1处加油站（地块B09-3/01），面积0.37公顷。</w:t>
      </w:r>
    </w:p>
    <w:p>
      <w:pPr>
        <w:pStyle w:val="69"/>
        <w:spacing w:line="360" w:lineRule="auto"/>
        <w:ind w:left="426"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在居住组团配置组团级商业配套设施。</w:t>
      </w:r>
    </w:p>
    <w:p>
      <w:pPr>
        <w:pStyle w:val="69"/>
        <w:spacing w:line="360" w:lineRule="auto"/>
        <w:ind w:left="426" w:firstLine="0" w:firstLineChars="0"/>
        <w:rPr>
          <w:rFonts w:ascii="宋体" w:hAnsi="宋体"/>
          <w:b/>
          <w:bCs/>
          <w:sz w:val="28"/>
          <w:szCs w:val="28"/>
        </w:rPr>
      </w:pPr>
      <w:r>
        <w:rPr>
          <w:rFonts w:hint="eastAsia" w:ascii="宋体" w:hAnsi="宋体"/>
          <w:b/>
          <w:bCs/>
          <w:sz w:val="28"/>
          <w:szCs w:val="28"/>
        </w:rPr>
        <w:t>四、道路与交通设施用地</w:t>
      </w:r>
    </w:p>
    <w:p>
      <w:pPr>
        <w:spacing w:line="360" w:lineRule="auto"/>
        <w:ind w:right="103" w:rightChars="49" w:firstLine="562" w:firstLineChars="200"/>
        <w:rPr>
          <w:rFonts w:ascii="宋体" w:hAnsi="宋体"/>
          <w:b/>
          <w:bCs/>
          <w:sz w:val="28"/>
          <w:szCs w:val="28"/>
        </w:rPr>
      </w:pPr>
      <w:r>
        <w:rPr>
          <w:rFonts w:hint="eastAsia" w:ascii="宋体" w:hAnsi="宋体"/>
          <w:b/>
          <w:bCs/>
          <w:sz w:val="28"/>
          <w:szCs w:val="28"/>
        </w:rPr>
        <w:t>规划道路与交通设施用地面积25.22公顷，占总用地的14.09%。</w:t>
      </w:r>
    </w:p>
    <w:p>
      <w:pPr>
        <w:spacing w:line="360" w:lineRule="auto"/>
        <w:ind w:right="103" w:rightChars="49" w:firstLine="562" w:firstLineChars="200"/>
        <w:rPr>
          <w:rFonts w:ascii="宋体" w:hAnsi="宋体"/>
          <w:b/>
          <w:bCs/>
          <w:sz w:val="28"/>
          <w:szCs w:val="28"/>
        </w:rPr>
      </w:pPr>
      <w:r>
        <w:rPr>
          <w:rFonts w:hint="eastAsia" w:ascii="宋体" w:hAnsi="宋体"/>
          <w:b/>
          <w:bCs/>
          <w:sz w:val="28"/>
          <w:szCs w:val="28"/>
        </w:rPr>
        <w:t>规划1处公交首末站（地块B06-2/01），占地面积0.54公顷；规划3处社会停车场，位于地块A05-6/01、A15-4/01、B04-1/01，面积分别为0.37公顷，0.34公顷，0.39公顷。</w:t>
      </w:r>
    </w:p>
    <w:p>
      <w:pPr>
        <w:pStyle w:val="69"/>
        <w:spacing w:line="360" w:lineRule="auto"/>
        <w:ind w:left="426" w:firstLine="0" w:firstLineChars="0"/>
        <w:rPr>
          <w:rFonts w:ascii="宋体" w:hAnsi="宋体"/>
          <w:b/>
          <w:bCs/>
          <w:sz w:val="28"/>
          <w:szCs w:val="28"/>
        </w:rPr>
      </w:pPr>
      <w:r>
        <w:rPr>
          <w:rFonts w:hint="eastAsia" w:ascii="宋体" w:hAnsi="宋体"/>
          <w:b/>
          <w:bCs/>
          <w:sz w:val="28"/>
          <w:szCs w:val="28"/>
        </w:rPr>
        <w:t>五、公用设施用地</w:t>
      </w:r>
    </w:p>
    <w:p>
      <w:pPr>
        <w:spacing w:line="360" w:lineRule="auto"/>
        <w:ind w:right="103" w:rightChars="49" w:firstLine="562" w:firstLineChars="200"/>
        <w:rPr>
          <w:rFonts w:ascii="宋体" w:hAnsi="宋体"/>
          <w:b/>
          <w:bCs/>
          <w:sz w:val="28"/>
          <w:szCs w:val="28"/>
        </w:rPr>
      </w:pPr>
      <w:r>
        <w:rPr>
          <w:rFonts w:hint="eastAsia" w:ascii="宋体" w:hAnsi="宋体"/>
          <w:b/>
          <w:bCs/>
          <w:sz w:val="28"/>
          <w:szCs w:val="28"/>
        </w:rPr>
        <w:t>公用设施用地面积8.19公顷，占总用地的4.58%。</w:t>
      </w:r>
    </w:p>
    <w:p>
      <w:pPr>
        <w:spacing w:line="360" w:lineRule="auto"/>
        <w:ind w:right="103" w:rightChars="49" w:firstLine="562" w:firstLineChars="200"/>
        <w:rPr>
          <w:rFonts w:ascii="宋体" w:hAnsi="宋体"/>
          <w:b/>
          <w:bCs/>
          <w:sz w:val="28"/>
          <w:szCs w:val="28"/>
        </w:rPr>
      </w:pPr>
      <w:r>
        <w:rPr>
          <w:rFonts w:hint="eastAsia" w:ascii="宋体" w:hAnsi="宋体"/>
          <w:b/>
          <w:bCs/>
          <w:sz w:val="28"/>
          <w:szCs w:val="28"/>
        </w:rPr>
        <w:t>镇区现状有一处输气站（地块A10-2/01），面积0.37公顷。规划新建一处110KV变电站（地块A2/01），面积1.26公顷。</w:t>
      </w:r>
    </w:p>
    <w:p>
      <w:pPr>
        <w:spacing w:line="360" w:lineRule="auto"/>
        <w:ind w:right="103" w:rightChars="49" w:firstLine="562" w:firstLineChars="200"/>
        <w:rPr>
          <w:rFonts w:ascii="宋体" w:hAnsi="宋体"/>
          <w:b/>
          <w:bCs/>
          <w:sz w:val="28"/>
          <w:szCs w:val="28"/>
        </w:rPr>
      </w:pPr>
      <w:r>
        <w:rPr>
          <w:rFonts w:hint="eastAsia" w:ascii="宋体" w:hAnsi="宋体"/>
          <w:b/>
          <w:bCs/>
          <w:sz w:val="28"/>
          <w:szCs w:val="28"/>
        </w:rPr>
        <w:t>保留现状镇区水厂和永庆水厂（地块A14-2/01，C01-2/01），面积分别为0.44公顷，0.05公顷。于农业科技园区新建加压泵站一处（地块B04-2/01），面积0.53公顷。</w:t>
      </w:r>
    </w:p>
    <w:p>
      <w:pPr>
        <w:spacing w:line="360" w:lineRule="auto"/>
        <w:ind w:right="103" w:rightChars="49" w:firstLine="562" w:firstLineChars="200"/>
        <w:rPr>
          <w:rFonts w:ascii="宋体" w:hAnsi="宋体"/>
          <w:b/>
          <w:bCs/>
          <w:sz w:val="28"/>
          <w:szCs w:val="28"/>
        </w:rPr>
      </w:pPr>
      <w:r>
        <w:rPr>
          <w:rFonts w:hint="eastAsia" w:ascii="宋体" w:hAnsi="宋体"/>
          <w:b/>
          <w:bCs/>
          <w:sz w:val="28"/>
          <w:szCs w:val="28"/>
        </w:rPr>
        <w:t>在红卫水库下游选址新建污水处理厂一座（地块A17/01），面积0.90公顷。农业科技园区内新建两座污水处理厂，位于B16/01、B21/01地块，面积分别为2.74公顷、1.33公顷。</w:t>
      </w:r>
    </w:p>
    <w:p>
      <w:pPr>
        <w:pStyle w:val="69"/>
        <w:spacing w:line="360" w:lineRule="auto"/>
        <w:ind w:left="426" w:firstLine="0" w:firstLineChars="0"/>
        <w:rPr>
          <w:rFonts w:ascii="宋体" w:hAnsi="宋体"/>
          <w:b/>
          <w:bCs/>
          <w:sz w:val="28"/>
          <w:szCs w:val="28"/>
        </w:rPr>
      </w:pPr>
      <w:r>
        <w:rPr>
          <w:rFonts w:hint="eastAsia" w:ascii="宋体" w:hAnsi="宋体"/>
          <w:b/>
          <w:bCs/>
          <w:sz w:val="28"/>
          <w:szCs w:val="28"/>
        </w:rPr>
        <w:t>六、绿地与广场用地</w:t>
      </w:r>
    </w:p>
    <w:p>
      <w:pPr>
        <w:tabs>
          <w:tab w:val="left" w:pos="1287"/>
        </w:tabs>
        <w:spacing w:line="360" w:lineRule="auto"/>
        <w:ind w:firstLine="560" w:firstLineChars="200"/>
        <w:rPr>
          <w:rFonts w:ascii="宋体" w:hAnsi="宋体"/>
          <w:sz w:val="28"/>
          <w:szCs w:val="28"/>
        </w:rPr>
      </w:pPr>
      <w:r>
        <w:rPr>
          <w:rFonts w:hint="eastAsia" w:ascii="宋体" w:hAnsi="宋体"/>
          <w:sz w:val="28"/>
          <w:szCs w:val="28"/>
        </w:rPr>
        <w:t>规划的公共绿地主要集中水厂周边及农业科技园区主干道旁。</w:t>
      </w:r>
      <w:r>
        <w:rPr>
          <w:rFonts w:hint="eastAsia" w:ascii="宋体" w:hAnsi="宋体"/>
          <w:b/>
          <w:bCs/>
          <w:sz w:val="28"/>
          <w:szCs w:val="28"/>
        </w:rPr>
        <w:t>绿地及广场用地面积14.38公顷，占总用地的8.03%。</w:t>
      </w:r>
    </w:p>
    <w:p>
      <w:pPr>
        <w:tabs>
          <w:tab w:val="left" w:pos="1287"/>
        </w:tabs>
        <w:spacing w:line="360" w:lineRule="auto"/>
        <w:ind w:firstLine="560" w:firstLineChars="200"/>
        <w:rPr>
          <w:rFonts w:ascii="黑体" w:hAnsi="黑体" w:eastAsia="黑体"/>
          <w:bCs/>
          <w:sz w:val="28"/>
          <w:szCs w:val="28"/>
        </w:rPr>
      </w:pPr>
      <w:r>
        <w:rPr>
          <w:rFonts w:hint="eastAsia" w:ascii="黑体" w:hAnsi="黑体" w:eastAsia="黑体"/>
          <w:bCs/>
          <w:sz w:val="28"/>
          <w:szCs w:val="28"/>
        </w:rPr>
        <w:t>镇区各类建设用地指标详见附表五至八《建设用地平衡表》</w:t>
      </w:r>
    </w:p>
    <w:p>
      <w:pPr>
        <w:pStyle w:val="3"/>
        <w:numPr>
          <w:ilvl w:val="0"/>
          <w:numId w:val="7"/>
        </w:numPr>
        <w:jc w:val="center"/>
        <w:rPr>
          <w:rFonts w:eastAsia="宋体"/>
          <w:sz w:val="30"/>
          <w:szCs w:val="30"/>
        </w:rPr>
      </w:pPr>
      <w:bookmarkStart w:id="18" w:name="_Toc515956484"/>
      <w:r>
        <w:rPr>
          <w:rFonts w:hint="eastAsia" w:eastAsia="宋体"/>
          <w:sz w:val="30"/>
          <w:szCs w:val="30"/>
        </w:rPr>
        <w:t>土地利用控制</w:t>
      </w:r>
      <w:bookmarkEnd w:id="18"/>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用地性质分类及用地控制指标</w:t>
      </w:r>
    </w:p>
    <w:p>
      <w:pPr>
        <w:spacing w:line="360" w:lineRule="auto"/>
        <w:ind w:right="103" w:rightChars="49" w:firstLine="560" w:firstLineChars="200"/>
        <w:rPr>
          <w:rFonts w:hAnsi="宋体" w:cs="宋体"/>
          <w:bCs/>
          <w:sz w:val="28"/>
          <w:szCs w:val="28"/>
        </w:rPr>
      </w:pPr>
      <w:r>
        <w:rPr>
          <w:rFonts w:hint="eastAsia" w:ascii="宋体" w:hAnsi="宋体"/>
          <w:sz w:val="28"/>
          <w:szCs w:val="28"/>
        </w:rPr>
        <w:t>依据《城市用地分类与</w:t>
      </w:r>
      <w:r>
        <w:rPr>
          <w:rFonts w:ascii="宋体" w:hAnsi="宋体"/>
          <w:sz w:val="28"/>
          <w:szCs w:val="28"/>
        </w:rPr>
        <w:t>规划</w:t>
      </w:r>
      <w:r>
        <w:rPr>
          <w:rFonts w:hint="eastAsia" w:ascii="宋体" w:hAnsi="宋体"/>
          <w:sz w:val="28"/>
          <w:szCs w:val="28"/>
        </w:rPr>
        <w:t>建设用地</w:t>
      </w:r>
      <w:r>
        <w:rPr>
          <w:rFonts w:ascii="宋体" w:hAnsi="宋体"/>
          <w:sz w:val="28"/>
          <w:szCs w:val="28"/>
        </w:rPr>
        <w:t>标准</w:t>
      </w:r>
      <w:r>
        <w:rPr>
          <w:rFonts w:hint="eastAsia" w:ascii="宋体" w:hAnsi="宋体"/>
          <w:sz w:val="28"/>
          <w:szCs w:val="28"/>
        </w:rPr>
        <w:t>》（</w:t>
      </w:r>
      <w:r>
        <w:rPr>
          <w:rFonts w:ascii="宋体" w:hAnsi="宋体"/>
          <w:sz w:val="28"/>
          <w:szCs w:val="28"/>
        </w:rPr>
        <w:t>GB 501</w:t>
      </w:r>
      <w:r>
        <w:rPr>
          <w:rFonts w:hint="eastAsia" w:ascii="宋体" w:hAnsi="宋体"/>
          <w:sz w:val="28"/>
          <w:szCs w:val="28"/>
        </w:rPr>
        <w:t>37</w:t>
      </w:r>
      <w:r>
        <w:rPr>
          <w:rFonts w:ascii="宋体" w:hAnsi="宋体"/>
          <w:sz w:val="28"/>
          <w:szCs w:val="28"/>
        </w:rPr>
        <w:t>-20</w:t>
      </w:r>
      <w:r>
        <w:rPr>
          <w:rFonts w:hint="eastAsia" w:ascii="宋体" w:hAnsi="宋体"/>
          <w:sz w:val="28"/>
          <w:szCs w:val="28"/>
        </w:rPr>
        <w:t>11），用地一般划分至小类。</w:t>
      </w:r>
      <w:r>
        <w:rPr>
          <w:rFonts w:hint="eastAsia" w:hAnsi="宋体" w:cs="宋体"/>
          <w:bCs/>
          <w:sz w:val="28"/>
          <w:szCs w:val="28"/>
        </w:rPr>
        <w:t>规划范围内各地块用地性质、容积率等控制指标详见各地块分图图则。</w:t>
      </w:r>
    </w:p>
    <w:p>
      <w:pPr>
        <w:spacing w:line="360" w:lineRule="auto"/>
        <w:ind w:right="103" w:rightChars="49" w:firstLine="560" w:firstLineChars="200"/>
        <w:rPr>
          <w:rFonts w:ascii="宋体" w:hAnsi="宋体"/>
          <w:bCs/>
          <w:sz w:val="28"/>
          <w:szCs w:val="28"/>
        </w:rPr>
      </w:pPr>
      <w:r>
        <w:rPr>
          <w:rFonts w:hint="eastAsia" w:ascii="宋体" w:hAnsi="宋体"/>
          <w:sz w:val="28"/>
          <w:szCs w:val="28"/>
        </w:rPr>
        <w:t>本规划确定的地块使用性质、用地面积、容积率、建筑限高、绿地率、建筑密度、配建停车位、配套公共服务设施等属强制性内容。</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用地兼容性及强制性</w:t>
      </w:r>
    </w:p>
    <w:p>
      <w:pPr>
        <w:spacing w:line="360" w:lineRule="auto"/>
        <w:ind w:right="103" w:rightChars="49" w:firstLine="560" w:firstLineChars="200"/>
        <w:rPr>
          <w:rFonts w:ascii="宋体" w:hAnsi="宋体"/>
          <w:sz w:val="28"/>
        </w:rPr>
      </w:pPr>
      <w:r>
        <w:rPr>
          <w:rFonts w:hint="eastAsia" w:ascii="宋体" w:hAnsi="宋体"/>
          <w:sz w:val="28"/>
          <w:szCs w:val="28"/>
        </w:rPr>
        <w:t>土地使用性质及其兼容性按控制性详细规划中的地块控制指标规定执行。</w:t>
      </w:r>
      <w:r>
        <w:rPr>
          <w:rFonts w:hint="eastAsia" w:ascii="仿宋" w:hAnsi="仿宋"/>
          <w:sz w:val="28"/>
          <w:szCs w:val="28"/>
        </w:rPr>
        <w:t>若用地性质为X/Y，表明其具备兼容性，</w:t>
      </w:r>
      <w:r>
        <w:rPr>
          <w:rFonts w:hint="eastAsia" w:ascii="宋体" w:hAnsi="宋体"/>
          <w:sz w:val="28"/>
        </w:rPr>
        <w:t>可以根据具体情况选择X或Y，控制指标应根据不同性质分别控制。若用地性质为XY，表明其具备混合性，混合比例详见相应地块分图图则。</w:t>
      </w:r>
    </w:p>
    <w:p>
      <w:pPr>
        <w:numPr>
          <w:ilvl w:val="0"/>
          <w:numId w:val="4"/>
        </w:numPr>
        <w:spacing w:line="360" w:lineRule="auto"/>
        <w:rPr>
          <w:rFonts w:ascii="宋体" w:hAnsi="宋体"/>
          <w:b/>
          <w:bCs/>
          <w:sz w:val="28"/>
          <w:szCs w:val="28"/>
        </w:rPr>
      </w:pPr>
      <w:r>
        <w:rPr>
          <w:rFonts w:hint="eastAsia" w:ascii="宋体" w:hAnsi="宋体"/>
          <w:b/>
          <w:bCs/>
          <w:sz w:val="28"/>
          <w:szCs w:val="28"/>
        </w:rPr>
        <w:t>建筑高度控制</w:t>
      </w:r>
    </w:p>
    <w:p>
      <w:pPr>
        <w:spacing w:line="360" w:lineRule="auto"/>
        <w:ind w:firstLine="562" w:firstLineChars="200"/>
        <w:rPr>
          <w:rFonts w:ascii="宋体" w:hAnsi="宋体"/>
          <w:b/>
          <w:bCs/>
          <w:sz w:val="28"/>
          <w:szCs w:val="28"/>
        </w:rPr>
      </w:pPr>
      <w:r>
        <w:rPr>
          <w:rFonts w:hint="eastAsia" w:ascii="宋体" w:hAnsi="宋体"/>
          <w:b/>
          <w:bCs/>
          <w:sz w:val="28"/>
          <w:szCs w:val="28"/>
        </w:rPr>
        <w:t>镇区拟建建筑项目须符合《关于重庆市渝北区兴隆镇城镇项目规划协办意见的复函》民航渝监管局（2015）27号文件中限定的建筑高度，即拟建项目高度控制在海拔606米以下。农业科技园区拟建建筑项目须符合《渝北区农业科技园区（兴隆）拓展区一期规划区域建筑物点相对重庆/江北机场运行影响航行服务分析报告》中限定的建筑高度。</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“蓝线” 、“绿线” 、“黄线” 、“紫线”控制</w:t>
      </w:r>
    </w:p>
    <w:p>
      <w:pPr>
        <w:spacing w:line="360" w:lineRule="auto"/>
        <w:ind w:firstLine="562" w:firstLineChars="200"/>
        <w:rPr>
          <w:rFonts w:ascii="宋体" w:hAnsi="宋体"/>
          <w:b/>
          <w:bCs/>
          <w:sz w:val="28"/>
          <w:szCs w:val="28"/>
        </w:rPr>
      </w:pPr>
      <w:r>
        <w:rPr>
          <w:rFonts w:hint="eastAsia" w:ascii="宋体" w:hAnsi="宋体"/>
          <w:b/>
          <w:bCs/>
          <w:sz w:val="28"/>
          <w:szCs w:val="28"/>
        </w:rPr>
        <w:t>规划范围内“紫线”、“绿线”、“黄线”、“蓝线”应严格按照国家相关管理办法控制。</w:t>
      </w:r>
    </w:p>
    <w:p>
      <w:pPr>
        <w:pStyle w:val="3"/>
        <w:numPr>
          <w:ilvl w:val="0"/>
          <w:numId w:val="7"/>
        </w:numPr>
        <w:jc w:val="center"/>
        <w:rPr>
          <w:rFonts w:eastAsia="宋体"/>
          <w:sz w:val="30"/>
          <w:szCs w:val="30"/>
        </w:rPr>
      </w:pPr>
      <w:bookmarkStart w:id="19" w:name="_Toc515956485"/>
      <w:bookmarkStart w:id="20" w:name="_Toc215494657"/>
      <w:r>
        <w:rPr>
          <w:rFonts w:hint="eastAsia" w:eastAsia="宋体"/>
          <w:sz w:val="30"/>
          <w:szCs w:val="30"/>
        </w:rPr>
        <w:t>镇区道路交通规划</w:t>
      </w:r>
      <w:bookmarkEnd w:id="19"/>
      <w:bookmarkEnd w:id="20"/>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路网结构</w:t>
      </w:r>
    </w:p>
    <w:p>
      <w:pPr>
        <w:spacing w:line="360" w:lineRule="auto"/>
        <w:ind w:right="103" w:rightChars="49" w:firstLine="560" w:firstLineChars="200"/>
        <w:rPr>
          <w:rFonts w:ascii="宋体" w:hAnsi="宋体"/>
          <w:sz w:val="28"/>
          <w:szCs w:val="28"/>
        </w:rPr>
      </w:pPr>
      <w:r>
        <w:rPr>
          <w:rFonts w:hint="eastAsia" w:ascii="宋体" w:hAnsi="宋体"/>
          <w:sz w:val="28"/>
          <w:szCs w:val="28"/>
        </w:rPr>
        <w:t>结合规划区地形地貌特点、功能分区、用地布局，合理安排城市道路网，规划采用“自由式”和“方格网式”相结合的方式，以“方格网式”为主，辅以“自由式”，大致呈形成“两横两纵双环”的路网结构。</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道路红线及断面形式</w:t>
      </w:r>
    </w:p>
    <w:p>
      <w:pPr>
        <w:spacing w:line="360" w:lineRule="auto"/>
        <w:ind w:right="103" w:rightChars="49" w:firstLine="560" w:firstLineChars="200"/>
        <w:rPr>
          <w:rFonts w:ascii="宋体" w:hAnsi="宋体"/>
          <w:sz w:val="28"/>
          <w:szCs w:val="28"/>
        </w:rPr>
      </w:pPr>
      <w:r>
        <w:rPr>
          <w:rFonts w:hint="eastAsia" w:ascii="宋体" w:hAnsi="宋体"/>
          <w:sz w:val="28"/>
          <w:szCs w:val="28"/>
        </w:rPr>
        <w:t>规划城市道路划分为主干路、次干路、支路和巷道四个等级。主干路红线宽度为26米及24米，次干路红线宽度为20米及16米，支路红线宽度为7米及6米。规划道路横断面形式如下：</w:t>
      </w:r>
    </w:p>
    <w:p>
      <w:pPr>
        <w:spacing w:line="360" w:lineRule="auto"/>
        <w:ind w:right="103" w:rightChars="49" w:firstLine="560" w:firstLineChars="200"/>
        <w:rPr>
          <w:rFonts w:ascii="宋体" w:hAnsi="宋体"/>
          <w:sz w:val="28"/>
          <w:szCs w:val="28"/>
        </w:rPr>
      </w:pPr>
      <w:r>
        <w:rPr>
          <w:rFonts w:hint="eastAsia" w:ascii="宋体" w:hAnsi="宋体"/>
          <w:sz w:val="28"/>
          <w:szCs w:val="28"/>
        </w:rPr>
        <w:t>26米宽红线道路：5.0米（人行道）+16.0米（车行道）+5.0米（人行道）；</w:t>
      </w:r>
    </w:p>
    <w:p>
      <w:pPr>
        <w:spacing w:line="360" w:lineRule="auto"/>
        <w:ind w:right="103" w:rightChars="49" w:firstLine="560" w:firstLineChars="200"/>
        <w:rPr>
          <w:rFonts w:ascii="宋体" w:hAnsi="宋体"/>
          <w:sz w:val="28"/>
          <w:szCs w:val="28"/>
        </w:rPr>
      </w:pPr>
      <w:r>
        <w:rPr>
          <w:rFonts w:hint="eastAsia" w:ascii="宋体" w:hAnsi="宋体"/>
          <w:sz w:val="28"/>
          <w:szCs w:val="28"/>
        </w:rPr>
        <w:t>24米宽红线道路：5.0米（人行道）+14.0米（车行道）+5.0米（人行道）；</w:t>
      </w:r>
    </w:p>
    <w:p>
      <w:pPr>
        <w:spacing w:line="360" w:lineRule="auto"/>
        <w:ind w:right="103" w:rightChars="49" w:firstLine="560" w:firstLineChars="200"/>
        <w:rPr>
          <w:rFonts w:ascii="宋体" w:hAnsi="宋体"/>
          <w:sz w:val="28"/>
          <w:szCs w:val="28"/>
        </w:rPr>
      </w:pPr>
      <w:r>
        <w:rPr>
          <w:rFonts w:hint="eastAsia" w:ascii="宋体" w:hAnsi="宋体"/>
          <w:sz w:val="28"/>
          <w:szCs w:val="28"/>
        </w:rPr>
        <w:t>20米宽红线道路：3.0米（人行道）+14.0米（车行道）+3.0米（人行道）；</w:t>
      </w:r>
    </w:p>
    <w:p>
      <w:pPr>
        <w:spacing w:line="360" w:lineRule="auto"/>
        <w:ind w:right="103" w:rightChars="49" w:firstLine="560" w:firstLineChars="200"/>
        <w:rPr>
          <w:rFonts w:ascii="宋体" w:hAnsi="宋体"/>
          <w:sz w:val="28"/>
          <w:szCs w:val="28"/>
        </w:rPr>
      </w:pPr>
      <w:r>
        <w:rPr>
          <w:rFonts w:hint="eastAsia" w:ascii="宋体" w:hAnsi="宋体"/>
          <w:sz w:val="28"/>
          <w:szCs w:val="28"/>
        </w:rPr>
        <w:t>16米宽红线道路：3.0米（人行道）+10.0米（车行道）+3.0米（人行道）；</w:t>
      </w:r>
    </w:p>
    <w:p>
      <w:pPr>
        <w:spacing w:line="360" w:lineRule="auto"/>
        <w:ind w:right="103" w:rightChars="49" w:firstLine="560" w:firstLineChars="200"/>
        <w:rPr>
          <w:rFonts w:ascii="宋体" w:hAnsi="宋体"/>
          <w:sz w:val="28"/>
          <w:szCs w:val="28"/>
        </w:rPr>
      </w:pPr>
      <w:r>
        <w:rPr>
          <w:rFonts w:hint="eastAsia" w:ascii="宋体" w:hAnsi="宋体"/>
          <w:sz w:val="28"/>
          <w:szCs w:val="28"/>
        </w:rPr>
        <w:t>7米宽巷道：7米（车行道）；</w:t>
      </w:r>
    </w:p>
    <w:p>
      <w:pPr>
        <w:spacing w:line="360" w:lineRule="auto"/>
        <w:ind w:right="103" w:rightChars="49" w:firstLine="560" w:firstLineChars="200"/>
        <w:rPr>
          <w:rFonts w:ascii="宋体" w:hAnsi="宋体"/>
          <w:sz w:val="28"/>
          <w:szCs w:val="28"/>
        </w:rPr>
      </w:pPr>
      <w:r>
        <w:rPr>
          <w:rFonts w:hint="eastAsia" w:ascii="宋体" w:hAnsi="宋体"/>
          <w:sz w:val="28"/>
          <w:szCs w:val="28"/>
        </w:rPr>
        <w:t>6米宽巷道：6米（车行道）。</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交通设施规划</w:t>
      </w:r>
    </w:p>
    <w:p>
      <w:pPr>
        <w:spacing w:line="360" w:lineRule="auto"/>
        <w:ind w:firstLine="480"/>
        <w:rPr>
          <w:rFonts w:ascii="宋体" w:hAnsi="宋体"/>
          <w:sz w:val="28"/>
          <w:szCs w:val="28"/>
        </w:rPr>
      </w:pPr>
      <w:r>
        <w:rPr>
          <w:rFonts w:hint="eastAsia" w:ascii="宋体" w:hAnsi="宋体"/>
          <w:b/>
          <w:bCs/>
          <w:sz w:val="28"/>
          <w:szCs w:val="28"/>
        </w:rPr>
        <w:t>规划在兴隆镇区设置1处公交首末站</w:t>
      </w:r>
      <w:r>
        <w:rPr>
          <w:rFonts w:hint="eastAsia" w:ascii="宋体" w:hAnsi="宋体"/>
          <w:sz w:val="28"/>
          <w:szCs w:val="28"/>
        </w:rPr>
        <w:t>，地块编号B06-2/01，占地面积为0.54公顷，以满足区域内外交通设施建设的需求。</w:t>
      </w:r>
    </w:p>
    <w:p>
      <w:pPr>
        <w:spacing w:line="360" w:lineRule="auto"/>
        <w:ind w:firstLine="480"/>
        <w:rPr>
          <w:rFonts w:ascii="宋体" w:hAnsi="宋体"/>
          <w:sz w:val="28"/>
          <w:szCs w:val="28"/>
        </w:rPr>
      </w:pPr>
      <w:r>
        <w:rPr>
          <w:rFonts w:hint="eastAsia" w:ascii="宋体" w:hAnsi="宋体"/>
          <w:b/>
          <w:bCs/>
          <w:sz w:val="28"/>
          <w:szCs w:val="28"/>
        </w:rPr>
        <w:t>规划在镇区设置2处社会停车场</w:t>
      </w:r>
      <w:r>
        <w:rPr>
          <w:rFonts w:hint="eastAsia" w:ascii="宋体" w:hAnsi="宋体"/>
          <w:sz w:val="28"/>
          <w:szCs w:val="28"/>
        </w:rPr>
        <w:t>，地块A05-6/01和A15-4/01，占地面积分别为0.37公顷和0.34公顷。</w:t>
      </w:r>
    </w:p>
    <w:p>
      <w:pPr>
        <w:spacing w:line="360" w:lineRule="auto"/>
        <w:ind w:right="103" w:rightChars="49" w:firstLine="562" w:firstLineChars="200"/>
        <w:rPr>
          <w:rFonts w:ascii="宋体" w:hAnsi="宋体"/>
          <w:sz w:val="28"/>
          <w:szCs w:val="28"/>
        </w:rPr>
      </w:pPr>
      <w:r>
        <w:rPr>
          <w:rFonts w:hint="eastAsia" w:ascii="宋体" w:hAnsi="宋体"/>
          <w:b/>
          <w:bCs/>
          <w:sz w:val="28"/>
          <w:szCs w:val="28"/>
        </w:rPr>
        <w:t>规划在农业科技园区设置1处社会停车场</w:t>
      </w:r>
      <w:r>
        <w:rPr>
          <w:rFonts w:hint="eastAsia" w:ascii="宋体" w:hAnsi="宋体"/>
          <w:sz w:val="28"/>
          <w:szCs w:val="28"/>
        </w:rPr>
        <w:t>，地块B04-1/01，占地面积0.39公顷。</w:t>
      </w:r>
    </w:p>
    <w:p>
      <w:pPr>
        <w:spacing w:line="360" w:lineRule="auto"/>
        <w:ind w:right="103" w:rightChars="49" w:firstLine="562" w:firstLineChars="200"/>
        <w:rPr>
          <w:rFonts w:ascii="宋体" w:hAnsi="宋体"/>
          <w:sz w:val="28"/>
          <w:szCs w:val="28"/>
        </w:rPr>
      </w:pPr>
      <w:r>
        <w:rPr>
          <w:rFonts w:hint="eastAsia" w:ascii="宋体" w:hAnsi="宋体"/>
          <w:b/>
          <w:bCs/>
          <w:sz w:val="28"/>
          <w:szCs w:val="28"/>
        </w:rPr>
        <w:t>规划农业科技园区设置加油站1处，</w:t>
      </w:r>
      <w:r>
        <w:rPr>
          <w:rFonts w:hint="eastAsia" w:ascii="宋体" w:hAnsi="宋体"/>
          <w:sz w:val="28"/>
          <w:szCs w:val="28"/>
        </w:rPr>
        <w:t>地块B09-3/01，占地面积0.37公顷。</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道路规划指标</w:t>
      </w:r>
    </w:p>
    <w:p>
      <w:pPr>
        <w:spacing w:line="360" w:lineRule="auto"/>
        <w:ind w:right="103" w:rightChars="49" w:firstLine="560" w:firstLineChars="200"/>
        <w:rPr>
          <w:rFonts w:ascii="宋体" w:hAnsi="宋体"/>
          <w:b/>
          <w:bCs/>
          <w:sz w:val="28"/>
          <w:szCs w:val="28"/>
        </w:rPr>
      </w:pPr>
      <w:r>
        <w:rPr>
          <w:rFonts w:hint="eastAsia" w:ascii="宋体" w:hAnsi="宋体"/>
          <w:sz w:val="28"/>
          <w:szCs w:val="28"/>
        </w:rPr>
        <w:t>规划范围内城市道路总长15.81公里，道路网密度8.78公里/平方公里，</w:t>
      </w:r>
      <w:r>
        <w:rPr>
          <w:rFonts w:hint="eastAsia" w:ascii="宋体" w:hAnsi="宋体"/>
          <w:b/>
          <w:bCs/>
          <w:sz w:val="28"/>
          <w:szCs w:val="28"/>
        </w:rPr>
        <w:t>规划道路与交通设施用地面积25.22公顷，占总用地的14.09%。</w:t>
      </w:r>
    </w:p>
    <w:p>
      <w:pPr>
        <w:pStyle w:val="3"/>
        <w:numPr>
          <w:ilvl w:val="0"/>
          <w:numId w:val="7"/>
        </w:numPr>
        <w:jc w:val="center"/>
        <w:rPr>
          <w:rFonts w:eastAsia="宋体"/>
          <w:sz w:val="30"/>
          <w:szCs w:val="30"/>
        </w:rPr>
      </w:pPr>
      <w:bookmarkStart w:id="21" w:name="_Toc515956486"/>
      <w:r>
        <w:rPr>
          <w:rFonts w:hint="eastAsia" w:eastAsia="宋体"/>
          <w:sz w:val="30"/>
          <w:szCs w:val="30"/>
        </w:rPr>
        <w:t>镇区公共服务设施规划</w:t>
      </w:r>
      <w:bookmarkEnd w:id="21"/>
    </w:p>
    <w:p>
      <w:pPr>
        <w:numPr>
          <w:ilvl w:val="0"/>
          <w:numId w:val="4"/>
        </w:numPr>
        <w:spacing w:line="360" w:lineRule="auto"/>
        <w:ind w:right="103" w:rightChars="49" w:firstLine="562" w:firstLineChars="200"/>
        <w:rPr>
          <w:rFonts w:ascii="宋体" w:hAnsi="宋体"/>
          <w:b/>
          <w:bCs/>
          <w:sz w:val="28"/>
          <w:szCs w:val="28"/>
        </w:rPr>
      </w:pPr>
      <w:r>
        <w:rPr>
          <w:rFonts w:hint="eastAsia" w:ascii="宋体" w:hAnsi="宋体"/>
          <w:b/>
          <w:bCs/>
          <w:sz w:val="28"/>
          <w:szCs w:val="28"/>
        </w:rPr>
        <w:t>镇区范围内规划设置了基础教育、医疗卫生、文化体育、社会福利和其它基本公共服务设施，详见附表四。</w:t>
      </w:r>
    </w:p>
    <w:p>
      <w:pPr>
        <w:pStyle w:val="3"/>
        <w:numPr>
          <w:ilvl w:val="0"/>
          <w:numId w:val="7"/>
        </w:numPr>
        <w:jc w:val="center"/>
        <w:rPr>
          <w:rFonts w:eastAsia="宋体"/>
          <w:sz w:val="30"/>
          <w:szCs w:val="30"/>
        </w:rPr>
      </w:pPr>
      <w:bookmarkStart w:id="22" w:name="_Toc515956487"/>
      <w:bookmarkStart w:id="23" w:name="_Toc215494658"/>
      <w:r>
        <w:rPr>
          <w:rFonts w:hint="eastAsia" w:eastAsia="宋体"/>
          <w:sz w:val="30"/>
          <w:szCs w:val="30"/>
        </w:rPr>
        <w:t>镇区市政工程设施规划</w:t>
      </w:r>
      <w:bookmarkEnd w:id="22"/>
      <w:bookmarkEnd w:id="23"/>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电力工程规划</w:t>
      </w:r>
    </w:p>
    <w:p>
      <w:pPr>
        <w:spacing w:line="360" w:lineRule="auto"/>
        <w:ind w:firstLine="570"/>
        <w:rPr>
          <w:rFonts w:ascii="宋体" w:hAnsi="宋体"/>
          <w:sz w:val="28"/>
          <w:szCs w:val="28"/>
        </w:rPr>
      </w:pPr>
      <w:r>
        <w:rPr>
          <w:rFonts w:hint="eastAsia" w:ascii="宋体" w:hAnsi="宋体"/>
          <w:sz w:val="28"/>
          <w:szCs w:val="28"/>
        </w:rPr>
        <w:t>1、预测本规划区总用电负荷为3.2万千瓦。</w:t>
      </w:r>
    </w:p>
    <w:p>
      <w:pPr>
        <w:spacing w:line="360" w:lineRule="auto"/>
        <w:ind w:firstLine="570"/>
        <w:rPr>
          <w:rFonts w:ascii="宋体" w:hAnsi="宋体"/>
          <w:sz w:val="28"/>
          <w:szCs w:val="28"/>
        </w:rPr>
      </w:pPr>
      <w:r>
        <w:rPr>
          <w:rFonts w:hint="eastAsia" w:ascii="宋体" w:hAnsi="宋体"/>
          <w:sz w:val="28"/>
          <w:szCs w:val="28"/>
        </w:rPr>
        <w:t>2、规划新建110千伏兴隆变电站，装机容量2×5万千伏安，电源接自110千伏古路变电站。规划区10千伏电源近期仍由现状35千伏石鞋变电站提供，至规划远期由规划110千伏兴隆变电站提供。</w:t>
      </w:r>
    </w:p>
    <w:p>
      <w:pPr>
        <w:spacing w:line="360" w:lineRule="auto"/>
        <w:ind w:firstLine="570"/>
        <w:rPr>
          <w:rFonts w:ascii="宋体" w:hAnsi="宋体"/>
          <w:sz w:val="28"/>
          <w:szCs w:val="28"/>
        </w:rPr>
      </w:pPr>
      <w:r>
        <w:rPr>
          <w:rFonts w:hint="eastAsia" w:ascii="宋体" w:hAnsi="宋体"/>
          <w:sz w:val="28"/>
          <w:szCs w:val="28"/>
        </w:rPr>
        <w:t>3、区内保留或新建35千伏及110千伏架空电力线路，要求按有关规定留出防护走廊；其余架空电力线路近期保留，远期调整：</w:t>
      </w:r>
    </w:p>
    <w:p>
      <w:pPr>
        <w:spacing w:line="360" w:lineRule="auto"/>
        <w:ind w:firstLine="570"/>
        <w:rPr>
          <w:rFonts w:ascii="宋体" w:hAnsi="宋体"/>
          <w:sz w:val="28"/>
          <w:szCs w:val="28"/>
        </w:rPr>
      </w:pPr>
      <w:r>
        <w:rPr>
          <w:rFonts w:hint="eastAsia" w:ascii="宋体" w:hAnsi="宋体"/>
          <w:sz w:val="28"/>
          <w:szCs w:val="28"/>
        </w:rPr>
        <w:t>（1）规划保留现状35千伏电力架空线，并预留110千伏电力架空线走廊。</w:t>
      </w:r>
    </w:p>
    <w:p>
      <w:pPr>
        <w:spacing w:line="360" w:lineRule="auto"/>
        <w:ind w:firstLine="570"/>
        <w:rPr>
          <w:rFonts w:ascii="宋体" w:hAnsi="宋体"/>
          <w:sz w:val="28"/>
          <w:szCs w:val="28"/>
        </w:rPr>
      </w:pPr>
      <w:r>
        <w:rPr>
          <w:rFonts w:hint="eastAsia" w:ascii="宋体" w:hAnsi="宋体"/>
          <w:sz w:val="28"/>
          <w:szCs w:val="28"/>
        </w:rPr>
        <w:t>（2）对于现状架空电力线路及杆塔位，以实测坐标控制，规划架空电力线路及杆塔位按规划预留走廊进行控制。110千伏电力架空线控制走廊距边导线为15米，具体控制宽度参见详图。</w:t>
      </w:r>
    </w:p>
    <w:p>
      <w:pPr>
        <w:spacing w:line="360" w:lineRule="auto"/>
        <w:ind w:firstLine="570"/>
        <w:rPr>
          <w:rFonts w:ascii="宋体" w:hAnsi="宋体"/>
          <w:sz w:val="28"/>
          <w:szCs w:val="28"/>
        </w:rPr>
      </w:pPr>
      <w:r>
        <w:rPr>
          <w:rFonts w:hint="eastAsia" w:ascii="宋体" w:hAnsi="宋体"/>
          <w:sz w:val="28"/>
          <w:szCs w:val="28"/>
        </w:rPr>
        <w:t>（3）规划范围内10千伏及以下线路下地敷设。现有10千伏架空中压配电线路结合开发建设需要根据规划用地布局迁改下地敷设。</w:t>
      </w:r>
    </w:p>
    <w:p>
      <w:pPr>
        <w:spacing w:line="360" w:lineRule="auto"/>
        <w:ind w:firstLine="570"/>
        <w:rPr>
          <w:rFonts w:ascii="宋体" w:hAnsi="宋体"/>
          <w:sz w:val="28"/>
          <w:szCs w:val="28"/>
        </w:rPr>
      </w:pPr>
      <w:r>
        <w:rPr>
          <w:rFonts w:hint="eastAsia" w:ascii="宋体" w:hAnsi="宋体"/>
          <w:sz w:val="28"/>
          <w:szCs w:val="28"/>
        </w:rPr>
        <w:t>4、</w:t>
      </w:r>
      <w:r>
        <w:rPr>
          <w:rFonts w:ascii="宋体" w:hAnsi="宋体"/>
          <w:sz w:val="28"/>
          <w:szCs w:val="28"/>
        </w:rPr>
        <w:t>规划范围沿道路布置10千伏中压配电环网，结合建筑物布置10千伏公用开闭所</w:t>
      </w:r>
      <w:r>
        <w:rPr>
          <w:rFonts w:hint="eastAsia" w:ascii="宋体" w:hAnsi="宋体"/>
          <w:sz w:val="28"/>
          <w:szCs w:val="28"/>
        </w:rPr>
        <w:t>4座</w:t>
      </w:r>
      <w:r>
        <w:rPr>
          <w:rFonts w:ascii="宋体" w:hAnsi="宋体"/>
          <w:sz w:val="28"/>
          <w:szCs w:val="28"/>
        </w:rPr>
        <w:t>。</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通信工程规划</w:t>
      </w:r>
    </w:p>
    <w:p>
      <w:pPr>
        <w:pStyle w:val="69"/>
        <w:spacing w:line="360" w:lineRule="auto"/>
        <w:ind w:firstLine="560"/>
        <w:rPr>
          <w:rFonts w:ascii="宋体" w:hAnsi="宋体"/>
          <w:sz w:val="28"/>
          <w:szCs w:val="28"/>
        </w:rPr>
      </w:pPr>
      <w:r>
        <w:rPr>
          <w:rFonts w:hint="eastAsia" w:ascii="宋体" w:hAnsi="宋体"/>
          <w:sz w:val="28"/>
          <w:szCs w:val="28"/>
        </w:rPr>
        <w:t>1、</w:t>
      </w:r>
      <w:r>
        <w:rPr>
          <w:rFonts w:ascii="宋体" w:hAnsi="宋体"/>
          <w:sz w:val="28"/>
          <w:szCs w:val="28"/>
        </w:rPr>
        <w:t>预测</w:t>
      </w:r>
      <w:r>
        <w:rPr>
          <w:rFonts w:hint="eastAsia" w:ascii="宋体" w:hAnsi="宋体"/>
          <w:sz w:val="28"/>
          <w:szCs w:val="28"/>
        </w:rPr>
        <w:t>规划范围固</w:t>
      </w:r>
      <w:r>
        <w:rPr>
          <w:rFonts w:ascii="宋体" w:hAnsi="宋体"/>
          <w:sz w:val="28"/>
          <w:szCs w:val="28"/>
        </w:rPr>
        <w:t>话</w:t>
      </w:r>
      <w:r>
        <w:rPr>
          <w:rFonts w:hint="eastAsia" w:ascii="宋体" w:hAnsi="宋体"/>
          <w:sz w:val="28"/>
          <w:szCs w:val="28"/>
        </w:rPr>
        <w:t>需求</w:t>
      </w:r>
      <w:r>
        <w:rPr>
          <w:rFonts w:ascii="宋体" w:hAnsi="宋体"/>
          <w:sz w:val="28"/>
          <w:szCs w:val="28"/>
        </w:rPr>
        <w:t>量</w:t>
      </w:r>
      <w:r>
        <w:rPr>
          <w:rFonts w:hint="eastAsia" w:ascii="宋体" w:hAnsi="宋体"/>
          <w:sz w:val="28"/>
          <w:szCs w:val="28"/>
        </w:rPr>
        <w:t>1.3万线。</w:t>
      </w:r>
    </w:p>
    <w:p>
      <w:pPr>
        <w:pStyle w:val="69"/>
        <w:spacing w:line="360" w:lineRule="auto"/>
        <w:ind w:firstLine="56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规划区内固话通信由兴隆通信局负责，装机容量为2万门。</w:t>
      </w:r>
    </w:p>
    <w:p>
      <w:pPr>
        <w:pStyle w:val="69"/>
        <w:spacing w:line="360" w:lineRule="auto"/>
        <w:ind w:firstLine="56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理顺现有通信电缆，改沿道路慢车道埋设。沿道路规划6～18孔通信管道。居住区内实行户线工程，根据规模设置通信交换箱。</w:t>
      </w:r>
    </w:p>
    <w:p>
      <w:pPr>
        <w:pStyle w:val="69"/>
        <w:spacing w:line="360" w:lineRule="auto"/>
        <w:ind w:right="103" w:rightChars="49" w:firstLine="560"/>
        <w:rPr>
          <w:rFonts w:ascii="宋体" w:hAnsi="宋体"/>
          <w:sz w:val="28"/>
          <w:szCs w:val="28"/>
        </w:rPr>
      </w:pPr>
      <w:r>
        <w:rPr>
          <w:rFonts w:hint="eastAsia" w:ascii="宋体" w:hAnsi="宋体"/>
          <w:sz w:val="28"/>
          <w:szCs w:val="28"/>
        </w:rPr>
        <w:t>4、各种通信、</w:t>
      </w:r>
      <w:r>
        <w:rPr>
          <w:rFonts w:ascii="宋体" w:hAnsi="宋体"/>
          <w:sz w:val="28"/>
          <w:szCs w:val="28"/>
        </w:rPr>
        <w:t>有线电视、交通监控系统纳入统一规划</w:t>
      </w:r>
      <w:r>
        <w:rPr>
          <w:rFonts w:hint="eastAsia" w:ascii="宋体" w:hAnsi="宋体"/>
          <w:sz w:val="28"/>
          <w:szCs w:val="28"/>
        </w:rPr>
        <w:t>，共用走廊</w:t>
      </w:r>
      <w:r>
        <w:rPr>
          <w:rFonts w:ascii="宋体" w:hAnsi="宋体"/>
          <w:sz w:val="28"/>
          <w:szCs w:val="28"/>
        </w:rPr>
        <w:t>。通信管道预留1—2孔作为有线电视专用</w:t>
      </w:r>
      <w:r>
        <w:rPr>
          <w:rFonts w:hint="eastAsia" w:ascii="宋体" w:hAnsi="宋体"/>
          <w:sz w:val="28"/>
          <w:szCs w:val="28"/>
        </w:rPr>
        <w:t>，</w:t>
      </w:r>
      <w:r>
        <w:rPr>
          <w:rFonts w:ascii="宋体" w:hAnsi="宋体"/>
          <w:sz w:val="28"/>
          <w:szCs w:val="28"/>
        </w:rPr>
        <w:t>预留2孔作为监控系统专用。</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燃气工程规划</w:t>
      </w:r>
    </w:p>
    <w:p>
      <w:pPr>
        <w:spacing w:line="360" w:lineRule="auto"/>
        <w:ind w:firstLine="570"/>
        <w:rPr>
          <w:rFonts w:ascii="宋体" w:hAnsi="宋体"/>
          <w:sz w:val="28"/>
          <w:szCs w:val="28"/>
        </w:rPr>
      </w:pPr>
      <w:r>
        <w:rPr>
          <w:rFonts w:hint="eastAsia" w:ascii="宋体" w:hAnsi="宋体"/>
          <w:sz w:val="28"/>
          <w:szCs w:val="28"/>
        </w:rPr>
        <w:t>1、预测规划范围用气量为1.8万立方米/日。</w:t>
      </w:r>
    </w:p>
    <w:p>
      <w:pPr>
        <w:spacing w:line="360" w:lineRule="auto"/>
        <w:ind w:firstLine="570"/>
        <w:rPr>
          <w:rFonts w:ascii="宋体" w:hAnsi="宋体"/>
          <w:sz w:val="28"/>
          <w:szCs w:val="28"/>
        </w:rPr>
      </w:pPr>
      <w:r>
        <w:rPr>
          <w:rFonts w:hint="eastAsia" w:ascii="宋体" w:hAnsi="宋体"/>
          <w:sz w:val="28"/>
          <w:szCs w:val="28"/>
        </w:rPr>
        <w:t>2、沿210国道引入D159燃气管道，负责兴隆镇区内用气</w:t>
      </w:r>
      <w:r>
        <w:rPr>
          <w:rFonts w:ascii="宋体" w:hAnsi="宋体"/>
          <w:sz w:val="28"/>
          <w:szCs w:val="28"/>
        </w:rPr>
        <w:t>。</w:t>
      </w:r>
    </w:p>
    <w:p>
      <w:pPr>
        <w:spacing w:line="360" w:lineRule="auto"/>
        <w:ind w:firstLine="57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沿城市道路布局规划燃气管道，</w:t>
      </w:r>
      <w:r>
        <w:rPr>
          <w:rFonts w:ascii="宋体" w:hAnsi="宋体"/>
          <w:sz w:val="28"/>
          <w:szCs w:val="28"/>
        </w:rPr>
        <w:t>形成网状配气系统。民用气部分设楼栋箱式调压器调压配气入户。</w:t>
      </w:r>
    </w:p>
    <w:p>
      <w:pPr>
        <w:spacing w:line="360" w:lineRule="auto"/>
        <w:ind w:right="103" w:rightChars="49" w:firstLine="560" w:firstLineChars="200"/>
        <w:rPr>
          <w:rFonts w:ascii="宋体" w:hAnsi="宋体"/>
          <w:sz w:val="28"/>
          <w:szCs w:val="28"/>
        </w:rPr>
      </w:pPr>
      <w:r>
        <w:rPr>
          <w:rFonts w:hint="eastAsia" w:ascii="宋体" w:hAnsi="宋体"/>
          <w:sz w:val="28"/>
          <w:szCs w:val="28"/>
        </w:rPr>
        <w:t>4、保留现状长输气管道相渝线和相旱线，并严格按照《</w:t>
      </w:r>
      <w:r>
        <w:rPr>
          <w:rFonts w:hint="eastAsia" w:ascii="宋体" w:hAnsi="宋体"/>
          <w:sz w:val="28"/>
          <w:szCs w:val="28"/>
          <w:lang w:eastAsia="zh-CN"/>
        </w:rPr>
        <w:t>中华人民共和国石油天然气管道保护法</w:t>
      </w:r>
      <w:r>
        <w:rPr>
          <w:rFonts w:hint="eastAsia" w:ascii="宋体" w:hAnsi="宋体"/>
          <w:sz w:val="28"/>
          <w:szCs w:val="28"/>
        </w:rPr>
        <w:t>》、《城镇燃气设计规范GB50028》的要求控制各种燃气设施的消防安全距离，确保各种燃气设施的安全。</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给水工程规划</w:t>
      </w:r>
    </w:p>
    <w:p>
      <w:pPr>
        <w:spacing w:line="360" w:lineRule="auto"/>
        <w:ind w:firstLine="570"/>
        <w:rPr>
          <w:rFonts w:ascii="宋体" w:hAnsi="宋体"/>
          <w:sz w:val="28"/>
          <w:szCs w:val="28"/>
        </w:rPr>
      </w:pPr>
      <w:r>
        <w:rPr>
          <w:rFonts w:hint="eastAsia" w:ascii="宋体" w:hAnsi="宋体"/>
          <w:sz w:val="28"/>
          <w:szCs w:val="28"/>
        </w:rPr>
        <w:t>1、预测规划范围内最高日用水量为0.9万立方米/日。</w:t>
      </w:r>
    </w:p>
    <w:p>
      <w:pPr>
        <w:spacing w:line="360" w:lineRule="auto"/>
        <w:ind w:firstLine="570"/>
        <w:rPr>
          <w:rFonts w:ascii="宋体" w:hAnsi="宋体"/>
          <w:sz w:val="28"/>
          <w:szCs w:val="28"/>
        </w:rPr>
      </w:pPr>
      <w:r>
        <w:rPr>
          <w:rFonts w:hint="eastAsia" w:ascii="宋体" w:hAnsi="宋体"/>
          <w:sz w:val="28"/>
          <w:szCs w:val="28"/>
        </w:rPr>
        <w:t>2、规划区供水近期由现状镇区水厂负责；远期用水由木耳镇牛头岩水厂主管网延伸至兴隆镇进行供水。</w:t>
      </w:r>
    </w:p>
    <w:p>
      <w:pPr>
        <w:spacing w:line="360" w:lineRule="auto"/>
        <w:ind w:firstLine="570"/>
        <w:rPr>
          <w:rFonts w:ascii="宋体" w:hAnsi="宋体"/>
          <w:sz w:val="28"/>
          <w:szCs w:val="28"/>
        </w:rPr>
      </w:pPr>
      <w:r>
        <w:rPr>
          <w:rFonts w:hint="eastAsia" w:ascii="宋体" w:hAnsi="宋体"/>
          <w:sz w:val="28"/>
          <w:szCs w:val="28"/>
        </w:rPr>
        <w:t>3、沿镇区规划道路敷设DN400-DN200供水管道，并形成环网, 提高区内供水的安全可靠性。</w:t>
      </w:r>
    </w:p>
    <w:p>
      <w:pPr>
        <w:spacing w:line="360" w:lineRule="auto"/>
        <w:ind w:right="103" w:rightChars="49" w:firstLine="560" w:firstLineChars="200"/>
        <w:rPr>
          <w:rFonts w:ascii="宋体" w:hAnsi="宋体"/>
          <w:sz w:val="28"/>
          <w:szCs w:val="28"/>
        </w:rPr>
      </w:pPr>
      <w:r>
        <w:rPr>
          <w:rFonts w:hint="eastAsia" w:ascii="宋体" w:hAnsi="宋体"/>
          <w:sz w:val="28"/>
          <w:szCs w:val="28"/>
        </w:rPr>
        <w:t>4、</w:t>
      </w:r>
      <w:r>
        <w:rPr>
          <w:rFonts w:ascii="宋体" w:hAnsi="宋体"/>
          <w:sz w:val="28"/>
          <w:szCs w:val="28"/>
        </w:rPr>
        <w:t>消防供水与市政供水共用一套管网，城市</w:t>
      </w:r>
      <w:r>
        <w:rPr>
          <w:rFonts w:hint="eastAsia" w:ascii="宋体" w:hAnsi="宋体"/>
          <w:sz w:val="28"/>
          <w:szCs w:val="28"/>
        </w:rPr>
        <w:t>道路</w:t>
      </w:r>
      <w:r>
        <w:rPr>
          <w:rFonts w:ascii="宋体" w:hAnsi="宋体"/>
          <w:sz w:val="28"/>
          <w:szCs w:val="28"/>
        </w:rPr>
        <w:t>上按规范配置市政消火栓</w:t>
      </w:r>
      <w:r>
        <w:rPr>
          <w:rFonts w:hint="eastAsia" w:ascii="宋体" w:hAnsi="宋体"/>
          <w:sz w:val="28"/>
          <w:szCs w:val="28"/>
        </w:rPr>
        <w:t>，间距不大于120米，保护半径不大于150米</w:t>
      </w:r>
      <w:r>
        <w:rPr>
          <w:rFonts w:ascii="宋体" w:hAnsi="宋体"/>
          <w:sz w:val="28"/>
          <w:szCs w:val="28"/>
        </w:rPr>
        <w:t>。</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排水工程规划</w:t>
      </w:r>
    </w:p>
    <w:p>
      <w:pPr>
        <w:pStyle w:val="69"/>
        <w:spacing w:line="360" w:lineRule="auto"/>
        <w:ind w:firstLine="560"/>
        <w:rPr>
          <w:rFonts w:ascii="宋体" w:hAnsi="宋体"/>
          <w:sz w:val="28"/>
          <w:szCs w:val="28"/>
        </w:rPr>
      </w:pPr>
      <w:r>
        <w:rPr>
          <w:rFonts w:hint="eastAsia" w:ascii="宋体" w:hAnsi="宋体"/>
          <w:sz w:val="28"/>
          <w:szCs w:val="28"/>
        </w:rPr>
        <w:t>1、采用雨、污水分流制。</w:t>
      </w:r>
    </w:p>
    <w:p>
      <w:pPr>
        <w:pStyle w:val="69"/>
        <w:spacing w:line="360" w:lineRule="auto"/>
        <w:ind w:firstLine="560"/>
        <w:rPr>
          <w:rFonts w:ascii="宋体" w:hAnsi="宋体"/>
          <w:sz w:val="28"/>
          <w:szCs w:val="28"/>
        </w:rPr>
      </w:pPr>
      <w:r>
        <w:rPr>
          <w:rFonts w:hint="eastAsia" w:ascii="宋体" w:hAnsi="宋体"/>
          <w:sz w:val="28"/>
          <w:szCs w:val="28"/>
        </w:rPr>
        <w:t>2、预测规划区污水量为0.65万立方米/日。兴隆场镇区规划扩建污水处理厂一座，规模为0.35万立方米/日，农业科技园区内新建污水处理厂两座，处理规模分别为0.25万立方米/日、0.10万立方米/日。</w:t>
      </w:r>
    </w:p>
    <w:p>
      <w:pPr>
        <w:pStyle w:val="69"/>
        <w:spacing w:line="360" w:lineRule="auto"/>
        <w:ind w:firstLine="560"/>
        <w:rPr>
          <w:rFonts w:ascii="宋体" w:hAnsi="宋体"/>
          <w:sz w:val="28"/>
          <w:szCs w:val="28"/>
        </w:rPr>
      </w:pPr>
      <w:r>
        <w:rPr>
          <w:rFonts w:hint="eastAsia" w:ascii="宋体" w:hAnsi="宋体"/>
          <w:sz w:val="28"/>
          <w:szCs w:val="28"/>
        </w:rPr>
        <w:t>3、沿御临河支流</w:t>
      </w:r>
      <w:r>
        <w:rPr>
          <w:rFonts w:ascii="宋体" w:hAnsi="宋体"/>
          <w:sz w:val="28"/>
          <w:szCs w:val="28"/>
        </w:rPr>
        <w:t>布置</w:t>
      </w:r>
      <w:r>
        <w:rPr>
          <w:rFonts w:hint="eastAsia" w:ascii="宋体" w:hAnsi="宋体"/>
          <w:sz w:val="28"/>
          <w:szCs w:val="28"/>
        </w:rPr>
        <w:t>污水截流</w:t>
      </w:r>
      <w:r>
        <w:rPr>
          <w:rFonts w:ascii="宋体" w:hAnsi="宋体"/>
          <w:sz w:val="28"/>
          <w:szCs w:val="28"/>
        </w:rPr>
        <w:t>干管，</w:t>
      </w:r>
      <w:r>
        <w:rPr>
          <w:rFonts w:hint="eastAsia" w:ascii="宋体" w:hAnsi="宋体"/>
          <w:sz w:val="28"/>
          <w:szCs w:val="28"/>
        </w:rPr>
        <w:t>区内大部分污水经收集后最终进入下游规划污水处理厂，集中处理并达标排放；部分无法收集进入污水厂集中处理的地块污水应采用一体化污水处理设施等方式，自行处理达标后排放。</w:t>
      </w:r>
    </w:p>
    <w:p>
      <w:pPr>
        <w:pStyle w:val="69"/>
        <w:spacing w:line="360" w:lineRule="auto"/>
        <w:ind w:firstLine="560"/>
        <w:rPr>
          <w:rFonts w:ascii="宋体" w:hAnsi="宋体"/>
          <w:sz w:val="28"/>
          <w:szCs w:val="28"/>
        </w:rPr>
      </w:pPr>
      <w:r>
        <w:rPr>
          <w:rFonts w:hint="eastAsia" w:ascii="宋体" w:hAnsi="宋体"/>
          <w:sz w:val="28"/>
          <w:szCs w:val="28"/>
        </w:rPr>
        <w:t>4、</w:t>
      </w:r>
      <w:r>
        <w:rPr>
          <w:rFonts w:ascii="宋体" w:hAnsi="宋体"/>
          <w:sz w:val="28"/>
          <w:szCs w:val="28"/>
        </w:rPr>
        <w:t>雨水量按重庆市暴雨强度公式推算</w:t>
      </w:r>
      <w:r>
        <w:rPr>
          <w:rFonts w:hint="eastAsia" w:ascii="宋体" w:hAnsi="宋体"/>
          <w:sz w:val="28"/>
          <w:szCs w:val="28"/>
        </w:rPr>
        <w:t>。</w:t>
      </w:r>
      <w:r>
        <w:rPr>
          <w:rFonts w:ascii="宋体" w:hAnsi="宋体"/>
          <w:sz w:val="28"/>
          <w:szCs w:val="28"/>
        </w:rPr>
        <w:t>规划范围内</w:t>
      </w:r>
      <w:r>
        <w:rPr>
          <w:rFonts w:hint="eastAsia" w:ascii="宋体" w:hAnsi="宋体"/>
          <w:sz w:val="28"/>
          <w:szCs w:val="28"/>
        </w:rPr>
        <w:t>雨水就近排入水体。</w:t>
      </w:r>
      <w:r>
        <w:rPr>
          <w:rFonts w:ascii="宋体" w:hAnsi="宋体"/>
          <w:sz w:val="28"/>
          <w:szCs w:val="28"/>
        </w:rPr>
        <w:t>雨水管渠计算按重庆市相关计算公式和有关规定执行</w:t>
      </w:r>
      <w:r>
        <w:rPr>
          <w:rFonts w:hint="eastAsia" w:ascii="宋体" w:hAnsi="宋体"/>
          <w:sz w:val="28"/>
          <w:szCs w:val="28"/>
        </w:rPr>
        <w:t>。规划保留自然水系为排水主通道，禁止填埋河道，</w:t>
      </w:r>
      <w:r>
        <w:rPr>
          <w:rFonts w:ascii="宋体" w:hAnsi="宋体"/>
          <w:sz w:val="28"/>
          <w:szCs w:val="28"/>
        </w:rPr>
        <w:t>原则上不允许加盖、改变河道</w:t>
      </w:r>
      <w:r>
        <w:rPr>
          <w:rFonts w:hint="eastAsia" w:ascii="宋体" w:hAnsi="宋体"/>
          <w:sz w:val="28"/>
          <w:szCs w:val="28"/>
        </w:rPr>
        <w:t>，</w:t>
      </w:r>
      <w:r>
        <w:rPr>
          <w:rFonts w:ascii="宋体" w:hAnsi="宋体"/>
          <w:sz w:val="28"/>
          <w:szCs w:val="28"/>
        </w:rPr>
        <w:t>确需变动</w:t>
      </w:r>
      <w:r>
        <w:rPr>
          <w:rFonts w:hint="eastAsia" w:ascii="宋体" w:hAnsi="宋体"/>
          <w:sz w:val="28"/>
          <w:szCs w:val="28"/>
        </w:rPr>
        <w:t>的须满足泄洪通行能力且</w:t>
      </w:r>
      <w:r>
        <w:rPr>
          <w:rFonts w:ascii="宋体" w:hAnsi="宋体"/>
          <w:sz w:val="28"/>
          <w:szCs w:val="28"/>
        </w:rPr>
        <w:t>须征得相关管理部门许可。加强河道的清淤和环保工作，</w:t>
      </w:r>
      <w:r>
        <w:rPr>
          <w:rFonts w:hint="eastAsia" w:ascii="宋体" w:hAnsi="宋体"/>
          <w:sz w:val="28"/>
          <w:szCs w:val="28"/>
        </w:rPr>
        <w:t>防止</w:t>
      </w:r>
      <w:r>
        <w:rPr>
          <w:rFonts w:ascii="宋体" w:hAnsi="宋体"/>
          <w:sz w:val="28"/>
          <w:szCs w:val="28"/>
        </w:rPr>
        <w:t>垃圾淤塞河道的现象</w:t>
      </w:r>
      <w:r>
        <w:rPr>
          <w:rFonts w:hint="eastAsia" w:ascii="宋体" w:hAnsi="宋体"/>
          <w:sz w:val="28"/>
          <w:szCs w:val="28"/>
        </w:rPr>
        <w:t>，确保河道泄洪顺畅</w:t>
      </w:r>
      <w:r>
        <w:rPr>
          <w:rFonts w:ascii="宋体" w:hAnsi="宋体"/>
          <w:sz w:val="28"/>
          <w:szCs w:val="28"/>
        </w:rPr>
        <w:t>。</w:t>
      </w:r>
    </w:p>
    <w:p>
      <w:pPr>
        <w:spacing w:line="360" w:lineRule="auto"/>
        <w:ind w:right="103" w:rightChars="49" w:firstLine="560" w:firstLineChars="200"/>
        <w:rPr>
          <w:rFonts w:ascii="宋体" w:hAnsi="宋体"/>
          <w:sz w:val="28"/>
          <w:szCs w:val="28"/>
        </w:rPr>
      </w:pPr>
      <w:r>
        <w:rPr>
          <w:rFonts w:hint="eastAsia" w:ascii="宋体" w:hAnsi="宋体"/>
          <w:sz w:val="28"/>
          <w:szCs w:val="28"/>
        </w:rPr>
        <w:t>5、</w:t>
      </w:r>
      <w:r>
        <w:rPr>
          <w:rFonts w:ascii="宋体" w:hAnsi="宋体"/>
          <w:sz w:val="28"/>
          <w:szCs w:val="28"/>
        </w:rPr>
        <w:t>沿</w:t>
      </w:r>
      <w:r>
        <w:rPr>
          <w:rFonts w:hint="eastAsia" w:ascii="宋体" w:hAnsi="宋体"/>
          <w:sz w:val="28"/>
          <w:szCs w:val="28"/>
        </w:rPr>
        <w:t>规划</w:t>
      </w:r>
      <w:r>
        <w:rPr>
          <w:rFonts w:ascii="宋体" w:hAnsi="宋体"/>
          <w:sz w:val="28"/>
          <w:szCs w:val="28"/>
        </w:rPr>
        <w:t>道路敷设雨水、污水管网。市政道路雨、污水管径不小于DN400。</w:t>
      </w:r>
    </w:p>
    <w:p>
      <w:pPr>
        <w:pStyle w:val="3"/>
        <w:jc w:val="center"/>
        <w:rPr>
          <w:rFonts w:eastAsia="宋体"/>
          <w:sz w:val="30"/>
          <w:szCs w:val="30"/>
        </w:rPr>
      </w:pPr>
      <w:bookmarkStart w:id="24" w:name="_Toc515956488"/>
      <w:bookmarkStart w:id="25" w:name="_Toc215494660"/>
      <w:r>
        <w:rPr>
          <w:rFonts w:hint="eastAsia" w:eastAsia="宋体"/>
          <w:sz w:val="30"/>
          <w:szCs w:val="30"/>
        </w:rPr>
        <w:t>第五节 镇区绿地系统与景观风貌规划</w:t>
      </w:r>
      <w:bookmarkEnd w:id="24"/>
      <w:bookmarkEnd w:id="25"/>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绿地系统规划</w:t>
      </w:r>
    </w:p>
    <w:p>
      <w:pPr>
        <w:pStyle w:val="69"/>
        <w:spacing w:line="360" w:lineRule="auto"/>
        <w:ind w:right="103" w:rightChars="49" w:firstLine="560"/>
        <w:rPr>
          <w:rFonts w:ascii="宋体" w:hAnsi="宋体"/>
          <w:sz w:val="28"/>
          <w:szCs w:val="28"/>
        </w:rPr>
      </w:pPr>
      <w:r>
        <w:rPr>
          <w:rFonts w:hint="eastAsia" w:ascii="宋体" w:hAnsi="宋体"/>
          <w:sz w:val="28"/>
          <w:szCs w:val="28"/>
        </w:rPr>
        <w:t>以“</w:t>
      </w:r>
      <w:r>
        <w:rPr>
          <w:rFonts w:hint="eastAsia" w:asciiTheme="minorEastAsia" w:hAnsiTheme="minorEastAsia"/>
          <w:sz w:val="28"/>
          <w:szCs w:val="28"/>
        </w:rPr>
        <w:t>田园城镇</w:t>
      </w:r>
      <w:r>
        <w:rPr>
          <w:rFonts w:hint="eastAsia" w:ascii="宋体" w:hAnsi="宋体"/>
          <w:sz w:val="28"/>
          <w:szCs w:val="28"/>
        </w:rPr>
        <w:t>”为主题，以红卫水库、镇区道路为血脉，形成“一心、六廊、多斑块”的城镇绿地景观系统，打造“生产、生活、生态”和谐共生的田园小城镇。</w:t>
      </w:r>
    </w:p>
    <w:p>
      <w:pPr>
        <w:spacing w:line="360" w:lineRule="auto"/>
        <w:ind w:firstLine="560" w:firstLineChars="200"/>
        <w:rPr>
          <w:rFonts w:ascii="宋体" w:hAnsi="宋体"/>
          <w:sz w:val="28"/>
          <w:szCs w:val="28"/>
        </w:rPr>
      </w:pPr>
      <w:r>
        <w:rPr>
          <w:rFonts w:hint="eastAsia" w:ascii="宋体" w:hAnsi="宋体"/>
          <w:sz w:val="28"/>
          <w:szCs w:val="28"/>
        </w:rPr>
        <w:t>一心：依托红卫水库自然水体打造景观绿化核心。</w:t>
      </w:r>
    </w:p>
    <w:p>
      <w:pPr>
        <w:spacing w:line="360" w:lineRule="auto"/>
        <w:ind w:firstLine="560" w:firstLineChars="200"/>
        <w:rPr>
          <w:rFonts w:ascii="宋体" w:hAnsi="宋体"/>
          <w:sz w:val="28"/>
          <w:szCs w:val="28"/>
        </w:rPr>
      </w:pPr>
      <w:r>
        <w:rPr>
          <w:rFonts w:hint="eastAsia" w:ascii="宋体" w:hAnsi="宋体"/>
          <w:sz w:val="28"/>
          <w:szCs w:val="28"/>
        </w:rPr>
        <w:t>六廊：由红卫水库向多个维度延伸形成景观绿廊，增加城镇的景观性和生态效应，打造小城镇宜人尺度。</w:t>
      </w:r>
    </w:p>
    <w:p>
      <w:pPr>
        <w:spacing w:line="360" w:lineRule="auto"/>
        <w:ind w:firstLine="560" w:firstLineChars="200"/>
        <w:rPr>
          <w:rFonts w:ascii="黑体" w:hAnsi="黑体" w:eastAsia="黑体"/>
          <w:b/>
          <w:sz w:val="28"/>
          <w:szCs w:val="28"/>
        </w:rPr>
      </w:pPr>
      <w:r>
        <w:rPr>
          <w:rFonts w:hint="eastAsia" w:ascii="宋体" w:hAnsi="宋体"/>
          <w:sz w:val="28"/>
          <w:szCs w:val="28"/>
        </w:rPr>
        <w:t>多斑块：在城镇重要位置（尤其是广场、桥头、绿廊尽头等对景位置）与绿化结合打造绿色斑块节点</w:t>
      </w:r>
      <w:r>
        <w:rPr>
          <w:rFonts w:hint="eastAsia" w:asciiTheme="minorEastAsia" w:hAnsiTheme="minorEastAsia"/>
          <w:sz w:val="28"/>
          <w:szCs w:val="28"/>
        </w:rPr>
        <w:t>。</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公园绿地规划</w:t>
      </w:r>
    </w:p>
    <w:p>
      <w:pPr>
        <w:spacing w:line="360" w:lineRule="auto"/>
        <w:ind w:right="103" w:rightChars="49" w:firstLine="560" w:firstLineChars="200"/>
        <w:rPr>
          <w:rFonts w:ascii="宋体" w:hAnsi="宋体"/>
          <w:sz w:val="28"/>
          <w:szCs w:val="28"/>
        </w:rPr>
      </w:pPr>
      <w:r>
        <w:rPr>
          <w:rFonts w:hint="eastAsia" w:ascii="宋体" w:hAnsi="宋体"/>
          <w:sz w:val="28"/>
          <w:szCs w:val="28"/>
        </w:rPr>
        <w:t>利用天然地势，</w:t>
      </w:r>
      <w:r>
        <w:rPr>
          <w:rFonts w:hint="eastAsia"/>
          <w:sz w:val="28"/>
          <w:szCs w:val="28"/>
        </w:rPr>
        <w:t>打造镇区内部休闲绿化带，形成穿连镇区的绿脉</w:t>
      </w:r>
      <w:r>
        <w:rPr>
          <w:rFonts w:hint="eastAsia" w:ascii="宋体" w:hAnsi="宋体"/>
          <w:sz w:val="28"/>
          <w:szCs w:val="28"/>
        </w:rPr>
        <w:t>。</w:t>
      </w:r>
      <w:r>
        <w:rPr>
          <w:rFonts w:hint="eastAsia" w:ascii="宋体" w:hAnsi="宋体"/>
          <w:b/>
          <w:bCs/>
          <w:sz w:val="28"/>
          <w:szCs w:val="28"/>
        </w:rPr>
        <w:t>规划公园绿地用地规模12.38公顷，占总用地的6.91%，人均公园绿地5.38平方米。</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防护绿地规划</w:t>
      </w:r>
    </w:p>
    <w:p>
      <w:pPr>
        <w:spacing w:line="360" w:lineRule="auto"/>
        <w:ind w:right="103" w:rightChars="49" w:firstLine="560" w:firstLineChars="200"/>
        <w:rPr>
          <w:b/>
          <w:sz w:val="28"/>
          <w:szCs w:val="28"/>
        </w:rPr>
      </w:pPr>
      <w:r>
        <w:rPr>
          <w:rFonts w:hint="eastAsia" w:ascii="宋体" w:hAnsi="宋体"/>
          <w:sz w:val="28"/>
          <w:szCs w:val="28"/>
        </w:rPr>
        <w:t>在垃圾中转站、变电站、燃气站、加油站等周围设置10～15米宽的防护绿地。</w:t>
      </w:r>
      <w:r>
        <w:rPr>
          <w:rFonts w:hint="eastAsia" w:ascii="宋体" w:hAnsi="宋体"/>
          <w:b/>
          <w:bCs/>
          <w:sz w:val="28"/>
          <w:szCs w:val="28"/>
        </w:rPr>
        <w:t>规划防护绿地用地规模0.49公顷，占总用地的0.28%</w:t>
      </w:r>
      <w:r>
        <w:rPr>
          <w:rFonts w:hint="eastAsia" w:ascii="宋体" w:hAnsi="宋体"/>
          <w:sz w:val="28"/>
          <w:szCs w:val="28"/>
        </w:rPr>
        <w:t>。</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景观风貌控制</w:t>
      </w:r>
    </w:p>
    <w:p>
      <w:pPr>
        <w:pStyle w:val="69"/>
        <w:spacing w:line="360" w:lineRule="auto"/>
        <w:ind w:firstLine="560"/>
        <w:rPr>
          <w:sz w:val="28"/>
          <w:szCs w:val="28"/>
        </w:rPr>
      </w:pPr>
      <w:r>
        <w:rPr>
          <w:rFonts w:hint="eastAsia"/>
          <w:sz w:val="28"/>
          <w:szCs w:val="28"/>
        </w:rPr>
        <w:t>整体上突出兴隆山水的空间环境特点，强调对镇区周边背景山体的保护和对规划区内水体的梳理，控制镇区与山水环境的界面。控制镇区南北出入口、广场等重要景观节点，形成重要的景观节点和轴线，营造宜人的开敞空间。</w:t>
      </w:r>
    </w:p>
    <w:p>
      <w:pPr>
        <w:spacing w:line="360" w:lineRule="auto"/>
        <w:ind w:firstLine="560" w:firstLineChars="200"/>
        <w:rPr>
          <w:sz w:val="28"/>
          <w:szCs w:val="28"/>
        </w:rPr>
      </w:pPr>
      <w:r>
        <w:rPr>
          <w:rFonts w:hint="eastAsia"/>
          <w:sz w:val="28"/>
          <w:szCs w:val="28"/>
        </w:rPr>
        <w:t>1、景观风貌分区</w:t>
      </w:r>
    </w:p>
    <w:p>
      <w:pPr>
        <w:spacing w:line="360" w:lineRule="auto"/>
        <w:ind w:firstLine="560" w:firstLineChars="200"/>
        <w:rPr>
          <w:sz w:val="28"/>
          <w:szCs w:val="28"/>
        </w:rPr>
      </w:pPr>
      <w:r>
        <w:rPr>
          <w:rFonts w:hint="eastAsia"/>
          <w:sz w:val="28"/>
          <w:szCs w:val="28"/>
        </w:rPr>
        <w:t>形成</w:t>
      </w:r>
      <w:r>
        <w:rPr>
          <w:rFonts w:hint="eastAsia" w:ascii="宋体" w:hAnsi="宋体"/>
          <w:sz w:val="28"/>
          <w:szCs w:val="28"/>
        </w:rPr>
        <w:t>镇区、农业科技园区两</w:t>
      </w:r>
      <w:r>
        <w:rPr>
          <w:rFonts w:hint="eastAsia"/>
          <w:sz w:val="28"/>
          <w:szCs w:val="28"/>
        </w:rPr>
        <w:t>个相对独特的景观风貌特色区。</w:t>
      </w:r>
    </w:p>
    <w:p>
      <w:pPr>
        <w:spacing w:line="360" w:lineRule="auto"/>
        <w:ind w:firstLine="560" w:firstLineChars="200"/>
        <w:rPr>
          <w:sz w:val="28"/>
          <w:szCs w:val="28"/>
        </w:rPr>
      </w:pPr>
      <w:r>
        <w:rPr>
          <w:rFonts w:hint="eastAsia" w:ascii="宋体" w:hAnsi="宋体"/>
          <w:sz w:val="28"/>
          <w:szCs w:val="28"/>
        </w:rPr>
        <w:t>镇区：</w:t>
      </w:r>
      <w:r>
        <w:rPr>
          <w:rFonts w:hint="eastAsia"/>
          <w:sz w:val="28"/>
          <w:szCs w:val="28"/>
        </w:rPr>
        <w:t>保留原有街道轴线和空间格局，对建筑主体及风貌进行整治和改造，以巴渝传统建筑风格为主，形成连续亲切的街道空间和立面。新建建筑体量不宜过大；底层店铺和主立面形式以及基调色彩应尽量与周边建筑保持一致；建筑屋顶建议采用坡屋顶形式。</w:t>
      </w:r>
    </w:p>
    <w:p>
      <w:pPr>
        <w:pStyle w:val="69"/>
        <w:spacing w:line="360" w:lineRule="auto"/>
        <w:ind w:firstLine="560"/>
        <w:rPr>
          <w:sz w:val="28"/>
          <w:szCs w:val="28"/>
        </w:rPr>
      </w:pPr>
      <w:r>
        <w:rPr>
          <w:rFonts w:hint="eastAsia" w:ascii="宋体" w:hAnsi="宋体"/>
          <w:sz w:val="28"/>
          <w:szCs w:val="28"/>
        </w:rPr>
        <w:t>农业科技园区：</w:t>
      </w:r>
      <w:r>
        <w:rPr>
          <w:rFonts w:hint="eastAsia"/>
          <w:sz w:val="28"/>
          <w:szCs w:val="28"/>
        </w:rPr>
        <w:t>以低层建筑为主，立面形式和建筑色彩应尽量简单、明快，屋顶形式建议采用平坡结合方式。</w:t>
      </w:r>
    </w:p>
    <w:p>
      <w:pPr>
        <w:pStyle w:val="16"/>
        <w:ind w:firstLine="280" w:firstLineChars="100"/>
        <w:rPr>
          <w:sz w:val="28"/>
          <w:szCs w:val="28"/>
        </w:rPr>
      </w:pPr>
      <w:r>
        <w:rPr>
          <w:rFonts w:hint="eastAsia"/>
          <w:sz w:val="28"/>
          <w:szCs w:val="28"/>
        </w:rPr>
        <w:t>2、界面控制</w:t>
      </w:r>
    </w:p>
    <w:p>
      <w:pPr>
        <w:spacing w:line="360" w:lineRule="auto"/>
        <w:ind w:firstLine="560" w:firstLineChars="200"/>
        <w:rPr>
          <w:sz w:val="28"/>
          <w:szCs w:val="28"/>
        </w:rPr>
      </w:pPr>
      <w:r>
        <w:rPr>
          <w:rFonts w:hint="eastAsia"/>
          <w:sz w:val="28"/>
          <w:szCs w:val="28"/>
        </w:rPr>
        <w:t>重点控制南北大道、镇</w:t>
      </w:r>
      <w:r>
        <w:rPr>
          <w:rFonts w:hint="eastAsia" w:asciiTheme="minorEastAsia" w:hAnsiTheme="minorEastAsia" w:eastAsiaTheme="minorEastAsia" w:cstheme="minorEastAsia"/>
          <w:sz w:val="28"/>
          <w:szCs w:val="28"/>
        </w:rPr>
        <w:t>区26米主干道两侧及红卫水库周边生态绿地景观；控制干道两侧建筑体量，建筑高度黄海高程不超过海拔606</w:t>
      </w:r>
      <w:r>
        <w:rPr>
          <w:rFonts w:hint="eastAsia"/>
          <w:sz w:val="28"/>
          <w:szCs w:val="28"/>
        </w:rPr>
        <w:t>米，在建筑形体上应形成较为明显的识别系统，底层建议形成连续的商业界面。</w:t>
      </w:r>
    </w:p>
    <w:p>
      <w:pPr>
        <w:spacing w:line="360" w:lineRule="auto"/>
        <w:ind w:firstLine="560" w:firstLineChars="200"/>
        <w:rPr>
          <w:sz w:val="28"/>
          <w:szCs w:val="28"/>
        </w:rPr>
      </w:pPr>
      <w:r>
        <w:rPr>
          <w:rFonts w:hint="eastAsia" w:ascii="宋体" w:hAnsi="宋体"/>
          <w:sz w:val="28"/>
          <w:szCs w:val="28"/>
        </w:rPr>
        <w:t>滨湖岸线设计宜以自然护坡为主，坡面宜采用绿化草坪植被覆盖。</w:t>
      </w:r>
    </w:p>
    <w:p>
      <w:pPr>
        <w:spacing w:line="360" w:lineRule="auto"/>
        <w:ind w:firstLine="560" w:firstLineChars="200"/>
        <w:rPr>
          <w:sz w:val="28"/>
          <w:szCs w:val="28"/>
        </w:rPr>
      </w:pPr>
      <w:r>
        <w:rPr>
          <w:rFonts w:hint="eastAsia"/>
          <w:sz w:val="28"/>
          <w:szCs w:val="28"/>
        </w:rPr>
        <w:t>3、门户景观风貌控制</w:t>
      </w:r>
    </w:p>
    <w:p>
      <w:pPr>
        <w:spacing w:line="360" w:lineRule="auto"/>
        <w:ind w:firstLine="560" w:firstLineChars="200"/>
        <w:rPr>
          <w:sz w:val="28"/>
          <w:szCs w:val="28"/>
        </w:rPr>
      </w:pPr>
      <w:r>
        <w:rPr>
          <w:rFonts w:hint="eastAsia"/>
          <w:sz w:val="28"/>
          <w:szCs w:val="28"/>
        </w:rPr>
        <w:t>主要入口地区以绿地和绿化广场的形式展示兴隆特色，形成入口的自然绿色界面。绿地内可酌情设置以表现地方文化特点和民俗故事为主题的雕塑、景观小品，形成门户识别特征。</w:t>
      </w:r>
    </w:p>
    <w:p>
      <w:pPr>
        <w:pStyle w:val="3"/>
        <w:jc w:val="center"/>
        <w:rPr>
          <w:rFonts w:eastAsia="宋体"/>
          <w:sz w:val="30"/>
          <w:szCs w:val="30"/>
        </w:rPr>
      </w:pPr>
      <w:bookmarkStart w:id="26" w:name="_Toc515956489"/>
      <w:r>
        <w:rPr>
          <w:rFonts w:hint="eastAsia" w:eastAsia="宋体"/>
          <w:sz w:val="30"/>
          <w:szCs w:val="30"/>
        </w:rPr>
        <w:t>第六节 镇区环境保护规划</w:t>
      </w:r>
      <w:bookmarkEnd w:id="26"/>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水环境保护</w:t>
      </w:r>
    </w:p>
    <w:p>
      <w:pPr>
        <w:tabs>
          <w:tab w:val="left" w:pos="1276"/>
        </w:tabs>
        <w:spacing w:line="360" w:lineRule="auto"/>
        <w:ind w:right="-199" w:rightChars="-95" w:firstLine="560" w:firstLineChars="200"/>
        <w:rPr>
          <w:rFonts w:ascii="宋体" w:hAnsi="宋体"/>
          <w:sz w:val="28"/>
          <w:szCs w:val="28"/>
        </w:rPr>
      </w:pPr>
      <w:r>
        <w:rPr>
          <w:rFonts w:hint="eastAsia" w:ascii="宋体" w:hAnsi="宋体"/>
          <w:sz w:val="28"/>
          <w:szCs w:val="28"/>
        </w:rPr>
        <w:t>地表水达到Ⅲ类标准。</w:t>
      </w:r>
      <w:r>
        <w:rPr>
          <w:rFonts w:hint="eastAsia" w:asciiTheme="minorEastAsia" w:hAnsiTheme="minorEastAsia" w:eastAsiaTheme="minorEastAsia" w:cstheme="minorEastAsia"/>
          <w:b/>
          <w:sz w:val="28"/>
          <w:szCs w:val="24"/>
        </w:rPr>
        <w:t>地表水严格执行《地表水环境质量标准》(GB3838-2002)Ⅲ类地表水水质保护标准；生活污水处理率总体达到90%。</w:t>
      </w:r>
      <w:r>
        <w:rPr>
          <w:rFonts w:hint="eastAsia" w:ascii="宋体" w:hAnsi="宋体"/>
          <w:sz w:val="28"/>
          <w:szCs w:val="28"/>
        </w:rPr>
        <w:t>镇区内排入溪流的污水应达到国家污水综合排放一级标准。</w:t>
      </w:r>
    </w:p>
    <w:p>
      <w:pPr>
        <w:tabs>
          <w:tab w:val="left" w:pos="1276"/>
        </w:tabs>
        <w:spacing w:line="360" w:lineRule="auto"/>
        <w:ind w:right="-199" w:rightChars="-95" w:firstLine="562" w:firstLineChars="200"/>
        <w:rPr>
          <w:rFonts w:ascii="宋体" w:hAnsi="宋体"/>
          <w:b/>
          <w:bCs/>
          <w:sz w:val="28"/>
          <w:szCs w:val="28"/>
        </w:rPr>
      </w:pPr>
      <w:r>
        <w:rPr>
          <w:rFonts w:hint="eastAsia" w:ascii="宋体" w:hAnsi="宋体"/>
          <w:b/>
          <w:bCs/>
          <w:sz w:val="28"/>
          <w:szCs w:val="28"/>
        </w:rPr>
        <w:t>地下水环境满足《地下水质量标准》(GB/T14848-1993)III类标准要求。</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镇域范围内观音洞水库及后河流域属于饮用水源一级保护区，严格按照《饮用水水源保护区污染防治管理规定》要求保护。</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大气环境保护</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大气环境质量按《环境空气质量标准》（GB3095-2012）中的二级标准控制。</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声环境保护</w:t>
      </w:r>
    </w:p>
    <w:p>
      <w:pPr>
        <w:spacing w:line="360" w:lineRule="auto"/>
        <w:ind w:firstLine="562" w:firstLineChars="200"/>
        <w:rPr>
          <w:rFonts w:ascii="黑体" w:hAnsi="黑体" w:eastAsia="黑体"/>
          <w:b/>
          <w:sz w:val="28"/>
          <w:szCs w:val="28"/>
        </w:rPr>
      </w:pPr>
      <w:r>
        <w:rPr>
          <w:rFonts w:hint="eastAsia" w:asciiTheme="minorEastAsia" w:hAnsiTheme="minorEastAsia" w:eastAsiaTheme="minorEastAsia" w:cstheme="minorEastAsia"/>
          <w:b/>
          <w:sz w:val="28"/>
          <w:szCs w:val="28"/>
        </w:rPr>
        <w:t>声环境按《声环境质量标准》（GB3096-2008）中的2类功能区要求控制。</w:t>
      </w:r>
      <w:r>
        <w:rPr>
          <w:rFonts w:hint="eastAsia"/>
          <w:sz w:val="28"/>
          <w:szCs w:val="24"/>
        </w:rPr>
        <w:t>加强建筑施工噪声、交通噪声和社会生活噪声控制。</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固体废弃物处置</w:t>
      </w:r>
    </w:p>
    <w:p>
      <w:pPr>
        <w:spacing w:line="360" w:lineRule="auto"/>
        <w:ind w:right="103" w:rightChars="49" w:firstLine="560" w:firstLineChars="200"/>
        <w:rPr>
          <w:rFonts w:ascii="宋体" w:hAnsi="宋体"/>
          <w:sz w:val="28"/>
          <w:szCs w:val="28"/>
        </w:rPr>
      </w:pPr>
      <w:r>
        <w:rPr>
          <w:rFonts w:ascii="宋体" w:hAnsi="宋体"/>
          <w:sz w:val="28"/>
          <w:szCs w:val="28"/>
        </w:rPr>
        <w:t>全面实现固体废弃物的集中收集处置，实现固体废弃物中转运输机械化和封闭化，收运处置的无害化和市场化。</w:t>
      </w:r>
    </w:p>
    <w:p>
      <w:pPr>
        <w:spacing w:line="360" w:lineRule="auto"/>
        <w:ind w:right="103" w:rightChars="49" w:firstLine="560" w:firstLineChars="200"/>
        <w:rPr>
          <w:rFonts w:ascii="宋体" w:hAnsi="宋体"/>
          <w:sz w:val="28"/>
          <w:szCs w:val="28"/>
        </w:rPr>
      </w:pPr>
      <w:r>
        <w:rPr>
          <w:rFonts w:hint="eastAsia" w:ascii="宋体" w:hAnsi="宋体"/>
          <w:sz w:val="28"/>
          <w:szCs w:val="28"/>
        </w:rPr>
        <w:t>1、</w:t>
      </w:r>
      <w:r>
        <w:rPr>
          <w:rFonts w:hint="eastAsia" w:ascii="宋体" w:hAnsi="宋体"/>
          <w:b/>
          <w:bCs/>
          <w:sz w:val="28"/>
          <w:szCs w:val="28"/>
        </w:rPr>
        <w:t>镇区新建1处</w:t>
      </w:r>
      <w:r>
        <w:rPr>
          <w:rFonts w:ascii="宋体" w:hAnsi="宋体"/>
          <w:b/>
          <w:bCs/>
          <w:sz w:val="28"/>
          <w:szCs w:val="28"/>
        </w:rPr>
        <w:t>垃圾</w:t>
      </w:r>
      <w:r>
        <w:rPr>
          <w:rFonts w:hint="eastAsia" w:ascii="宋体" w:hAnsi="宋体"/>
          <w:b/>
          <w:bCs/>
          <w:sz w:val="28"/>
          <w:szCs w:val="28"/>
        </w:rPr>
        <w:t>转运站，</w:t>
      </w:r>
      <w:r>
        <w:rPr>
          <w:rFonts w:hint="eastAsia" w:ascii="宋体" w:hAnsi="宋体"/>
          <w:sz w:val="28"/>
          <w:szCs w:val="28"/>
        </w:rPr>
        <w:t>位于地块A13/01，用地面积2422平方米</w:t>
      </w:r>
      <w:r>
        <w:rPr>
          <w:rFonts w:ascii="宋体" w:hAnsi="宋体"/>
          <w:sz w:val="28"/>
          <w:szCs w:val="28"/>
        </w:rPr>
        <w:t>。</w:t>
      </w:r>
    </w:p>
    <w:p>
      <w:pPr>
        <w:spacing w:line="360" w:lineRule="auto"/>
        <w:ind w:right="103" w:rightChars="49" w:firstLine="560" w:firstLineChars="200"/>
        <w:rPr>
          <w:rFonts w:ascii="宋体" w:hAnsi="宋体"/>
          <w:sz w:val="28"/>
          <w:szCs w:val="28"/>
        </w:rPr>
      </w:pPr>
      <w:r>
        <w:rPr>
          <w:rFonts w:hint="eastAsia" w:ascii="宋体" w:hAnsi="宋体"/>
          <w:sz w:val="28"/>
          <w:szCs w:val="28"/>
        </w:rPr>
        <w:t>2、医疗卫生部门和涉外部门的垃圾，应委托环卫部门上门收集至垃圾无害化处理厂处理。</w:t>
      </w:r>
    </w:p>
    <w:p>
      <w:pPr>
        <w:spacing w:line="360" w:lineRule="auto"/>
        <w:ind w:right="103" w:rightChars="49" w:firstLine="560" w:firstLineChars="200"/>
        <w:rPr>
          <w:rFonts w:ascii="宋体" w:hAnsi="宋体"/>
          <w:sz w:val="28"/>
          <w:szCs w:val="28"/>
        </w:rPr>
      </w:pPr>
      <w:r>
        <w:rPr>
          <w:rFonts w:hint="eastAsia" w:ascii="宋体" w:hAnsi="宋体"/>
          <w:sz w:val="28"/>
          <w:szCs w:val="28"/>
        </w:rPr>
        <w:t>3、</w:t>
      </w:r>
      <w:r>
        <w:rPr>
          <w:rFonts w:hint="eastAsia" w:ascii="宋体" w:hAnsi="宋体"/>
          <w:b/>
          <w:bCs/>
          <w:sz w:val="28"/>
          <w:szCs w:val="28"/>
        </w:rPr>
        <w:t>镇区配置16处</w:t>
      </w:r>
      <w:r>
        <w:rPr>
          <w:rFonts w:ascii="宋体" w:hAnsi="宋体"/>
          <w:b/>
          <w:bCs/>
          <w:sz w:val="28"/>
          <w:szCs w:val="28"/>
        </w:rPr>
        <w:t>垃圾收集点</w:t>
      </w:r>
      <w:r>
        <w:rPr>
          <w:rFonts w:ascii="宋体" w:hAnsi="宋体"/>
          <w:sz w:val="28"/>
          <w:szCs w:val="28"/>
        </w:rPr>
        <w:t>。</w:t>
      </w:r>
    </w:p>
    <w:p>
      <w:pPr>
        <w:spacing w:line="360" w:lineRule="auto"/>
        <w:ind w:right="103" w:rightChars="49" w:firstLine="560" w:firstLineChars="200"/>
        <w:rPr>
          <w:rFonts w:ascii="宋体" w:hAnsi="宋体"/>
          <w:sz w:val="28"/>
          <w:szCs w:val="28"/>
        </w:rPr>
      </w:pPr>
      <w:r>
        <w:rPr>
          <w:rFonts w:hint="eastAsia" w:ascii="宋体" w:hAnsi="宋体"/>
          <w:sz w:val="28"/>
          <w:szCs w:val="28"/>
        </w:rPr>
        <w:t>4、</w:t>
      </w:r>
      <w:r>
        <w:rPr>
          <w:rFonts w:ascii="宋体" w:hAnsi="宋体"/>
          <w:sz w:val="28"/>
          <w:szCs w:val="28"/>
        </w:rPr>
        <w:t>废物箱设置间距为：商业大街25</w:t>
      </w:r>
      <w:r>
        <w:rPr>
          <w:rFonts w:hint="eastAsia" w:ascii="宋体" w:hAnsi="宋体"/>
          <w:sz w:val="28"/>
          <w:szCs w:val="28"/>
        </w:rPr>
        <w:t>-</w:t>
      </w:r>
      <w:r>
        <w:rPr>
          <w:rFonts w:ascii="宋体" w:hAnsi="宋体"/>
          <w:sz w:val="28"/>
          <w:szCs w:val="28"/>
        </w:rPr>
        <w:t>50米设置一处，交通干道每50</w:t>
      </w:r>
      <w:r>
        <w:rPr>
          <w:rFonts w:hint="eastAsia" w:ascii="宋体" w:hAnsi="宋体"/>
          <w:sz w:val="28"/>
          <w:szCs w:val="28"/>
        </w:rPr>
        <w:t>-</w:t>
      </w:r>
      <w:r>
        <w:rPr>
          <w:rFonts w:ascii="宋体" w:hAnsi="宋体"/>
          <w:sz w:val="28"/>
          <w:szCs w:val="28"/>
        </w:rPr>
        <w:t>80米设置一处，一般道路每80—100米设置一处。</w:t>
      </w:r>
    </w:p>
    <w:p>
      <w:pPr>
        <w:spacing w:line="360" w:lineRule="auto"/>
        <w:ind w:right="103" w:rightChars="49" w:firstLine="560" w:firstLineChars="200"/>
        <w:rPr>
          <w:rFonts w:ascii="宋体" w:hAnsi="宋体"/>
          <w:sz w:val="28"/>
          <w:szCs w:val="28"/>
        </w:rPr>
      </w:pPr>
      <w:r>
        <w:rPr>
          <w:rFonts w:hint="eastAsia" w:ascii="宋体" w:hAnsi="宋体"/>
          <w:sz w:val="28"/>
          <w:szCs w:val="28"/>
        </w:rPr>
        <w:t>5、</w:t>
      </w:r>
      <w:r>
        <w:rPr>
          <w:rFonts w:hint="eastAsia" w:ascii="宋体" w:hAnsi="宋体"/>
          <w:b/>
          <w:bCs/>
          <w:sz w:val="28"/>
          <w:szCs w:val="28"/>
        </w:rPr>
        <w:t>镇区规划17处</w:t>
      </w:r>
      <w:r>
        <w:rPr>
          <w:rFonts w:ascii="宋体" w:hAnsi="宋体"/>
          <w:b/>
          <w:bCs/>
          <w:sz w:val="28"/>
          <w:szCs w:val="28"/>
        </w:rPr>
        <w:t>公共厕所</w:t>
      </w:r>
      <w:r>
        <w:rPr>
          <w:rFonts w:hint="eastAsia" w:ascii="宋体" w:hAnsi="宋体"/>
          <w:sz w:val="28"/>
          <w:szCs w:val="28"/>
        </w:rPr>
        <w:t>，</w:t>
      </w:r>
      <w:r>
        <w:rPr>
          <w:rFonts w:ascii="宋体" w:hAnsi="宋体"/>
          <w:sz w:val="28"/>
          <w:szCs w:val="28"/>
        </w:rPr>
        <w:t>逐步改造</w:t>
      </w:r>
      <w:r>
        <w:rPr>
          <w:rFonts w:hint="eastAsia" w:ascii="宋体" w:hAnsi="宋体"/>
          <w:sz w:val="28"/>
          <w:szCs w:val="28"/>
        </w:rPr>
        <w:t>设施</w:t>
      </w:r>
      <w:r>
        <w:rPr>
          <w:rFonts w:ascii="宋体" w:hAnsi="宋体"/>
          <w:sz w:val="28"/>
          <w:szCs w:val="28"/>
        </w:rPr>
        <w:t>，使水冲式达到100%，新建或改造公共厕所均应按《城市公共厕所规划和设计标准》(CJJ14—87)进行设计和建设</w:t>
      </w:r>
      <w:r>
        <w:rPr>
          <w:rFonts w:hint="eastAsia" w:ascii="宋体" w:hAnsi="宋体"/>
          <w:sz w:val="28"/>
          <w:szCs w:val="28"/>
        </w:rPr>
        <w:t>，每处建筑面积不小于60平方米，在流动人口密集区服务半径为200～300米，一般地段服务半径为500～700米。</w:t>
      </w:r>
    </w:p>
    <w:p>
      <w:pPr>
        <w:spacing w:line="360" w:lineRule="auto"/>
        <w:ind w:right="103" w:rightChars="49" w:firstLine="560" w:firstLineChars="200"/>
        <w:rPr>
          <w:rFonts w:ascii="宋体" w:hAnsi="宋体"/>
          <w:sz w:val="28"/>
          <w:szCs w:val="28"/>
        </w:rPr>
      </w:pPr>
      <w:r>
        <w:rPr>
          <w:rFonts w:hint="eastAsia" w:ascii="宋体" w:hAnsi="宋体"/>
          <w:sz w:val="28"/>
          <w:szCs w:val="28"/>
        </w:rPr>
        <w:t>6、污水厂污泥经过脱水后集中至垃圾填埋场统一处理。</w:t>
      </w:r>
    </w:p>
    <w:p>
      <w:pPr>
        <w:pStyle w:val="3"/>
        <w:jc w:val="center"/>
        <w:rPr>
          <w:rFonts w:eastAsia="宋体"/>
          <w:sz w:val="30"/>
          <w:szCs w:val="30"/>
        </w:rPr>
      </w:pPr>
      <w:bookmarkStart w:id="27" w:name="_Toc215494662"/>
      <w:bookmarkStart w:id="28" w:name="_Toc515956490"/>
      <w:r>
        <w:rPr>
          <w:rFonts w:hint="eastAsia" w:eastAsia="宋体"/>
          <w:sz w:val="30"/>
          <w:szCs w:val="30"/>
        </w:rPr>
        <w:t>第七节 镇区综合防灾减灾规划</w:t>
      </w:r>
      <w:bookmarkEnd w:id="27"/>
      <w:bookmarkEnd w:id="28"/>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地质灾害防治</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根据甘肃地质工程勘察院2012年编制的《重庆市渝北区兴隆镇规划用地地质灾害危险性评估报告》以及重庆市勘测院2009年编制的《重庆渝北国家农业科技园区拓展区规划区地质灾害危险性评估报告》，兴隆镇区和农业园区大部分区域位于地质灾害可能性小区（A区），部分区域位于地质灾害可能性中等区（B区）。建设中应加强对高切坡、深开挖建设工程的管理，作好合理定点、科学勘察设计、规范施工、认真监理、严格验收、定期检查以及后期跟踪监测的工作，发现问题，及时处理；对不良地质地段要加强防治，对处于工程建设适应性较差范围内的建设用地须整治后方能使用；镇内一切建设活动都必须以专业部门的地质勘探资料为依据。</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消防工程规划</w:t>
      </w:r>
    </w:p>
    <w:p>
      <w:pPr>
        <w:spacing w:line="360" w:lineRule="auto"/>
        <w:ind w:right="103" w:rightChars="49" w:firstLine="560" w:firstLineChars="200"/>
        <w:rPr>
          <w:rFonts w:ascii="宋体" w:hAnsi="宋体"/>
          <w:sz w:val="28"/>
          <w:szCs w:val="28"/>
        </w:rPr>
      </w:pPr>
      <w:r>
        <w:rPr>
          <w:rFonts w:hint="eastAsia" w:ascii="宋体" w:hAnsi="宋体"/>
          <w:sz w:val="28"/>
          <w:szCs w:val="28"/>
        </w:rPr>
        <w:t>1、规划区内各项建设工程必须严格执行国家颁布的各项防火规范。</w:t>
      </w:r>
    </w:p>
    <w:p>
      <w:pPr>
        <w:spacing w:line="360" w:lineRule="auto"/>
        <w:ind w:right="103" w:rightChars="49" w:firstLine="560" w:firstLineChars="200"/>
        <w:rPr>
          <w:rFonts w:ascii="宋体" w:hAnsi="宋体"/>
          <w:b/>
          <w:bCs/>
          <w:sz w:val="28"/>
          <w:szCs w:val="28"/>
        </w:rPr>
      </w:pPr>
      <w:r>
        <w:rPr>
          <w:rFonts w:hint="eastAsia" w:ascii="宋体" w:hAnsi="宋体"/>
          <w:sz w:val="28"/>
          <w:szCs w:val="28"/>
        </w:rPr>
        <w:t>2、根据城镇发展的需求，</w:t>
      </w:r>
      <w:r>
        <w:rPr>
          <w:rFonts w:hint="eastAsia" w:ascii="宋体" w:hAnsi="宋体"/>
          <w:b/>
          <w:bCs/>
          <w:sz w:val="28"/>
          <w:szCs w:val="28"/>
        </w:rPr>
        <w:t>镇区规划设置小型消防站一座，</w:t>
      </w:r>
      <w:r>
        <w:rPr>
          <w:rFonts w:hint="eastAsia" w:ascii="宋体" w:hAnsi="宋体"/>
          <w:sz w:val="28"/>
          <w:szCs w:val="28"/>
        </w:rPr>
        <w:t>位于地块A12-5/01，用地规模3346平方米。</w:t>
      </w:r>
      <w:r>
        <w:rPr>
          <w:rFonts w:hint="eastAsia" w:ascii="宋体" w:hAnsi="宋体"/>
          <w:b/>
          <w:bCs/>
          <w:sz w:val="28"/>
          <w:szCs w:val="28"/>
        </w:rPr>
        <w:t>任何单位和个人不得占用消防站用地，不得将消防站用地与其它用地置换。</w:t>
      </w:r>
    </w:p>
    <w:p>
      <w:pPr>
        <w:spacing w:line="360" w:lineRule="auto"/>
        <w:ind w:right="103" w:rightChars="49" w:firstLine="560" w:firstLineChars="200"/>
        <w:rPr>
          <w:rFonts w:ascii="宋体" w:hAnsi="宋体"/>
          <w:sz w:val="28"/>
          <w:szCs w:val="28"/>
        </w:rPr>
      </w:pPr>
      <w:r>
        <w:rPr>
          <w:rFonts w:hint="eastAsia" w:ascii="宋体" w:hAnsi="宋体"/>
          <w:sz w:val="28"/>
          <w:szCs w:val="28"/>
        </w:rPr>
        <w:t>3、消防给水由城镇供水管网、水库和消防水池提供，室外消防给水管网应呈环状布置，其进水管不少于两条。沿道路设置室外消火栓，间距不得超过120米；规划区宜采用地上式消火栓，室外地下消火栓应有明显标志。</w:t>
      </w:r>
    </w:p>
    <w:p>
      <w:pPr>
        <w:spacing w:line="360" w:lineRule="auto"/>
        <w:ind w:right="103" w:rightChars="49" w:firstLine="560" w:firstLineChars="200"/>
        <w:rPr>
          <w:rFonts w:ascii="宋体" w:hAnsi="宋体"/>
          <w:sz w:val="28"/>
          <w:szCs w:val="28"/>
        </w:rPr>
      </w:pPr>
      <w:r>
        <w:rPr>
          <w:rFonts w:hint="eastAsia" w:ascii="宋体" w:hAnsi="宋体"/>
          <w:sz w:val="28"/>
          <w:szCs w:val="28"/>
        </w:rPr>
        <w:t>4、规划区内道路应考虑消防车通行要求，当建筑物沿街部分长度超过150米或总长度超过220米时，应在适中位置安排穿过建筑物的消防通道。其宽度不应小于4米，净高不小于4米。尽端式消防通道应设置回车道或面积不少于15×15平方米的回车场。加强避难地建设，充分利用公园、广场等作为避难地。</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防洪排涝规划</w:t>
      </w:r>
    </w:p>
    <w:p>
      <w:pPr>
        <w:spacing w:line="360" w:lineRule="auto"/>
        <w:ind w:right="103" w:rightChars="49" w:firstLine="703" w:firstLineChars="250"/>
        <w:rPr>
          <w:rFonts w:ascii="宋体" w:hAnsi="宋体"/>
          <w:b/>
          <w:sz w:val="28"/>
          <w:szCs w:val="28"/>
        </w:rPr>
      </w:pPr>
      <w:r>
        <w:rPr>
          <w:rFonts w:hint="eastAsia" w:ascii="宋体" w:hAnsi="宋体"/>
          <w:b/>
          <w:sz w:val="28"/>
          <w:szCs w:val="28"/>
        </w:rPr>
        <w:t>镇区按按照天然河道水位二十年一遇洪水位设防，其他非镇区段河流按照天然河道水位二十年一遇洪水位设防。水域两侧二十年一遇洪水位以下为禁建区，在此区域内禁止修建任何阻碍行洪的构筑物及重要基础设施工程；此外，还应采取相应措施预防山洪。</w:t>
      </w:r>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抗震规划</w:t>
      </w:r>
    </w:p>
    <w:p>
      <w:pPr>
        <w:spacing w:line="360" w:lineRule="auto"/>
        <w:ind w:right="103" w:rightChars="49" w:firstLine="562" w:firstLineChars="200"/>
        <w:rPr>
          <w:rFonts w:ascii="宋体" w:hAnsi="宋体"/>
          <w:b/>
          <w:bCs/>
          <w:sz w:val="28"/>
          <w:szCs w:val="28"/>
        </w:rPr>
      </w:pPr>
      <w:r>
        <w:rPr>
          <w:rFonts w:hint="eastAsia" w:ascii="宋体" w:hAnsi="宋体"/>
          <w:b/>
          <w:bCs/>
          <w:sz w:val="28"/>
          <w:szCs w:val="28"/>
        </w:rPr>
        <w:t>普通民用建筑物按抗震烈度6度设防，城镇生命线工程的重要建构筑物提高1度设防。学校、医院等人员密集的公共场所的建筑应采用高于一般建设工程的抗震设防要求建设。</w:t>
      </w:r>
    </w:p>
    <w:p>
      <w:pPr>
        <w:numPr>
          <w:ilvl w:val="0"/>
          <w:numId w:val="4"/>
        </w:numPr>
        <w:spacing w:line="360" w:lineRule="auto"/>
        <w:rPr>
          <w:b/>
          <w:sz w:val="28"/>
          <w:szCs w:val="28"/>
        </w:rPr>
      </w:pPr>
      <w:r>
        <w:rPr>
          <w:rFonts w:hint="eastAsia" w:ascii="黑体" w:hAnsi="黑体" w:eastAsia="黑体"/>
          <w:b/>
          <w:sz w:val="28"/>
          <w:szCs w:val="28"/>
        </w:rPr>
        <w:t>人防规划</w:t>
      </w:r>
    </w:p>
    <w:p>
      <w:pPr>
        <w:spacing w:line="360" w:lineRule="auto"/>
        <w:ind w:right="103" w:rightChars="49" w:firstLine="560" w:firstLineChars="200"/>
        <w:rPr>
          <w:rFonts w:ascii="宋体" w:hAnsi="宋体"/>
          <w:sz w:val="28"/>
          <w:szCs w:val="28"/>
        </w:rPr>
      </w:pPr>
      <w:r>
        <w:rPr>
          <w:sz w:val="28"/>
          <w:szCs w:val="28"/>
        </w:rPr>
        <w:t>镇区市政基础建设、民用建筑工程项目建设</w:t>
      </w:r>
      <w:r>
        <w:rPr>
          <w:rFonts w:hint="eastAsia"/>
          <w:sz w:val="28"/>
          <w:szCs w:val="28"/>
        </w:rPr>
        <w:t>应</w:t>
      </w:r>
      <w:r>
        <w:rPr>
          <w:sz w:val="28"/>
          <w:szCs w:val="28"/>
        </w:rPr>
        <w:t>充分兼顾人防规划内容，满足人防要求。人防疏散干道应结合</w:t>
      </w:r>
      <w:r>
        <w:rPr>
          <w:rFonts w:hint="eastAsia"/>
          <w:sz w:val="28"/>
          <w:szCs w:val="28"/>
        </w:rPr>
        <w:t>镇区</w:t>
      </w:r>
      <w:r>
        <w:rPr>
          <w:sz w:val="28"/>
          <w:szCs w:val="28"/>
        </w:rPr>
        <w:t>交通网络，连接商</w:t>
      </w:r>
      <w:r>
        <w:rPr>
          <w:rFonts w:hint="eastAsia"/>
          <w:sz w:val="28"/>
          <w:szCs w:val="28"/>
        </w:rPr>
        <w:t>业中心</w:t>
      </w:r>
      <w:r>
        <w:rPr>
          <w:sz w:val="28"/>
          <w:szCs w:val="28"/>
        </w:rPr>
        <w:t>、居住区等</w:t>
      </w:r>
      <w:r>
        <w:rPr>
          <w:rFonts w:hint="eastAsia"/>
          <w:sz w:val="28"/>
          <w:szCs w:val="28"/>
        </w:rPr>
        <w:t>人口集中区</w:t>
      </w:r>
      <w:r>
        <w:rPr>
          <w:sz w:val="28"/>
          <w:szCs w:val="28"/>
        </w:rPr>
        <w:t>，形成人防疏散体系网络。</w:t>
      </w:r>
      <w:r>
        <w:rPr>
          <w:rFonts w:hint="eastAsia"/>
          <w:sz w:val="28"/>
          <w:szCs w:val="28"/>
        </w:rPr>
        <w:t>具体防空建设要求按渝北区有关规定执行</w:t>
      </w:r>
      <w:r>
        <w:rPr>
          <w:rFonts w:hint="eastAsia" w:ascii="宋体" w:hAnsi="宋体"/>
          <w:sz w:val="28"/>
          <w:szCs w:val="28"/>
        </w:rPr>
        <w:t>。</w:t>
      </w:r>
    </w:p>
    <w:p>
      <w:pPr>
        <w:numPr>
          <w:ilvl w:val="0"/>
          <w:numId w:val="4"/>
        </w:numPr>
        <w:spacing w:line="360" w:lineRule="auto"/>
        <w:rPr>
          <w:rFonts w:ascii="黑体" w:hAnsi="黑体" w:eastAsia="黑体"/>
          <w:b/>
          <w:sz w:val="28"/>
          <w:szCs w:val="28"/>
        </w:rPr>
      </w:pPr>
      <w:bookmarkStart w:id="29" w:name="_Toc215494663"/>
      <w:r>
        <w:rPr>
          <w:rFonts w:hint="eastAsia" w:ascii="黑体" w:hAnsi="黑体" w:eastAsia="黑体"/>
          <w:b/>
          <w:sz w:val="28"/>
          <w:szCs w:val="28"/>
        </w:rPr>
        <w:t>气象灾害防治</w:t>
      </w:r>
    </w:p>
    <w:p>
      <w:pPr>
        <w:tabs>
          <w:tab w:val="left" w:pos="1276"/>
        </w:tabs>
        <w:spacing w:line="360" w:lineRule="auto"/>
        <w:ind w:right="-199" w:rightChars="-95" w:firstLine="562" w:firstLineChars="200"/>
        <w:rPr>
          <w:rFonts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所有建构筑单体，必须按防雷规范进行设计，设置安全的避雷装置，并采取必要的抗风措施。</w:t>
      </w:r>
    </w:p>
    <w:p>
      <w:pPr>
        <w:numPr>
          <w:ilvl w:val="0"/>
          <w:numId w:val="4"/>
        </w:numPr>
        <w:spacing w:line="360" w:lineRule="auto"/>
      </w:pPr>
      <w:bookmarkStart w:id="30" w:name="_Toc311628168"/>
      <w:r>
        <w:rPr>
          <w:rFonts w:hint="eastAsia" w:ascii="黑体" w:hAnsi="黑体" w:eastAsia="黑体"/>
          <w:b/>
          <w:sz w:val="28"/>
          <w:szCs w:val="28"/>
        </w:rPr>
        <w:t>应急避难场所</w:t>
      </w:r>
      <w:bookmarkEnd w:id="30"/>
      <w:r>
        <w:rPr>
          <w:rFonts w:hint="eastAsia"/>
        </w:rPr>
        <w:t xml:space="preserve"> </w:t>
      </w:r>
    </w:p>
    <w:p>
      <w:pPr>
        <w:spacing w:line="360" w:lineRule="auto"/>
        <w:ind w:firstLine="562" w:firstLineChars="200"/>
        <w:rPr>
          <w:b/>
          <w:sz w:val="28"/>
          <w:szCs w:val="28"/>
        </w:rPr>
      </w:pPr>
      <w:r>
        <w:rPr>
          <w:rFonts w:hint="eastAsia"/>
          <w:b/>
          <w:sz w:val="28"/>
          <w:szCs w:val="28"/>
        </w:rPr>
        <w:t>规划结合公共活动场所按相关要求布置应急避难场所。绿地、广场、学校、停车场在受灾时可作为疏散避难场地，并应保证其疏散功能。应急避难场所应满足区级应急避难场所要求，设置应急集结区、应急发电站、应急厕所、应急指挥中心增设应急供水站、应急发电站、配淋浴盥洗间、应急医疗区、应急物资供应区、应急消防设施、应急垃圾点、应急停车场等设施。</w:t>
      </w:r>
    </w:p>
    <w:p>
      <w:pPr>
        <w:pStyle w:val="3"/>
        <w:jc w:val="center"/>
        <w:rPr>
          <w:rFonts w:eastAsia="宋体"/>
          <w:sz w:val="30"/>
          <w:szCs w:val="30"/>
        </w:rPr>
      </w:pPr>
      <w:bookmarkStart w:id="31" w:name="_Toc515956491"/>
      <w:r>
        <w:rPr>
          <w:rFonts w:hint="eastAsia" w:eastAsia="宋体"/>
          <w:sz w:val="30"/>
          <w:szCs w:val="30"/>
        </w:rPr>
        <w:t>第八节 镇区近期建设规划</w:t>
      </w:r>
      <w:bookmarkEnd w:id="29"/>
      <w:bookmarkEnd w:id="31"/>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镇区近期建设规划</w:t>
      </w:r>
    </w:p>
    <w:p>
      <w:pPr>
        <w:numPr>
          <w:ilvl w:val="0"/>
          <w:numId w:val="8"/>
        </w:numPr>
        <w:spacing w:line="360" w:lineRule="auto"/>
        <w:ind w:firstLine="560" w:firstLineChars="200"/>
        <w:rPr>
          <w:rFonts w:ascii="宋体" w:hAnsi="宋体"/>
          <w:bCs/>
          <w:sz w:val="28"/>
          <w:szCs w:val="28"/>
        </w:rPr>
      </w:pPr>
      <w:r>
        <w:rPr>
          <w:rFonts w:hint="eastAsia" w:ascii="宋体" w:hAnsi="宋体"/>
          <w:bCs/>
          <w:sz w:val="28"/>
          <w:szCs w:val="28"/>
        </w:rPr>
        <w:t>居住用地</w:t>
      </w:r>
    </w:p>
    <w:p>
      <w:pPr>
        <w:spacing w:line="360" w:lineRule="auto"/>
        <w:ind w:firstLine="560" w:firstLineChars="200"/>
        <w:rPr>
          <w:rFonts w:ascii="宋体" w:hAnsi="宋体"/>
          <w:bCs/>
          <w:sz w:val="28"/>
          <w:szCs w:val="28"/>
        </w:rPr>
      </w:pPr>
      <w:r>
        <w:rPr>
          <w:rFonts w:hint="eastAsia" w:ascii="宋体" w:hAnsi="宋体"/>
          <w:bCs/>
          <w:sz w:val="28"/>
          <w:szCs w:val="28"/>
        </w:rPr>
        <w:t>兴古路以南的居住用地，用于渝北国家科技农业园区的建设。</w:t>
      </w:r>
    </w:p>
    <w:p>
      <w:pPr>
        <w:spacing w:line="360" w:lineRule="auto"/>
        <w:ind w:firstLine="560" w:firstLineChars="200"/>
        <w:rPr>
          <w:rFonts w:ascii="宋体" w:hAnsi="宋体"/>
          <w:bCs/>
          <w:sz w:val="28"/>
          <w:szCs w:val="28"/>
        </w:rPr>
      </w:pPr>
      <w:r>
        <w:rPr>
          <w:rFonts w:hint="eastAsia" w:ascii="宋体" w:hAnsi="宋体"/>
          <w:bCs/>
          <w:sz w:val="28"/>
          <w:szCs w:val="28"/>
        </w:rPr>
        <w:t>（2）道路交通用地</w:t>
      </w:r>
    </w:p>
    <w:p>
      <w:pPr>
        <w:spacing w:line="360" w:lineRule="auto"/>
        <w:ind w:firstLine="560" w:firstLineChars="200"/>
        <w:rPr>
          <w:rFonts w:ascii="宋体" w:hAnsi="宋体"/>
          <w:bCs/>
          <w:sz w:val="28"/>
          <w:szCs w:val="28"/>
        </w:rPr>
      </w:pPr>
      <w:r>
        <w:rPr>
          <w:rFonts w:hint="eastAsia" w:ascii="宋体" w:hAnsi="宋体"/>
          <w:bCs/>
          <w:sz w:val="28"/>
          <w:szCs w:val="28"/>
        </w:rPr>
        <w:t>旧城区路网改造与优化，有序完善镇区中段及农业科技园区兴古路周边用地的道路；完善停车场及公交首末站建设。</w:t>
      </w:r>
    </w:p>
    <w:p>
      <w:pPr>
        <w:spacing w:line="360" w:lineRule="auto"/>
        <w:ind w:firstLine="560" w:firstLineChars="200"/>
        <w:rPr>
          <w:rFonts w:ascii="宋体" w:hAnsi="宋体"/>
          <w:bCs/>
          <w:sz w:val="28"/>
          <w:szCs w:val="28"/>
        </w:rPr>
      </w:pPr>
      <w:r>
        <w:rPr>
          <w:rFonts w:hint="eastAsia" w:ascii="宋体" w:hAnsi="宋体"/>
          <w:bCs/>
          <w:sz w:val="28"/>
          <w:szCs w:val="28"/>
        </w:rPr>
        <w:t>（3）公共设施用地</w:t>
      </w:r>
    </w:p>
    <w:p>
      <w:pPr>
        <w:spacing w:line="360" w:lineRule="auto"/>
        <w:ind w:firstLine="560" w:firstLineChars="200"/>
        <w:rPr>
          <w:rFonts w:ascii="宋体" w:hAnsi="宋体"/>
          <w:bCs/>
          <w:sz w:val="28"/>
          <w:szCs w:val="28"/>
        </w:rPr>
      </w:pPr>
      <w:r>
        <w:rPr>
          <w:rFonts w:hint="eastAsia" w:ascii="宋体" w:hAnsi="宋体"/>
          <w:bCs/>
          <w:sz w:val="28"/>
          <w:szCs w:val="28"/>
        </w:rPr>
        <w:t>新建综合农贸市场；新建文化活动中心；增设电信、移动支局；农业科技园区内商业金融业用地建设；扩建医院等。</w:t>
      </w:r>
    </w:p>
    <w:p>
      <w:pPr>
        <w:spacing w:line="360" w:lineRule="auto"/>
        <w:ind w:firstLine="560" w:firstLineChars="200"/>
        <w:rPr>
          <w:rFonts w:ascii="宋体" w:hAnsi="宋体"/>
          <w:bCs/>
          <w:sz w:val="28"/>
          <w:szCs w:val="28"/>
        </w:rPr>
      </w:pPr>
      <w:r>
        <w:rPr>
          <w:rFonts w:hint="eastAsia" w:ascii="宋体" w:hAnsi="宋体"/>
          <w:bCs/>
          <w:sz w:val="28"/>
          <w:szCs w:val="28"/>
        </w:rPr>
        <w:t>（4）工程设施用地</w:t>
      </w:r>
    </w:p>
    <w:p>
      <w:pPr>
        <w:spacing w:line="360" w:lineRule="auto"/>
        <w:ind w:firstLine="560" w:firstLineChars="200"/>
        <w:rPr>
          <w:rFonts w:ascii="宋体" w:hAnsi="宋体"/>
          <w:bCs/>
          <w:sz w:val="28"/>
          <w:szCs w:val="28"/>
        </w:rPr>
      </w:pPr>
      <w:r>
        <w:rPr>
          <w:rFonts w:hint="eastAsia" w:ascii="宋体" w:hAnsi="宋体"/>
          <w:bCs/>
          <w:sz w:val="28"/>
          <w:szCs w:val="28"/>
        </w:rPr>
        <w:t>电力、电信、燃气、给排水管网及相关设施随建设用地规划时序而进行；加油站和配气站的建设。</w:t>
      </w:r>
    </w:p>
    <w:p>
      <w:pPr>
        <w:spacing w:line="360" w:lineRule="auto"/>
        <w:ind w:firstLine="560" w:firstLineChars="200"/>
        <w:rPr>
          <w:rFonts w:ascii="宋体" w:hAnsi="宋体"/>
          <w:bCs/>
          <w:sz w:val="28"/>
          <w:szCs w:val="28"/>
        </w:rPr>
      </w:pPr>
      <w:r>
        <w:rPr>
          <w:rFonts w:hint="eastAsia" w:ascii="宋体" w:hAnsi="宋体"/>
          <w:bCs/>
          <w:sz w:val="28"/>
          <w:szCs w:val="28"/>
        </w:rPr>
        <w:t>（5）绿地广场用地</w:t>
      </w:r>
    </w:p>
    <w:p>
      <w:pPr>
        <w:spacing w:line="360" w:lineRule="auto"/>
        <w:ind w:firstLine="560" w:firstLineChars="200"/>
        <w:rPr>
          <w:rFonts w:ascii="宋体" w:hAnsi="宋体"/>
          <w:bCs/>
          <w:sz w:val="28"/>
          <w:szCs w:val="28"/>
        </w:rPr>
      </w:pPr>
      <w:r>
        <w:rPr>
          <w:rFonts w:hint="eastAsia" w:ascii="宋体" w:hAnsi="宋体"/>
          <w:bCs/>
          <w:sz w:val="28"/>
          <w:szCs w:val="28"/>
        </w:rPr>
        <w:t>重点建设水厂附近绿地公园及农业科技园区内的道路绿地。</w:t>
      </w:r>
    </w:p>
    <w:p>
      <w:pPr>
        <w:spacing w:line="360" w:lineRule="auto"/>
        <w:ind w:firstLine="560" w:firstLineChars="200"/>
        <w:rPr>
          <w:rFonts w:ascii="宋体" w:hAnsi="宋体"/>
          <w:bCs/>
          <w:sz w:val="28"/>
          <w:szCs w:val="28"/>
        </w:rPr>
      </w:pPr>
      <w:r>
        <w:rPr>
          <w:rFonts w:hint="eastAsia" w:ascii="宋体" w:hAnsi="宋体"/>
          <w:bCs/>
          <w:sz w:val="28"/>
          <w:szCs w:val="28"/>
        </w:rPr>
        <w:t>（6）环卫设施建设</w:t>
      </w:r>
    </w:p>
    <w:p>
      <w:pPr>
        <w:spacing w:line="360" w:lineRule="auto"/>
        <w:ind w:firstLine="560" w:firstLineChars="200"/>
        <w:rPr>
          <w:rFonts w:ascii="宋体" w:hAnsi="宋体"/>
          <w:bCs/>
          <w:sz w:val="28"/>
          <w:szCs w:val="28"/>
        </w:rPr>
      </w:pPr>
      <w:r>
        <w:rPr>
          <w:rFonts w:hint="eastAsia" w:ascii="宋体" w:hAnsi="宋体"/>
          <w:bCs/>
          <w:sz w:val="28"/>
          <w:szCs w:val="28"/>
        </w:rPr>
        <w:t>建成公共厕所10处；环卫工人至少8人；扩建现状污水处理厂；新建农业科技园区两处污水处理厂。</w:t>
      </w:r>
    </w:p>
    <w:p>
      <w:pPr>
        <w:pStyle w:val="2"/>
        <w:numPr>
          <w:ilvl w:val="0"/>
          <w:numId w:val="3"/>
        </w:numPr>
        <w:spacing w:before="0" w:line="360" w:lineRule="auto"/>
        <w:rPr>
          <w:rFonts w:ascii="黑体"/>
          <w:szCs w:val="30"/>
        </w:rPr>
      </w:pPr>
      <w:bookmarkStart w:id="32" w:name="_Toc215494664"/>
      <w:r>
        <w:rPr>
          <w:rFonts w:hint="eastAsia" w:ascii="黑体"/>
          <w:szCs w:val="30"/>
        </w:rPr>
        <w:t xml:space="preserve"> </w:t>
      </w:r>
      <w:bookmarkStart w:id="33" w:name="_Toc515956492"/>
      <w:r>
        <w:rPr>
          <w:rFonts w:hint="eastAsia" w:ascii="黑体"/>
          <w:szCs w:val="30"/>
        </w:rPr>
        <w:t>规划实施</w:t>
      </w:r>
      <w:bookmarkEnd w:id="32"/>
      <w:bookmarkEnd w:id="33"/>
    </w:p>
    <w:p>
      <w:pPr>
        <w:numPr>
          <w:ilvl w:val="0"/>
          <w:numId w:val="4"/>
        </w:numPr>
        <w:spacing w:line="360" w:lineRule="auto"/>
        <w:rPr>
          <w:rFonts w:ascii="黑体" w:hAnsi="黑体" w:eastAsia="黑体"/>
          <w:b/>
          <w:sz w:val="28"/>
          <w:szCs w:val="28"/>
        </w:rPr>
      </w:pPr>
      <w:r>
        <w:rPr>
          <w:rFonts w:hint="eastAsia" w:ascii="黑体" w:hAnsi="黑体" w:eastAsia="黑体"/>
          <w:b/>
          <w:sz w:val="28"/>
          <w:szCs w:val="28"/>
        </w:rPr>
        <w:t>规划实施</w:t>
      </w:r>
    </w:p>
    <w:p>
      <w:pPr>
        <w:spacing w:line="360" w:lineRule="auto"/>
        <w:ind w:firstLine="560" w:firstLineChars="200"/>
        <w:rPr>
          <w:rFonts w:ascii="宋体" w:hAnsi="宋体"/>
          <w:sz w:val="28"/>
          <w:szCs w:val="28"/>
        </w:rPr>
      </w:pPr>
      <w:r>
        <w:rPr>
          <w:rFonts w:hint="eastAsia" w:ascii="宋体" w:hAnsi="宋体"/>
          <w:sz w:val="28"/>
          <w:szCs w:val="28"/>
        </w:rPr>
        <w:t>1、本规划经重庆市人民政府批准后，由兴隆镇人民政府统一组织实施。应保持规划的严肃性、权威性，切实保障规划对本镇经济社会发展和城乡建设的指导与调控作用。</w:t>
      </w:r>
    </w:p>
    <w:p>
      <w:pPr>
        <w:spacing w:line="360" w:lineRule="auto"/>
        <w:ind w:firstLine="560" w:firstLineChars="200"/>
        <w:rPr>
          <w:rFonts w:ascii="宋体" w:hAnsi="宋体"/>
          <w:sz w:val="28"/>
          <w:szCs w:val="28"/>
        </w:rPr>
      </w:pPr>
      <w:r>
        <w:rPr>
          <w:rFonts w:hint="eastAsia" w:ascii="宋体" w:hAnsi="宋体"/>
          <w:sz w:val="28"/>
          <w:szCs w:val="28"/>
        </w:rPr>
        <w:t>2、规划区内的土地利用和各项建设必须符合本规划，服从规划管理，各项建设工程选址和布局必须符合本规划。</w:t>
      </w:r>
    </w:p>
    <w:p>
      <w:pPr>
        <w:spacing w:line="360" w:lineRule="auto"/>
        <w:ind w:firstLine="560" w:firstLineChars="200"/>
        <w:rPr>
          <w:rFonts w:ascii="宋体" w:hAnsi="宋体"/>
          <w:sz w:val="28"/>
          <w:szCs w:val="28"/>
        </w:rPr>
      </w:pPr>
      <w:r>
        <w:rPr>
          <w:rFonts w:hint="eastAsia" w:ascii="宋体" w:hAnsi="宋体"/>
          <w:sz w:val="28"/>
          <w:szCs w:val="28"/>
        </w:rPr>
        <w:t>3、加强土地集约发展，充分发挥基础设施效能，对引进的项目应按照规划集约布局。</w:t>
      </w:r>
    </w:p>
    <w:p>
      <w:pPr>
        <w:spacing w:line="360" w:lineRule="auto"/>
        <w:ind w:firstLine="560" w:firstLineChars="200"/>
        <w:rPr>
          <w:rFonts w:ascii="宋体" w:hAnsi="宋体"/>
          <w:sz w:val="28"/>
          <w:szCs w:val="28"/>
        </w:rPr>
      </w:pPr>
      <w:r>
        <w:rPr>
          <w:rFonts w:hint="eastAsia" w:ascii="宋体" w:hAnsi="宋体"/>
          <w:sz w:val="28"/>
          <w:szCs w:val="28"/>
        </w:rPr>
        <w:t>5、加强规划实施的监督管理，建立健全规划监督管理制度，规范规划管理行为，严格空间管制，拓展公众参与渠道，强化社会和舆论监督。提高全社会遵守规划的意识，提高规划管理者的执法水平，保障规划依法实施。</w:t>
      </w:r>
    </w:p>
    <w:p>
      <w:pPr>
        <w:spacing w:line="360" w:lineRule="auto"/>
        <w:ind w:firstLine="560" w:firstLineChars="200"/>
        <w:rPr>
          <w:rFonts w:ascii="宋体" w:hAnsi="宋体"/>
          <w:sz w:val="28"/>
          <w:szCs w:val="28"/>
        </w:rPr>
      </w:pPr>
      <w:r>
        <w:rPr>
          <w:rFonts w:hint="eastAsia" w:ascii="宋体" w:hAnsi="宋体"/>
          <w:sz w:val="28"/>
          <w:szCs w:val="28"/>
        </w:rPr>
        <w:t>6、城镇建设要着眼长远，立足当前，量力而行，突出重点，逐步分期实施。</w:t>
      </w:r>
    </w:p>
    <w:p>
      <w:pPr>
        <w:spacing w:line="360" w:lineRule="auto"/>
        <w:ind w:firstLine="560" w:firstLineChars="200"/>
        <w:rPr>
          <w:rFonts w:ascii="宋体" w:hAnsi="宋体"/>
          <w:sz w:val="28"/>
          <w:szCs w:val="28"/>
        </w:rPr>
      </w:pPr>
      <w:r>
        <w:rPr>
          <w:rFonts w:hint="eastAsia" w:ascii="宋体" w:hAnsi="宋体"/>
          <w:sz w:val="28"/>
          <w:szCs w:val="28"/>
        </w:rPr>
        <w:t>7、在统筹城乡协调发展的进程中，应加强乡村建设的指导与管理，使社会主义新农村建设健康有序发展。</w:t>
      </w:r>
    </w:p>
    <w:p>
      <w:pPr>
        <w:spacing w:line="360" w:lineRule="auto"/>
        <w:ind w:firstLine="560" w:firstLineChars="200"/>
        <w:rPr>
          <w:rFonts w:ascii="宋体" w:hAnsi="宋体"/>
          <w:sz w:val="28"/>
          <w:szCs w:val="28"/>
        </w:rPr>
      </w:pPr>
      <w:r>
        <w:rPr>
          <w:rFonts w:hint="eastAsia" w:ascii="宋体" w:hAnsi="宋体"/>
          <w:sz w:val="28"/>
          <w:szCs w:val="28"/>
        </w:rPr>
        <w:t>8、严格项目管理，认真抓好重点项目前期准备工作，建立重点项目专家论证、公示和听证制度，提高决策科学化水平和实施过程的透明度。</w:t>
      </w:r>
    </w:p>
    <w:p>
      <w:pPr>
        <w:spacing w:line="360" w:lineRule="auto"/>
        <w:ind w:firstLine="560" w:firstLineChars="200"/>
        <w:rPr>
          <w:rFonts w:ascii="宋体" w:hAnsi="宋体"/>
          <w:sz w:val="28"/>
          <w:szCs w:val="28"/>
        </w:rPr>
      </w:pPr>
      <w:r>
        <w:rPr>
          <w:rFonts w:hint="eastAsia" w:ascii="宋体" w:hAnsi="宋体"/>
          <w:sz w:val="28"/>
          <w:szCs w:val="28"/>
        </w:rPr>
        <w:t>9、加强规划法制建设，完善法律体系，以法治进行城镇规划、建设和管理，提高规划的法律地位，严格查处违法占地和违法建设行为，保证本规划的实施。</w:t>
      </w:r>
    </w:p>
    <w:p>
      <w:pPr>
        <w:pStyle w:val="2"/>
        <w:numPr>
          <w:ilvl w:val="0"/>
          <w:numId w:val="3"/>
        </w:numPr>
        <w:spacing w:before="0" w:line="360" w:lineRule="auto"/>
        <w:rPr>
          <w:rFonts w:ascii="黑体"/>
          <w:szCs w:val="30"/>
        </w:rPr>
      </w:pPr>
      <w:bookmarkStart w:id="34" w:name="_Toc299616421"/>
      <w:bookmarkStart w:id="35" w:name="_Toc217464978"/>
      <w:bookmarkStart w:id="36" w:name="_Toc186258017"/>
      <w:bookmarkStart w:id="37" w:name="_Toc515956493"/>
      <w:r>
        <w:rPr>
          <w:rFonts w:ascii="黑体"/>
          <w:szCs w:val="30"/>
        </w:rPr>
        <w:t>附则</w:t>
      </w:r>
      <w:bookmarkEnd w:id="34"/>
      <w:bookmarkEnd w:id="35"/>
      <w:bookmarkEnd w:id="36"/>
      <w:bookmarkEnd w:id="37"/>
    </w:p>
    <w:p>
      <w:pPr>
        <w:numPr>
          <w:ilvl w:val="0"/>
          <w:numId w:val="4"/>
        </w:numPr>
        <w:spacing w:line="360" w:lineRule="auto"/>
        <w:rPr>
          <w:sz w:val="28"/>
          <w:szCs w:val="28"/>
        </w:rPr>
      </w:pPr>
      <w:r>
        <w:rPr>
          <w:sz w:val="28"/>
          <w:szCs w:val="28"/>
        </w:rPr>
        <w:t>本规划由</w:t>
      </w:r>
      <w:r>
        <w:rPr>
          <w:rFonts w:hint="eastAsia"/>
          <w:sz w:val="28"/>
          <w:szCs w:val="28"/>
        </w:rPr>
        <w:t>规划成果由文本、附件两部分组成。文本包括条文、附表和附图；附件包括条文说明、规划编制说明书、基础资料汇编和其他附件。其中</w:t>
      </w:r>
      <w:r>
        <w:rPr>
          <w:sz w:val="28"/>
          <w:szCs w:val="28"/>
        </w:rPr>
        <w:t>规划文本具有法律效力。</w:t>
      </w:r>
    </w:p>
    <w:p>
      <w:pPr>
        <w:numPr>
          <w:ilvl w:val="0"/>
          <w:numId w:val="4"/>
        </w:numPr>
        <w:spacing w:line="360" w:lineRule="auto"/>
        <w:rPr>
          <w:rFonts w:ascii="宋体" w:hAnsi="宋体"/>
          <w:sz w:val="28"/>
          <w:szCs w:val="28"/>
        </w:rPr>
      </w:pPr>
      <w:r>
        <w:rPr>
          <w:sz w:val="28"/>
          <w:szCs w:val="28"/>
        </w:rPr>
        <w:t>本规划自</w:t>
      </w:r>
      <w:r>
        <w:rPr>
          <w:rFonts w:hint="eastAsia"/>
          <w:sz w:val="28"/>
          <w:szCs w:val="28"/>
        </w:rPr>
        <w:t>重庆市人民政府</w:t>
      </w:r>
      <w:r>
        <w:rPr>
          <w:sz w:val="28"/>
          <w:szCs w:val="28"/>
        </w:rPr>
        <w:t>批准之日起生效。</w:t>
      </w:r>
      <w:r>
        <w:rPr>
          <w:rFonts w:hint="eastAsia" w:ascii="宋体" w:hAnsi="宋体"/>
          <w:sz w:val="28"/>
          <w:szCs w:val="28"/>
        </w:rPr>
        <w:t>本规划一经批准，任何单位和个人不得擅自更改，确需对本规划进行变更时，须按规定程序报批。</w:t>
      </w:r>
    </w:p>
    <w:p>
      <w:pPr>
        <w:widowControl/>
        <w:jc w:val="left"/>
        <w:rPr>
          <w:rFonts w:ascii="黑体" w:hAnsi="宋体" w:eastAsia="黑体" w:cs="宋体"/>
          <w:kern w:val="0"/>
          <w:szCs w:val="21"/>
        </w:rPr>
      </w:pPr>
      <w:r>
        <w:rPr>
          <w:rFonts w:ascii="黑体" w:hAnsi="宋体" w:eastAsia="黑体" w:cs="宋体"/>
          <w:kern w:val="0"/>
          <w:szCs w:val="21"/>
        </w:rPr>
        <w:br w:type="page"/>
      </w:r>
    </w:p>
    <w:p>
      <w:pPr>
        <w:pStyle w:val="3"/>
        <w:jc w:val="left"/>
        <w:rPr>
          <w:rFonts w:ascii="黑体" w:hAnsi="黑体"/>
          <w:b w:val="0"/>
          <w:sz w:val="28"/>
          <w:szCs w:val="28"/>
        </w:rPr>
      </w:pPr>
      <w:bookmarkStart w:id="38" w:name="_Toc515956494"/>
      <w:r>
        <w:rPr>
          <w:rFonts w:hint="eastAsia" w:ascii="黑体" w:hAnsi="黑体"/>
          <w:b w:val="0"/>
          <w:sz w:val="28"/>
          <w:szCs w:val="28"/>
        </w:rPr>
        <w:t>附表一  镇域土地利用汇总表</w:t>
      </w:r>
      <w:bookmarkEnd w:id="38"/>
    </w:p>
    <w:tbl>
      <w:tblPr>
        <w:tblStyle w:val="37"/>
        <w:tblW w:w="5000" w:type="pct"/>
        <w:tblInd w:w="0" w:type="dxa"/>
        <w:tblLayout w:type="autofit"/>
        <w:tblCellMar>
          <w:top w:w="0" w:type="dxa"/>
          <w:left w:w="108" w:type="dxa"/>
          <w:bottom w:w="0" w:type="dxa"/>
          <w:right w:w="108" w:type="dxa"/>
        </w:tblCellMar>
      </w:tblPr>
      <w:tblGrid>
        <w:gridCol w:w="1651"/>
        <w:gridCol w:w="1390"/>
        <w:gridCol w:w="998"/>
        <w:gridCol w:w="434"/>
        <w:gridCol w:w="2526"/>
        <w:gridCol w:w="899"/>
        <w:gridCol w:w="899"/>
        <w:gridCol w:w="741"/>
        <w:gridCol w:w="741"/>
      </w:tblGrid>
      <w:tr>
        <w:tblPrEx>
          <w:tblCellMar>
            <w:top w:w="0" w:type="dxa"/>
            <w:left w:w="108" w:type="dxa"/>
            <w:bottom w:w="0" w:type="dxa"/>
            <w:right w:w="108" w:type="dxa"/>
          </w:tblCellMar>
        </w:tblPrEx>
        <w:trPr>
          <w:trHeight w:val="270" w:hRule="atLeast"/>
        </w:trPr>
        <w:tc>
          <w:tcPr>
            <w:tcW w:w="1194"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大类</w:t>
            </w:r>
          </w:p>
        </w:tc>
        <w:tc>
          <w:tcPr>
            <w:tcW w:w="1067"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中类</w:t>
            </w:r>
          </w:p>
        </w:tc>
        <w:tc>
          <w:tcPr>
            <w:tcW w:w="1568" w:type="pct"/>
            <w:gridSpan w:val="3"/>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小类</w:t>
            </w:r>
          </w:p>
        </w:tc>
        <w:tc>
          <w:tcPr>
            <w:tcW w:w="572" w:type="pct"/>
            <w:gridSpan w:val="2"/>
            <w:tcBorders>
              <w:top w:val="single" w:color="auto" w:sz="8" w:space="0"/>
              <w:left w:val="nil"/>
              <w:bottom w:val="nil"/>
              <w:right w:val="single" w:color="000000" w:sz="8"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用地面积</w:t>
            </w:r>
          </w:p>
        </w:tc>
        <w:tc>
          <w:tcPr>
            <w:tcW w:w="599" w:type="pct"/>
            <w:gridSpan w:val="2"/>
            <w:tcBorders>
              <w:top w:val="single" w:color="auto" w:sz="8" w:space="0"/>
              <w:left w:val="nil"/>
              <w:bottom w:val="nil"/>
              <w:right w:val="single" w:color="000000"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占城乡用地</w:t>
            </w:r>
          </w:p>
        </w:tc>
      </w:tr>
      <w:tr>
        <w:tblPrEx>
          <w:tblCellMar>
            <w:top w:w="0" w:type="dxa"/>
            <w:left w:w="108" w:type="dxa"/>
            <w:bottom w:w="0" w:type="dxa"/>
            <w:right w:w="108" w:type="dxa"/>
          </w:tblCellMar>
        </w:tblPrEx>
        <w:trPr>
          <w:trHeight w:val="300" w:hRule="atLeast"/>
        </w:trPr>
        <w:tc>
          <w:tcPr>
            <w:tcW w:w="119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067"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568"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黑体" w:hAnsi="黑体" w:eastAsia="黑体" w:cs="宋体"/>
                <w:kern w:val="0"/>
                <w:szCs w:val="21"/>
              </w:rPr>
            </w:pPr>
          </w:p>
        </w:tc>
        <w:tc>
          <w:tcPr>
            <w:tcW w:w="572" w:type="pct"/>
            <w:gridSpan w:val="2"/>
            <w:tcBorders>
              <w:top w:val="nil"/>
              <w:left w:val="nil"/>
              <w:bottom w:val="single" w:color="auto" w:sz="8" w:space="0"/>
              <w:right w:val="single" w:color="000000" w:sz="8"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（hm</w:t>
            </w:r>
            <w:r>
              <w:rPr>
                <w:rFonts w:hint="eastAsia" w:ascii="黑体" w:hAnsi="黑体" w:eastAsia="黑体" w:cs="宋体"/>
                <w:kern w:val="0"/>
                <w:szCs w:val="21"/>
                <w:vertAlign w:val="superscript"/>
              </w:rPr>
              <w:t>2</w:t>
            </w:r>
            <w:r>
              <w:rPr>
                <w:rFonts w:hint="eastAsia" w:ascii="黑体" w:hAnsi="黑体" w:eastAsia="黑体" w:cs="宋体"/>
                <w:kern w:val="0"/>
                <w:szCs w:val="21"/>
              </w:rPr>
              <w:t>）</w:t>
            </w:r>
          </w:p>
        </w:tc>
        <w:tc>
          <w:tcPr>
            <w:tcW w:w="599" w:type="pct"/>
            <w:gridSpan w:val="2"/>
            <w:tcBorders>
              <w:top w:val="nil"/>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比例（%）</w:t>
            </w:r>
          </w:p>
        </w:tc>
      </w:tr>
      <w:tr>
        <w:tblPrEx>
          <w:tblCellMar>
            <w:top w:w="0" w:type="dxa"/>
            <w:left w:w="108" w:type="dxa"/>
            <w:bottom w:w="0" w:type="dxa"/>
            <w:right w:w="108" w:type="dxa"/>
          </w:tblCellMar>
        </w:tblPrEx>
        <w:trPr>
          <w:trHeight w:val="285" w:hRule="atLeast"/>
        </w:trPr>
        <w:tc>
          <w:tcPr>
            <w:tcW w:w="119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067"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568"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黑体" w:hAnsi="黑体" w:eastAsia="黑体" w:cs="宋体"/>
                <w:kern w:val="0"/>
                <w:szCs w:val="21"/>
              </w:rPr>
            </w:pP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现状</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规划</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现状</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规划</w:t>
            </w:r>
          </w:p>
        </w:tc>
      </w:tr>
      <w:tr>
        <w:tblPrEx>
          <w:tblCellMar>
            <w:top w:w="0" w:type="dxa"/>
            <w:left w:w="108" w:type="dxa"/>
            <w:bottom w:w="0" w:type="dxa"/>
            <w:right w:w="108" w:type="dxa"/>
          </w:tblCellMar>
        </w:tblPrEx>
        <w:trPr>
          <w:trHeight w:val="285" w:hRule="atLeast"/>
        </w:trPr>
        <w:tc>
          <w:tcPr>
            <w:tcW w:w="119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建设用地（</w:t>
            </w:r>
            <w:r>
              <w:rPr>
                <w:rFonts w:ascii="Times New Roman" w:hAnsi="Times New Roman" w:eastAsia="方正仿宋_GBK"/>
                <w:kern w:val="0"/>
                <w:szCs w:val="21"/>
              </w:rPr>
              <w:t>H</w:t>
            </w:r>
            <w:r>
              <w:rPr>
                <w:rFonts w:hint="eastAsia" w:ascii="方正仿宋_GBK" w:hAnsi="宋体" w:eastAsia="方正仿宋_GBK" w:cs="宋体"/>
                <w:kern w:val="0"/>
                <w:szCs w:val="21"/>
              </w:rPr>
              <w:t>）</w:t>
            </w:r>
          </w:p>
        </w:tc>
        <w:tc>
          <w:tcPr>
            <w:tcW w:w="106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城乡居民点建设用地（</w:t>
            </w:r>
            <w:r>
              <w:rPr>
                <w:rFonts w:ascii="Times New Roman" w:hAnsi="Times New Roman" w:eastAsia="方正仿宋_GBK"/>
                <w:kern w:val="0"/>
                <w:szCs w:val="21"/>
              </w:rPr>
              <w:t>H1</w:t>
            </w:r>
            <w:r>
              <w:rPr>
                <w:rFonts w:hint="eastAsia" w:ascii="方正仿宋_GBK" w:hAnsi="宋体" w:eastAsia="方正仿宋_GBK" w:cs="宋体"/>
                <w:kern w:val="0"/>
                <w:szCs w:val="21"/>
              </w:rPr>
              <w:t>）</w:t>
            </w:r>
          </w:p>
        </w:tc>
        <w:tc>
          <w:tcPr>
            <w:tcW w:w="1568" w:type="pct"/>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城市建设用地（</w:t>
            </w:r>
            <w:r>
              <w:rPr>
                <w:rFonts w:ascii="Times New Roman" w:hAnsi="Times New Roman" w:eastAsia="方正仿宋_GBK"/>
                <w:kern w:val="0"/>
                <w:szCs w:val="21"/>
              </w:rPr>
              <w:t>H11</w:t>
            </w:r>
            <w:r>
              <w:rPr>
                <w:rFonts w:hint="eastAsia" w:ascii="方正仿宋_GBK" w:hAnsi="宋体" w:eastAsia="方正仿宋_GBK" w:cs="宋体"/>
                <w:kern w:val="0"/>
                <w:szCs w:val="21"/>
              </w:rPr>
              <w:t>）</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镇建设用地（</w:t>
            </w:r>
            <w:r>
              <w:rPr>
                <w:rFonts w:ascii="Times New Roman" w:hAnsi="Times New Roman" w:eastAsia="方正仿宋_GBK"/>
                <w:kern w:val="0"/>
                <w:szCs w:val="21"/>
              </w:rPr>
              <w:t>H12</w:t>
            </w:r>
            <w:r>
              <w:rPr>
                <w:rFonts w:hint="eastAsia" w:ascii="方正仿宋_GBK" w:hAnsi="宋体" w:eastAsia="方正仿宋_GBK" w:cs="宋体"/>
                <w:kern w:val="0"/>
                <w:szCs w:val="21"/>
              </w:rPr>
              <w:t>）</w:t>
            </w:r>
          </w:p>
        </w:tc>
        <w:tc>
          <w:tcPr>
            <w:tcW w:w="6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镇区内</w:t>
            </w:r>
          </w:p>
        </w:tc>
        <w:tc>
          <w:tcPr>
            <w:tcW w:w="90" w:type="pct"/>
            <w:tcBorders>
              <w:top w:val="nil"/>
              <w:left w:val="nil"/>
              <w:bottom w:val="single" w:color="auto" w:sz="8" w:space="0"/>
              <w:right w:val="single" w:color="auto" w:sz="8" w:space="0"/>
            </w:tcBorders>
            <w:shd w:val="clear" w:color="auto" w:fill="auto"/>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居住用地</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20.38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57.02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0.23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0.64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61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90" w:type="pct"/>
            <w:tcBorders>
              <w:top w:val="nil"/>
              <w:left w:val="nil"/>
              <w:bottom w:val="single" w:color="auto" w:sz="8" w:space="0"/>
              <w:right w:val="single" w:color="auto" w:sz="8" w:space="0"/>
            </w:tcBorders>
            <w:shd w:val="clear" w:color="auto" w:fill="auto"/>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公共管理与公共服务用地</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6.53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11.30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0.07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0.13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61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90" w:type="pct"/>
            <w:tcBorders>
              <w:top w:val="nil"/>
              <w:left w:val="nil"/>
              <w:bottom w:val="single" w:color="auto" w:sz="8" w:space="0"/>
              <w:right w:val="single" w:color="auto" w:sz="8" w:space="0"/>
            </w:tcBorders>
            <w:shd w:val="clear" w:color="auto" w:fill="auto"/>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工业用地</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0.20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0.00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61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90" w:type="pct"/>
            <w:tcBorders>
              <w:top w:val="nil"/>
              <w:left w:val="nil"/>
              <w:bottom w:val="single" w:color="auto" w:sz="8" w:space="0"/>
              <w:right w:val="single" w:color="auto" w:sz="8" w:space="0"/>
            </w:tcBorders>
            <w:shd w:val="clear" w:color="auto" w:fill="auto"/>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道路与交通设施用地</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3.28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25.22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0.04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0.28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61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90" w:type="pct"/>
            <w:tcBorders>
              <w:top w:val="nil"/>
              <w:left w:val="nil"/>
              <w:bottom w:val="single" w:color="auto" w:sz="8" w:space="0"/>
              <w:right w:val="single" w:color="auto" w:sz="8" w:space="0"/>
            </w:tcBorders>
            <w:shd w:val="clear" w:color="auto" w:fill="auto"/>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绿地与广场用地</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0.67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14.38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0.01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0.16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61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90" w:type="pct"/>
            <w:tcBorders>
              <w:top w:val="nil"/>
              <w:left w:val="nil"/>
              <w:bottom w:val="single" w:color="auto" w:sz="8" w:space="0"/>
              <w:right w:val="single" w:color="auto" w:sz="8" w:space="0"/>
            </w:tcBorders>
            <w:shd w:val="clear" w:color="auto" w:fill="auto"/>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其他镇建设用地</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4.91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71.08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0.06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0.80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61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90" w:type="pct"/>
            <w:tcBorders>
              <w:top w:val="nil"/>
              <w:left w:val="nil"/>
              <w:bottom w:val="single" w:color="auto" w:sz="8" w:space="0"/>
              <w:right w:val="single" w:color="auto" w:sz="8" w:space="0"/>
            </w:tcBorders>
            <w:shd w:val="clear" w:color="auto" w:fill="auto"/>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35.97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179.00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0.41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2.02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70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镇区外镇建设用地</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0.00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0.00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865"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704"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35.97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179.00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0.41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2.02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568"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村庄建设用地（</w:t>
            </w:r>
            <w:r>
              <w:rPr>
                <w:rFonts w:ascii="Times New Roman" w:hAnsi="Times New Roman" w:eastAsia="方正仿宋_GBK"/>
                <w:kern w:val="0"/>
                <w:szCs w:val="21"/>
              </w:rPr>
              <w:t>H14</w:t>
            </w:r>
            <w:r>
              <w:rPr>
                <w:rFonts w:hint="eastAsia" w:ascii="方正仿宋_GBK" w:hAnsi="宋体" w:eastAsia="方正仿宋_GBK" w:cs="宋体"/>
                <w:kern w:val="0"/>
                <w:szCs w:val="21"/>
              </w:rPr>
              <w:t>）</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582.81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458.43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6.57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5.17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区域交通设施用地（</w:t>
            </w:r>
            <w:r>
              <w:rPr>
                <w:rFonts w:ascii="Times New Roman" w:hAnsi="Times New Roman" w:eastAsia="方正仿宋_GBK"/>
                <w:kern w:val="0"/>
                <w:szCs w:val="21"/>
              </w:rPr>
              <w:t>H2</w:t>
            </w:r>
            <w:r>
              <w:rPr>
                <w:rFonts w:hint="eastAsia" w:ascii="方正仿宋_GBK" w:hAnsi="宋体" w:eastAsia="方正仿宋_GBK" w:cs="宋体"/>
                <w:kern w:val="0"/>
                <w:szCs w:val="21"/>
              </w:rPr>
              <w:t>）</w:t>
            </w:r>
          </w:p>
        </w:tc>
        <w:tc>
          <w:tcPr>
            <w:tcW w:w="1568" w:type="pct"/>
            <w:gridSpan w:val="3"/>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铁路用地（</w:t>
            </w:r>
            <w:r>
              <w:rPr>
                <w:rFonts w:ascii="Times New Roman" w:hAnsi="Times New Roman" w:eastAsia="方正仿宋_GBK"/>
                <w:kern w:val="0"/>
                <w:szCs w:val="21"/>
              </w:rPr>
              <w:t>H21</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0.00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568" w:type="pct"/>
            <w:gridSpan w:val="3"/>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公路用地（</w:t>
            </w:r>
            <w:r>
              <w:rPr>
                <w:rFonts w:ascii="Times New Roman" w:hAnsi="Times New Roman" w:eastAsia="方正仿宋_GBK"/>
                <w:kern w:val="0"/>
                <w:szCs w:val="21"/>
              </w:rPr>
              <w:t>H22</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43.87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77.30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0.49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0.87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568" w:type="pct"/>
            <w:gridSpan w:val="3"/>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港口用地（</w:t>
            </w:r>
            <w:r>
              <w:rPr>
                <w:rFonts w:ascii="Times New Roman" w:hAnsi="Times New Roman" w:eastAsia="方正仿宋_GBK"/>
                <w:kern w:val="0"/>
                <w:szCs w:val="21"/>
              </w:rPr>
              <w:t>H23</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0.00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568" w:type="pct"/>
            <w:gridSpan w:val="3"/>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机场用地（</w:t>
            </w:r>
            <w:r>
              <w:rPr>
                <w:rFonts w:ascii="Times New Roman" w:hAnsi="Times New Roman" w:eastAsia="方正仿宋_GBK"/>
                <w:kern w:val="0"/>
                <w:szCs w:val="21"/>
              </w:rPr>
              <w:t>H24</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0.00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0.00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568" w:type="pct"/>
            <w:gridSpan w:val="3"/>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管道运输用地（</w:t>
            </w:r>
            <w:r>
              <w:rPr>
                <w:rFonts w:ascii="Times New Roman" w:hAnsi="Times New Roman" w:eastAsia="方正仿宋_GBK"/>
                <w:kern w:val="0"/>
                <w:szCs w:val="21"/>
              </w:rPr>
              <w:t>H25</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0.00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0.29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2635" w:type="pct"/>
            <w:gridSpan w:val="4"/>
            <w:tcBorders>
              <w:top w:val="nil"/>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区域公用设施用地（</w:t>
            </w:r>
            <w:r>
              <w:rPr>
                <w:rFonts w:ascii="Times New Roman" w:hAnsi="Times New Roman" w:eastAsia="方正仿宋_GBK"/>
                <w:kern w:val="0"/>
                <w:szCs w:val="21"/>
              </w:rPr>
              <w:t>H3</w:t>
            </w:r>
            <w:r>
              <w:rPr>
                <w:rFonts w:hint="eastAsia" w:ascii="方正仿宋_GBK" w:hAnsi="宋体" w:eastAsia="方正仿宋_GBK" w:cs="宋体"/>
                <w:kern w:val="0"/>
                <w:szCs w:val="21"/>
              </w:rPr>
              <w:t>）</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1.07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1.09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0.01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0.01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特殊用地（</w:t>
            </w:r>
            <w:r>
              <w:rPr>
                <w:rFonts w:ascii="Times New Roman" w:hAnsi="Times New Roman" w:eastAsia="方正仿宋_GBK"/>
                <w:kern w:val="0"/>
                <w:szCs w:val="21"/>
              </w:rPr>
              <w:t>H4</w:t>
            </w:r>
            <w:r>
              <w:rPr>
                <w:rFonts w:hint="eastAsia" w:ascii="方正仿宋_GBK" w:hAnsi="宋体" w:eastAsia="方正仿宋_GBK" w:cs="宋体"/>
                <w:kern w:val="0"/>
                <w:szCs w:val="21"/>
              </w:rPr>
              <w:t>）</w:t>
            </w:r>
          </w:p>
        </w:tc>
        <w:tc>
          <w:tcPr>
            <w:tcW w:w="1568" w:type="pct"/>
            <w:gridSpan w:val="3"/>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军事用地（</w:t>
            </w:r>
            <w:r>
              <w:rPr>
                <w:rFonts w:ascii="Times New Roman" w:hAnsi="Times New Roman" w:eastAsia="方正仿宋_GBK"/>
                <w:kern w:val="0"/>
                <w:szCs w:val="21"/>
              </w:rPr>
              <w:t>H41</w:t>
            </w:r>
            <w:r>
              <w:rPr>
                <w:rFonts w:hint="eastAsia" w:ascii="方正仿宋_GBK" w:hAnsi="宋体" w:eastAsia="方正仿宋_GBK" w:cs="宋体"/>
                <w:kern w:val="0"/>
                <w:szCs w:val="21"/>
              </w:rPr>
              <w:t>）</w:t>
            </w:r>
          </w:p>
        </w:tc>
        <w:tc>
          <w:tcPr>
            <w:tcW w:w="404" w:type="pct"/>
            <w:vMerge w:val="restart"/>
            <w:tcBorders>
              <w:top w:val="nil"/>
              <w:left w:val="single" w:color="000000" w:sz="8" w:space="0"/>
              <w:bottom w:val="single" w:color="000000"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0.00 </w:t>
            </w:r>
          </w:p>
        </w:tc>
        <w:tc>
          <w:tcPr>
            <w:tcW w:w="168"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6.62 </w:t>
            </w:r>
          </w:p>
        </w:tc>
        <w:tc>
          <w:tcPr>
            <w:tcW w:w="460"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0.00 </w:t>
            </w:r>
          </w:p>
        </w:tc>
        <w:tc>
          <w:tcPr>
            <w:tcW w:w="139"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0.07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067"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1568" w:type="pct"/>
            <w:gridSpan w:val="3"/>
            <w:tcBorders>
              <w:top w:val="single" w:color="auto" w:sz="8" w:space="0"/>
              <w:left w:val="nil"/>
              <w:bottom w:val="single" w:color="auto" w:sz="8" w:space="0"/>
              <w:right w:val="single" w:color="000000" w:sz="8" w:space="0"/>
            </w:tcBorders>
            <w:shd w:val="clear" w:color="000000" w:fill="FFFFFF"/>
            <w:noWrap/>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安保用地（</w:t>
            </w:r>
            <w:r>
              <w:rPr>
                <w:rFonts w:ascii="Times New Roman" w:hAnsi="Times New Roman" w:eastAsia="方正仿宋_GBK"/>
                <w:kern w:val="0"/>
                <w:szCs w:val="21"/>
              </w:rPr>
              <w:t>H42</w:t>
            </w:r>
            <w:r>
              <w:rPr>
                <w:rFonts w:hint="eastAsia" w:ascii="方正仿宋_GBK" w:hAnsi="宋体" w:eastAsia="方正仿宋_GBK" w:cs="宋体"/>
                <w:kern w:val="0"/>
                <w:szCs w:val="21"/>
              </w:rPr>
              <w:t>）</w:t>
            </w:r>
          </w:p>
        </w:tc>
        <w:tc>
          <w:tcPr>
            <w:tcW w:w="404" w:type="pct"/>
            <w:vMerge w:val="continue"/>
            <w:tcBorders>
              <w:top w:val="nil"/>
              <w:left w:val="single" w:color="000000" w:sz="8" w:space="0"/>
              <w:bottom w:val="single" w:color="000000" w:sz="8" w:space="0"/>
              <w:right w:val="single" w:color="auto" w:sz="8" w:space="0"/>
            </w:tcBorders>
            <w:vAlign w:val="center"/>
          </w:tcPr>
          <w:p>
            <w:pPr>
              <w:widowControl/>
              <w:jc w:val="left"/>
              <w:rPr>
                <w:rFonts w:ascii="Times New Roman" w:hAnsi="Times New Roman"/>
                <w:kern w:val="0"/>
                <w:szCs w:val="21"/>
              </w:rPr>
            </w:pPr>
          </w:p>
        </w:tc>
        <w:tc>
          <w:tcPr>
            <w:tcW w:w="168"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color w:val="000000"/>
                <w:kern w:val="0"/>
                <w:szCs w:val="21"/>
              </w:rPr>
            </w:pPr>
          </w:p>
        </w:tc>
        <w:tc>
          <w:tcPr>
            <w:tcW w:w="460" w:type="pct"/>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2635"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采矿用地（</w:t>
            </w:r>
            <w:r>
              <w:rPr>
                <w:rFonts w:ascii="Times New Roman" w:hAnsi="Times New Roman" w:eastAsia="方正仿宋_GBK"/>
                <w:kern w:val="0"/>
                <w:szCs w:val="21"/>
              </w:rPr>
              <w:t>H5</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3.15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3.19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0.04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0.04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2635"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其他建设用地（</w:t>
            </w:r>
            <w:r>
              <w:rPr>
                <w:rFonts w:ascii="Times New Roman" w:hAnsi="Times New Roman" w:eastAsia="方正仿宋_GBK"/>
                <w:kern w:val="0"/>
                <w:szCs w:val="21"/>
              </w:rPr>
              <w:t>H9</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109.65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110.38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1.24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1.24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2635"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776.52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836.29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8.75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9.43 </w:t>
            </w:r>
          </w:p>
        </w:tc>
      </w:tr>
      <w:tr>
        <w:tblPrEx>
          <w:tblCellMar>
            <w:top w:w="0" w:type="dxa"/>
            <w:left w:w="108" w:type="dxa"/>
            <w:bottom w:w="0" w:type="dxa"/>
            <w:right w:w="108" w:type="dxa"/>
          </w:tblCellMar>
        </w:tblPrEx>
        <w:trPr>
          <w:trHeight w:val="285" w:hRule="atLeast"/>
        </w:trPr>
        <w:tc>
          <w:tcPr>
            <w:tcW w:w="119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非建设用地（</w:t>
            </w:r>
            <w:r>
              <w:rPr>
                <w:rFonts w:ascii="Times New Roman" w:hAnsi="Times New Roman" w:eastAsia="方正仿宋_GBK"/>
                <w:kern w:val="0"/>
                <w:szCs w:val="21"/>
              </w:rPr>
              <w:t>E</w:t>
            </w:r>
            <w:r>
              <w:rPr>
                <w:rFonts w:hint="eastAsia" w:ascii="方正仿宋_GBK" w:hAnsi="宋体" w:eastAsia="方正仿宋_GBK" w:cs="宋体"/>
                <w:kern w:val="0"/>
                <w:szCs w:val="21"/>
              </w:rPr>
              <w:t>）</w:t>
            </w:r>
          </w:p>
        </w:tc>
        <w:tc>
          <w:tcPr>
            <w:tcW w:w="2635"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水域（</w:t>
            </w:r>
            <w:r>
              <w:rPr>
                <w:rFonts w:ascii="Times New Roman" w:hAnsi="Times New Roman" w:eastAsia="方正仿宋_GBK"/>
                <w:kern w:val="0"/>
                <w:szCs w:val="21"/>
              </w:rPr>
              <w:t>E1</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86.81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44.72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0.98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0.50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2635"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农林用地（</w:t>
            </w:r>
            <w:r>
              <w:rPr>
                <w:rFonts w:ascii="Times New Roman" w:hAnsi="Times New Roman" w:eastAsia="方正仿宋_GBK"/>
                <w:kern w:val="0"/>
                <w:szCs w:val="21"/>
              </w:rPr>
              <w:t>E2</w:t>
            </w:r>
            <w:r>
              <w:rPr>
                <w:rFonts w:hint="eastAsia" w:ascii="方正仿宋_GBK" w:hAnsi="宋体" w:eastAsia="方正仿宋_GBK" w:cs="宋体"/>
                <w:kern w:val="0"/>
                <w:szCs w:val="21"/>
              </w:rPr>
              <w:t>）</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7958.59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7840.26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89.71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88.37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2635"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其它非建设用地（</w:t>
            </w:r>
            <w:r>
              <w:rPr>
                <w:rFonts w:ascii="Times New Roman" w:hAnsi="Times New Roman" w:eastAsia="方正仿宋_GBK"/>
                <w:kern w:val="0"/>
                <w:szCs w:val="21"/>
              </w:rPr>
              <w:t>E9</w:t>
            </w:r>
            <w:r>
              <w:rPr>
                <w:rFonts w:hint="eastAsia" w:ascii="方正仿宋_GBK" w:hAnsi="宋体" w:eastAsia="方正仿宋_GBK" w:cs="宋体"/>
                <w:kern w:val="0"/>
                <w:szCs w:val="21"/>
              </w:rPr>
              <w:t>）</w:t>
            </w:r>
          </w:p>
        </w:tc>
        <w:tc>
          <w:tcPr>
            <w:tcW w:w="40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49.88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150.52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0.56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1.70 </w:t>
            </w:r>
          </w:p>
        </w:tc>
      </w:tr>
      <w:tr>
        <w:tblPrEx>
          <w:tblCellMar>
            <w:top w:w="0" w:type="dxa"/>
            <w:left w:w="108" w:type="dxa"/>
            <w:bottom w:w="0" w:type="dxa"/>
            <w:right w:w="108" w:type="dxa"/>
          </w:tblCellMar>
        </w:tblPrEx>
        <w:trPr>
          <w:trHeight w:val="285" w:hRule="atLeast"/>
        </w:trPr>
        <w:tc>
          <w:tcPr>
            <w:tcW w:w="1194" w:type="pct"/>
            <w:vMerge w:val="continue"/>
            <w:tcBorders>
              <w:top w:val="nil"/>
              <w:left w:val="single" w:color="auto" w:sz="8" w:space="0"/>
              <w:bottom w:val="single" w:color="000000" w:sz="8" w:space="0"/>
              <w:right w:val="single" w:color="auto" w:sz="8" w:space="0"/>
            </w:tcBorders>
            <w:vAlign w:val="center"/>
          </w:tcPr>
          <w:p>
            <w:pPr>
              <w:widowControl/>
              <w:jc w:val="left"/>
              <w:rPr>
                <w:rFonts w:ascii="方正仿宋_GBK" w:hAnsi="宋体" w:eastAsia="方正仿宋_GBK" w:cs="宋体"/>
                <w:kern w:val="0"/>
                <w:szCs w:val="21"/>
              </w:rPr>
            </w:pPr>
          </w:p>
        </w:tc>
        <w:tc>
          <w:tcPr>
            <w:tcW w:w="2635"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404"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8095.28 </w:t>
            </w:r>
          </w:p>
        </w:tc>
        <w:tc>
          <w:tcPr>
            <w:tcW w:w="168"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8035.51 </w:t>
            </w:r>
          </w:p>
        </w:tc>
        <w:tc>
          <w:tcPr>
            <w:tcW w:w="460"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91.25 </w:t>
            </w:r>
          </w:p>
        </w:tc>
        <w:tc>
          <w:tcPr>
            <w:tcW w:w="139" w:type="pct"/>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90.57 </w:t>
            </w:r>
          </w:p>
        </w:tc>
      </w:tr>
      <w:tr>
        <w:tblPrEx>
          <w:tblCellMar>
            <w:top w:w="0" w:type="dxa"/>
            <w:left w:w="108" w:type="dxa"/>
            <w:bottom w:w="0" w:type="dxa"/>
            <w:right w:w="108" w:type="dxa"/>
          </w:tblCellMar>
        </w:tblPrEx>
        <w:trPr>
          <w:trHeight w:val="285" w:hRule="atLeast"/>
        </w:trPr>
        <w:tc>
          <w:tcPr>
            <w:tcW w:w="382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总计</w:t>
            </w:r>
          </w:p>
        </w:tc>
        <w:tc>
          <w:tcPr>
            <w:tcW w:w="572"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8871.80 </w:t>
            </w:r>
          </w:p>
        </w:tc>
        <w:tc>
          <w:tcPr>
            <w:tcW w:w="599" w:type="pct"/>
            <w:gridSpan w:val="2"/>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100.00 </w:t>
            </w:r>
          </w:p>
        </w:tc>
      </w:tr>
    </w:tbl>
    <w:p/>
    <w:p/>
    <w:p/>
    <w:p>
      <w:pPr>
        <w:rPr>
          <w:rFonts w:ascii="黑体" w:hAnsi="黑体"/>
          <w:b/>
          <w:sz w:val="28"/>
          <w:szCs w:val="28"/>
        </w:rPr>
      </w:pPr>
      <w:r>
        <w:rPr>
          <w:rFonts w:hint="eastAsia"/>
        </w:rPr>
        <w:br w:type="column"/>
      </w:r>
      <w:bookmarkStart w:id="39" w:name="_Toc515956495"/>
      <w:r>
        <w:rPr>
          <w:rFonts w:hint="eastAsia" w:ascii="黑体" w:hAnsi="黑体"/>
          <w:sz w:val="28"/>
          <w:szCs w:val="28"/>
        </w:rPr>
        <w:t>附表二  兴隆镇镇村体系规划表</w:t>
      </w:r>
      <w:bookmarkEnd w:id="39"/>
    </w:p>
    <w:tbl>
      <w:tblPr>
        <w:tblStyle w:val="37"/>
        <w:tblW w:w="5000" w:type="pct"/>
        <w:tblInd w:w="0" w:type="dxa"/>
        <w:tblLayout w:type="autofit"/>
        <w:tblCellMar>
          <w:top w:w="0" w:type="dxa"/>
          <w:left w:w="108" w:type="dxa"/>
          <w:bottom w:w="0" w:type="dxa"/>
          <w:right w:w="108" w:type="dxa"/>
        </w:tblCellMar>
      </w:tblPr>
      <w:tblGrid>
        <w:gridCol w:w="1108"/>
        <w:gridCol w:w="1340"/>
        <w:gridCol w:w="956"/>
        <w:gridCol w:w="822"/>
        <w:gridCol w:w="1320"/>
        <w:gridCol w:w="1108"/>
        <w:gridCol w:w="3625"/>
      </w:tblGrid>
      <w:tr>
        <w:tblPrEx>
          <w:tblCellMar>
            <w:top w:w="0" w:type="dxa"/>
            <w:left w:w="108" w:type="dxa"/>
            <w:bottom w:w="0" w:type="dxa"/>
            <w:right w:w="108" w:type="dxa"/>
          </w:tblCellMar>
        </w:tblPrEx>
        <w:trPr>
          <w:trHeight w:val="1085" w:hRule="atLeast"/>
        </w:trPr>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等级</w:t>
            </w: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村名</w:t>
            </w:r>
          </w:p>
        </w:tc>
        <w:tc>
          <w:tcPr>
            <w:tcW w:w="46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幅员面积（平方公里）</w:t>
            </w:r>
          </w:p>
        </w:tc>
        <w:tc>
          <w:tcPr>
            <w:tcW w:w="40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规模（千人）</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规划镇建设用地（公顷）</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规划农村建设用地（公顷）</w:t>
            </w:r>
          </w:p>
        </w:tc>
        <w:tc>
          <w:tcPr>
            <w:tcW w:w="17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职能</w:t>
            </w:r>
          </w:p>
        </w:tc>
      </w:tr>
      <w:tr>
        <w:tblPrEx>
          <w:tblCellMar>
            <w:top w:w="0" w:type="dxa"/>
            <w:left w:w="108" w:type="dxa"/>
            <w:bottom w:w="0" w:type="dxa"/>
            <w:right w:w="108" w:type="dxa"/>
          </w:tblCellMar>
        </w:tblPrEx>
        <w:trPr>
          <w:trHeight w:val="542" w:hRule="atLeast"/>
        </w:trPr>
        <w:tc>
          <w:tcPr>
            <w:tcW w:w="539" w:type="pct"/>
            <w:vMerge w:val="restart"/>
            <w:tcBorders>
              <w:top w:val="single" w:color="auto" w:sz="6" w:space="0"/>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镇区</w:t>
            </w: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镇区（含农业园区）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1.67</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21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166.15 </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行政办公、居住、商贸、旅游接待、农业科技园区发展载体</w:t>
            </w:r>
          </w:p>
        </w:tc>
      </w:tr>
      <w:tr>
        <w:tblPrEx>
          <w:tblCellMar>
            <w:top w:w="0" w:type="dxa"/>
            <w:left w:w="108" w:type="dxa"/>
            <w:bottom w:w="0" w:type="dxa"/>
            <w:right w:w="108" w:type="dxa"/>
          </w:tblCellMar>
        </w:tblPrEx>
        <w:trPr>
          <w:trHeight w:val="542" w:hRule="atLeast"/>
        </w:trPr>
        <w:tc>
          <w:tcPr>
            <w:tcW w:w="539" w:type="pct"/>
            <w:vMerge w:val="continue"/>
            <w:tcBorders>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永庆社区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0.13</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2</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12.85 </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城镇副中心、居住、商贸、旅游接待</w:t>
            </w:r>
          </w:p>
        </w:tc>
      </w:tr>
      <w:tr>
        <w:tblPrEx>
          <w:tblCellMar>
            <w:top w:w="0" w:type="dxa"/>
            <w:left w:w="108" w:type="dxa"/>
            <w:bottom w:w="0" w:type="dxa"/>
            <w:right w:w="108" w:type="dxa"/>
          </w:tblCellMar>
        </w:tblPrEx>
        <w:trPr>
          <w:trHeight w:val="542" w:hRule="atLeast"/>
        </w:trPr>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中心村</w:t>
            </w: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发扬村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4.78</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34.60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特色粮食作物、蔬菜种植、畜牧养殖</w:t>
            </w:r>
          </w:p>
        </w:tc>
      </w:tr>
      <w:tr>
        <w:tblPrEx>
          <w:tblCellMar>
            <w:top w:w="0" w:type="dxa"/>
            <w:left w:w="108" w:type="dxa"/>
            <w:bottom w:w="0" w:type="dxa"/>
            <w:right w:w="108" w:type="dxa"/>
          </w:tblCellMar>
        </w:tblPrEx>
        <w:trPr>
          <w:trHeight w:val="814" w:hRule="atLeast"/>
        </w:trPr>
        <w:tc>
          <w:tcPr>
            <w:tcW w:w="539" w:type="pct"/>
            <w:vMerge w:val="restart"/>
            <w:tcBorders>
              <w:top w:val="single" w:color="auto" w:sz="6" w:space="0"/>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一般村</w:t>
            </w: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广佛村（不含镇区、农业园区）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5.56</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26.55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蔬菜种植、水产养殖、高新技术农业</w:t>
            </w:r>
          </w:p>
        </w:tc>
      </w:tr>
      <w:tr>
        <w:tblPrEx>
          <w:tblCellMar>
            <w:top w:w="0" w:type="dxa"/>
            <w:left w:w="108" w:type="dxa"/>
            <w:bottom w:w="0" w:type="dxa"/>
            <w:right w:w="108" w:type="dxa"/>
          </w:tblCellMar>
        </w:tblPrEx>
        <w:trPr>
          <w:trHeight w:val="271"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南天门村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11.62</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0.8</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26.02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生态旅游、特色果林种植</w:t>
            </w:r>
          </w:p>
        </w:tc>
      </w:tr>
      <w:tr>
        <w:tblPrEx>
          <w:tblCellMar>
            <w:top w:w="0" w:type="dxa"/>
            <w:left w:w="108" w:type="dxa"/>
            <w:bottom w:w="0" w:type="dxa"/>
            <w:right w:w="108" w:type="dxa"/>
          </w:tblCellMar>
        </w:tblPrEx>
        <w:trPr>
          <w:trHeight w:val="542"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龙平村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6.79</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0.8</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21.37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农业观光体验型旅游、特色果林种植、蔬菜种植、畜牧养殖</w:t>
            </w:r>
          </w:p>
        </w:tc>
      </w:tr>
      <w:tr>
        <w:tblPrEx>
          <w:tblCellMar>
            <w:top w:w="0" w:type="dxa"/>
            <w:left w:w="108" w:type="dxa"/>
            <w:bottom w:w="0" w:type="dxa"/>
            <w:right w:w="108" w:type="dxa"/>
          </w:tblCellMar>
        </w:tblPrEx>
        <w:trPr>
          <w:trHeight w:val="814"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永庆村（不含永庆社区）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5.5</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32.84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特色果林种植、蔬菜种植、畜牧养殖</w:t>
            </w:r>
          </w:p>
        </w:tc>
      </w:tr>
      <w:tr>
        <w:tblPrEx>
          <w:tblCellMar>
            <w:top w:w="0" w:type="dxa"/>
            <w:left w:w="108" w:type="dxa"/>
            <w:bottom w:w="0" w:type="dxa"/>
            <w:right w:w="108" w:type="dxa"/>
          </w:tblCellMar>
        </w:tblPrEx>
        <w:trPr>
          <w:trHeight w:val="542"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保胜寺村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4.41</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0.8</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32.66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特色果林种植、蔬菜种植、畜牧养殖</w:t>
            </w:r>
          </w:p>
        </w:tc>
      </w:tr>
      <w:tr>
        <w:tblPrEx>
          <w:tblCellMar>
            <w:top w:w="0" w:type="dxa"/>
            <w:left w:w="108" w:type="dxa"/>
            <w:bottom w:w="0" w:type="dxa"/>
            <w:right w:w="108" w:type="dxa"/>
          </w:tblCellMar>
        </w:tblPrEx>
        <w:trPr>
          <w:trHeight w:val="814"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永兴村（不含永兴社区）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5.38</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0.8</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35.42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特色果林种植、蔬菜种植、畜牧养殖</w:t>
            </w:r>
          </w:p>
        </w:tc>
      </w:tr>
      <w:tr>
        <w:tblPrEx>
          <w:tblCellMar>
            <w:top w:w="0" w:type="dxa"/>
            <w:left w:w="108" w:type="dxa"/>
            <w:bottom w:w="0" w:type="dxa"/>
            <w:right w:w="108" w:type="dxa"/>
          </w:tblCellMar>
        </w:tblPrEx>
        <w:trPr>
          <w:trHeight w:val="542"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牛皇村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4.11</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0.8</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34.20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农业观光体验型旅游、特色果林种植、蔬菜种植、畜牧养殖</w:t>
            </w:r>
          </w:p>
        </w:tc>
      </w:tr>
      <w:tr>
        <w:tblPrEx>
          <w:tblCellMar>
            <w:top w:w="0" w:type="dxa"/>
            <w:left w:w="108" w:type="dxa"/>
            <w:bottom w:w="0" w:type="dxa"/>
            <w:right w:w="108" w:type="dxa"/>
          </w:tblCellMar>
        </w:tblPrEx>
        <w:trPr>
          <w:trHeight w:val="542"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小五村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2.67</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0.8</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33.45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特色果林种植、蔬菜种植、畜牧养殖</w:t>
            </w:r>
          </w:p>
        </w:tc>
      </w:tr>
      <w:tr>
        <w:tblPrEx>
          <w:tblCellMar>
            <w:top w:w="0" w:type="dxa"/>
            <w:left w:w="108" w:type="dxa"/>
            <w:bottom w:w="0" w:type="dxa"/>
            <w:right w:w="108" w:type="dxa"/>
          </w:tblCellMar>
        </w:tblPrEx>
        <w:trPr>
          <w:trHeight w:val="271"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天堡寨村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2.66</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0.4</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26.72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蔬菜种植、畜牧养殖</w:t>
            </w:r>
          </w:p>
        </w:tc>
      </w:tr>
      <w:tr>
        <w:tblPrEx>
          <w:tblCellMar>
            <w:top w:w="0" w:type="dxa"/>
            <w:left w:w="108" w:type="dxa"/>
            <w:bottom w:w="0" w:type="dxa"/>
            <w:right w:w="108" w:type="dxa"/>
          </w:tblCellMar>
        </w:tblPrEx>
        <w:trPr>
          <w:trHeight w:val="271"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黄葛村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13.03</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0.8</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26.34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滨水生态旅游、蔬菜种植</w:t>
            </w:r>
          </w:p>
        </w:tc>
      </w:tr>
      <w:tr>
        <w:tblPrEx>
          <w:tblCellMar>
            <w:top w:w="0" w:type="dxa"/>
            <w:left w:w="108" w:type="dxa"/>
            <w:bottom w:w="0" w:type="dxa"/>
            <w:right w:w="108" w:type="dxa"/>
          </w:tblCellMar>
        </w:tblPrEx>
        <w:trPr>
          <w:trHeight w:val="542"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新寨村（不含镇区）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4.35</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35.52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蔬菜种植、畜牧养殖</w:t>
            </w:r>
          </w:p>
        </w:tc>
      </w:tr>
      <w:tr>
        <w:tblPrEx>
          <w:tblCellMar>
            <w:top w:w="0" w:type="dxa"/>
            <w:left w:w="108" w:type="dxa"/>
            <w:bottom w:w="0" w:type="dxa"/>
            <w:right w:w="108" w:type="dxa"/>
          </w:tblCellMar>
        </w:tblPrEx>
        <w:trPr>
          <w:trHeight w:val="814"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龙寨村（不含农业园区）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3.72</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24.94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蔬菜种植、畜牧养殖、高新技术农业</w:t>
            </w:r>
          </w:p>
        </w:tc>
      </w:tr>
      <w:tr>
        <w:tblPrEx>
          <w:tblCellMar>
            <w:top w:w="0" w:type="dxa"/>
            <w:left w:w="108" w:type="dxa"/>
            <w:bottom w:w="0" w:type="dxa"/>
            <w:right w:w="108" w:type="dxa"/>
          </w:tblCellMar>
        </w:tblPrEx>
        <w:trPr>
          <w:trHeight w:val="814" w:hRule="atLeast"/>
        </w:trPr>
        <w:tc>
          <w:tcPr>
            <w:tcW w:w="539" w:type="pct"/>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徐堡村（不含镇区、农业园区）</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4.4</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41.22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农业观光体验型旅游、特色果林种植、高新技术农业</w:t>
            </w:r>
          </w:p>
        </w:tc>
      </w:tr>
      <w:tr>
        <w:tblPrEx>
          <w:tblCellMar>
            <w:top w:w="0" w:type="dxa"/>
            <w:left w:w="108" w:type="dxa"/>
            <w:bottom w:w="0" w:type="dxa"/>
            <w:right w:w="108" w:type="dxa"/>
          </w:tblCellMar>
        </w:tblPrEx>
        <w:trPr>
          <w:trHeight w:val="271" w:hRule="atLeast"/>
        </w:trPr>
        <w:tc>
          <w:tcPr>
            <w:tcW w:w="539" w:type="pct"/>
            <w:vMerge w:val="continue"/>
            <w:tcBorders>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p>
        </w:tc>
        <w:tc>
          <w:tcPr>
            <w:tcW w:w="65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杜家村</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7.94</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1</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26.58 </w:t>
            </w:r>
          </w:p>
        </w:tc>
        <w:tc>
          <w:tcPr>
            <w:tcW w:w="1764"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滨水生态旅游、蔬菜种植</w:t>
            </w:r>
          </w:p>
        </w:tc>
      </w:tr>
      <w:tr>
        <w:tblPrEx>
          <w:tblCellMar>
            <w:top w:w="0" w:type="dxa"/>
            <w:left w:w="108" w:type="dxa"/>
            <w:bottom w:w="0" w:type="dxa"/>
            <w:right w:w="108" w:type="dxa"/>
          </w:tblCellMar>
        </w:tblPrEx>
        <w:trPr>
          <w:trHeight w:val="271" w:hRule="atLeast"/>
        </w:trPr>
        <w:tc>
          <w:tcPr>
            <w:tcW w:w="1191" w:type="pct"/>
            <w:gridSpan w:val="2"/>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合计</w:t>
            </w:r>
          </w:p>
        </w:tc>
        <w:tc>
          <w:tcPr>
            <w:tcW w:w="465"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88.72 </w:t>
            </w:r>
          </w:p>
        </w:tc>
        <w:tc>
          <w:tcPr>
            <w:tcW w:w="400"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36</w:t>
            </w:r>
          </w:p>
        </w:tc>
        <w:tc>
          <w:tcPr>
            <w:tcW w:w="642"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179.00 </w:t>
            </w:r>
          </w:p>
        </w:tc>
        <w:tc>
          <w:tcPr>
            <w:tcW w:w="539"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 xml:space="preserve">458.43 </w:t>
            </w:r>
          </w:p>
        </w:tc>
        <w:tc>
          <w:tcPr>
            <w:tcW w:w="17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w:t>
            </w:r>
          </w:p>
        </w:tc>
      </w:tr>
    </w:tbl>
    <w:p/>
    <w:p/>
    <w:p>
      <w:pPr>
        <w:pStyle w:val="3"/>
        <w:jc w:val="center"/>
        <w:rPr>
          <w:rFonts w:ascii="黑体" w:hAnsi="黑体"/>
          <w:b w:val="0"/>
          <w:sz w:val="28"/>
          <w:szCs w:val="28"/>
        </w:rPr>
      </w:pPr>
      <w:r>
        <w:rPr>
          <w:rFonts w:hint="eastAsia" w:ascii="黑体" w:hAnsi="黑体"/>
          <w:b w:val="0"/>
          <w:sz w:val="28"/>
          <w:szCs w:val="28"/>
        </w:rPr>
        <w:br w:type="column"/>
      </w:r>
      <w:bookmarkStart w:id="40" w:name="_Toc515956496"/>
      <w:r>
        <w:rPr>
          <w:rFonts w:hint="eastAsia" w:ascii="黑体" w:hAnsi="黑体"/>
          <w:b w:val="0"/>
          <w:sz w:val="28"/>
          <w:szCs w:val="28"/>
        </w:rPr>
        <w:t>附表三  兴隆镇镇域公共设施配置一览表</w:t>
      </w:r>
      <w:bookmarkEnd w:id="40"/>
    </w:p>
    <w:p>
      <w:pPr>
        <w:spacing w:before="72" w:beforeLines="30" w:after="120" w:afterLines="50" w:line="360" w:lineRule="exact"/>
        <w:ind w:firstLine="210" w:firstLineChars="100"/>
        <w:rPr>
          <w:szCs w:val="21"/>
        </w:rPr>
      </w:pPr>
      <w:r>
        <w:rPr>
          <w:rFonts w:hint="eastAsia"/>
          <w:szCs w:val="21"/>
        </w:rPr>
        <w:t>注：表中“●”表示必须设置；“○”表示可以选择设置。</w:t>
      </w:r>
    </w:p>
    <w:tbl>
      <w:tblPr>
        <w:tblStyle w:val="37"/>
        <w:tblW w:w="9854" w:type="dxa"/>
        <w:jc w:val="center"/>
        <w:tblLayout w:type="fixed"/>
        <w:tblCellMar>
          <w:top w:w="0" w:type="dxa"/>
          <w:left w:w="108" w:type="dxa"/>
          <w:bottom w:w="0" w:type="dxa"/>
          <w:right w:w="108" w:type="dxa"/>
        </w:tblCellMar>
      </w:tblPr>
      <w:tblGrid>
        <w:gridCol w:w="1759"/>
        <w:gridCol w:w="2609"/>
        <w:gridCol w:w="2473"/>
        <w:gridCol w:w="1468"/>
        <w:gridCol w:w="1545"/>
      </w:tblGrid>
      <w:tr>
        <w:tblPrEx>
          <w:tblCellMar>
            <w:top w:w="0" w:type="dxa"/>
            <w:left w:w="108" w:type="dxa"/>
            <w:bottom w:w="0" w:type="dxa"/>
            <w:right w:w="108" w:type="dxa"/>
          </w:tblCellMar>
        </w:tblPrEx>
        <w:trPr>
          <w:trHeight w:val="270" w:hRule="atLeast"/>
          <w:jc w:val="center"/>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类别</w:t>
            </w: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24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镇区</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中心村</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基层村</w:t>
            </w:r>
          </w:p>
        </w:tc>
      </w:tr>
      <w:tr>
        <w:tblPrEx>
          <w:tblCellMar>
            <w:top w:w="0" w:type="dxa"/>
            <w:left w:w="108" w:type="dxa"/>
            <w:bottom w:w="0" w:type="dxa"/>
            <w:right w:w="108" w:type="dxa"/>
          </w:tblCellMar>
        </w:tblPrEx>
        <w:trPr>
          <w:trHeight w:val="270" w:hRule="atLeast"/>
          <w:jc w:val="center"/>
        </w:trPr>
        <w:tc>
          <w:tcPr>
            <w:tcW w:w="17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一、行政管理</w:t>
            </w: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1.党政、团体机构</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2.各专项管理机构</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3.居委会</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4.村委会</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二、教育机构</w:t>
            </w: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5.中学</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6.小学</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7.幼儿园、托儿所</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jc w:val="center"/>
        </w:trPr>
        <w:tc>
          <w:tcPr>
            <w:tcW w:w="17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8.文化站（室）、青少年及老年之家</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9.体育活动中心（场地）</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四、医疗卫生</w:t>
            </w: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10.卫生院</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11.社区卫生服务站</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12.医务室</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jc w:val="center"/>
        </w:trPr>
        <w:tc>
          <w:tcPr>
            <w:tcW w:w="17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五、社会福利与保障</w:t>
            </w: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13.敬老院</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六、商业金融</w:t>
            </w: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14.农贸市场</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15.百货店、食品店、超市</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16.日杂商店</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17.药店</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18.书店</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19.宾馆、旅店</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20.饭店、饮食店、茶馆</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21.理发店、浴室、照相馆</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jc w:val="center"/>
        </w:trPr>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22.银行、信用社、保险机构</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bl>
    <w:p>
      <w:pPr>
        <w:pStyle w:val="3"/>
        <w:jc w:val="center"/>
        <w:rPr>
          <w:rFonts w:ascii="黑体" w:hAnsi="黑体"/>
          <w:b w:val="0"/>
          <w:sz w:val="28"/>
          <w:szCs w:val="28"/>
        </w:rPr>
      </w:pPr>
      <w:r>
        <w:rPr>
          <w:rFonts w:hint="eastAsia" w:ascii="黑体" w:hAnsi="黑体"/>
          <w:b w:val="0"/>
          <w:sz w:val="28"/>
          <w:szCs w:val="28"/>
        </w:rPr>
        <w:br w:type="column"/>
      </w:r>
      <w:bookmarkStart w:id="41" w:name="_Toc515956497"/>
      <w:r>
        <w:rPr>
          <w:rFonts w:hint="eastAsia" w:ascii="黑体" w:hAnsi="黑体"/>
          <w:b w:val="0"/>
          <w:sz w:val="28"/>
          <w:szCs w:val="28"/>
        </w:rPr>
        <w:t>附表四  兴隆镇区公共服务设施配套一览表</w:t>
      </w:r>
      <w:bookmarkEnd w:id="41"/>
    </w:p>
    <w:tbl>
      <w:tblPr>
        <w:tblStyle w:val="37"/>
        <w:tblW w:w="5000" w:type="pct"/>
        <w:tblInd w:w="0" w:type="dxa"/>
        <w:tblLayout w:type="autofit"/>
        <w:tblCellMar>
          <w:top w:w="0" w:type="dxa"/>
          <w:left w:w="108" w:type="dxa"/>
          <w:bottom w:w="0" w:type="dxa"/>
          <w:right w:w="108" w:type="dxa"/>
        </w:tblCellMar>
      </w:tblPr>
      <w:tblGrid>
        <w:gridCol w:w="971"/>
        <w:gridCol w:w="973"/>
        <w:gridCol w:w="1460"/>
        <w:gridCol w:w="973"/>
        <w:gridCol w:w="975"/>
        <w:gridCol w:w="975"/>
        <w:gridCol w:w="1161"/>
        <w:gridCol w:w="977"/>
        <w:gridCol w:w="1814"/>
      </w:tblGrid>
      <w:tr>
        <w:tblPrEx>
          <w:tblCellMar>
            <w:top w:w="0" w:type="dxa"/>
            <w:left w:w="108" w:type="dxa"/>
            <w:bottom w:w="0" w:type="dxa"/>
            <w:right w:w="108" w:type="dxa"/>
          </w:tblCellMar>
        </w:tblPrEx>
        <w:trPr>
          <w:trHeight w:val="270" w:hRule="atLeast"/>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类  别</w:t>
            </w:r>
          </w:p>
        </w:tc>
        <w:tc>
          <w:tcPr>
            <w:tcW w:w="7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  目</w:t>
            </w:r>
          </w:p>
        </w:tc>
        <w:tc>
          <w:tcPr>
            <w:tcW w:w="4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用地</w:t>
            </w:r>
          </w:p>
        </w:tc>
        <w:tc>
          <w:tcPr>
            <w:tcW w:w="4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4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用地规模</w:t>
            </w:r>
          </w:p>
        </w:tc>
        <w:tc>
          <w:tcPr>
            <w:tcW w:w="5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所在地块编号</w:t>
            </w:r>
          </w:p>
        </w:tc>
        <w:tc>
          <w:tcPr>
            <w:tcW w:w="4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服务半径（m）</w:t>
            </w:r>
          </w:p>
        </w:tc>
        <w:tc>
          <w:tcPr>
            <w:tcW w:w="8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270"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代码</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（处所）</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（公顷）</w:t>
            </w:r>
          </w:p>
        </w:tc>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基础教育</w:t>
            </w: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幼儿园</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A11-01/01</w:t>
            </w:r>
          </w:p>
        </w:tc>
        <w:tc>
          <w:tcPr>
            <w:tcW w:w="48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6班</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B07/01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6班</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C03-2/01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6班</w:t>
            </w:r>
          </w:p>
        </w:tc>
      </w:tr>
      <w:tr>
        <w:tblPrEx>
          <w:tblCellMar>
            <w:top w:w="0" w:type="dxa"/>
            <w:left w:w="108" w:type="dxa"/>
            <w:bottom w:w="0" w:type="dxa"/>
            <w:right w:w="108" w:type="dxa"/>
          </w:tblCellMar>
        </w:tblPrEx>
        <w:trPr>
          <w:trHeight w:val="51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小学</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A33</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2.14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A11-1/01</w:t>
            </w:r>
          </w:p>
        </w:tc>
        <w:tc>
          <w:tcPr>
            <w:tcW w:w="48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现状12班，规划扩建至18班</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1.16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C03-2/01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现状15班，规划保留</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中学</w:t>
            </w:r>
          </w:p>
        </w:tc>
        <w:tc>
          <w:tcPr>
            <w:tcW w:w="47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A33</w:t>
            </w:r>
          </w:p>
        </w:tc>
        <w:tc>
          <w:tcPr>
            <w:tcW w:w="48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2.65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A09-2/01</w:t>
            </w:r>
          </w:p>
        </w:tc>
        <w:tc>
          <w:tcPr>
            <w:tcW w:w="4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1500</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规划24班初级中学</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0.91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C05-3/01</w:t>
            </w:r>
          </w:p>
        </w:tc>
        <w:tc>
          <w:tcPr>
            <w:tcW w:w="48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现状9班，规划保留</w:t>
            </w: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医疗卫生</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综合卫生院</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A5</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1.39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A03-5/01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100床</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社区卫生服务站</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A12-3/01</w:t>
            </w:r>
          </w:p>
        </w:tc>
        <w:tc>
          <w:tcPr>
            <w:tcW w:w="48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建筑面积不小于150平方米</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C03-3/01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文化体育</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文化活动中心</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0.23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A05-4/01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已发件</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社区多功能运动场</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A14-1/01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场地面积不小于600平方米</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社会福利</w:t>
            </w: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养老院</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A6</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1.05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A05-7/01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0.16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C01-3/01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6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其它基本公共服务设施</w:t>
            </w: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农贸市场</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B5</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0.73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A05-2/01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应配置一处公共厕所、一处垃圾收集站（点），以及机动车、非机动车停车场地和人流集散空间</w:t>
            </w:r>
          </w:p>
        </w:tc>
      </w:tr>
      <w:tr>
        <w:tblPrEx>
          <w:tblCellMar>
            <w:top w:w="0" w:type="dxa"/>
            <w:left w:w="108" w:type="dxa"/>
            <w:bottom w:w="0" w:type="dxa"/>
            <w:right w:w="108" w:type="dxa"/>
          </w:tblCellMar>
        </w:tblPrEx>
        <w:trPr>
          <w:trHeight w:val="66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C05-6/01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营业网点</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电力营业厅</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B49</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0.25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C05-8/01</w:t>
            </w:r>
          </w:p>
        </w:tc>
        <w:tc>
          <w:tcPr>
            <w:tcW w:w="481"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加油站</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B4</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0.37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B09-3/01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30" w:hRule="atLeast"/>
        </w:trPr>
        <w:tc>
          <w:tcPr>
            <w:tcW w:w="47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47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行政办公</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兴隆公巡大队</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0.12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A01-1/01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已发件</w:t>
            </w:r>
          </w:p>
        </w:tc>
      </w:tr>
      <w:tr>
        <w:tblPrEx>
          <w:tblCellMar>
            <w:top w:w="0" w:type="dxa"/>
            <w:left w:w="108" w:type="dxa"/>
            <w:bottom w:w="0" w:type="dxa"/>
            <w:right w:w="108" w:type="dxa"/>
          </w:tblCellMar>
        </w:tblPrEx>
        <w:trPr>
          <w:trHeight w:val="510" w:hRule="atLeast"/>
        </w:trPr>
        <w:tc>
          <w:tcPr>
            <w:tcW w:w="47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街道综合服务中心</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1.29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A06-3/01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总建筑面积不小于15000平方米</w:t>
            </w:r>
          </w:p>
        </w:tc>
      </w:tr>
      <w:tr>
        <w:tblPrEx>
          <w:tblCellMar>
            <w:top w:w="0" w:type="dxa"/>
            <w:left w:w="108" w:type="dxa"/>
            <w:bottom w:w="0" w:type="dxa"/>
            <w:right w:w="108" w:type="dxa"/>
          </w:tblCellMar>
        </w:tblPrEx>
        <w:trPr>
          <w:trHeight w:val="330" w:hRule="atLeast"/>
        </w:trPr>
        <w:tc>
          <w:tcPr>
            <w:tcW w:w="47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社区综合服务中心</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B11/01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总建筑面积不小于2700平方米</w:t>
            </w:r>
          </w:p>
        </w:tc>
      </w:tr>
      <w:tr>
        <w:tblPrEx>
          <w:tblCellMar>
            <w:top w:w="0" w:type="dxa"/>
            <w:left w:w="108" w:type="dxa"/>
            <w:bottom w:w="0" w:type="dxa"/>
            <w:right w:w="108" w:type="dxa"/>
          </w:tblCellMar>
        </w:tblPrEx>
        <w:trPr>
          <w:trHeight w:val="330" w:hRule="atLeast"/>
        </w:trPr>
        <w:tc>
          <w:tcPr>
            <w:tcW w:w="47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C05-4/01</w:t>
            </w:r>
          </w:p>
        </w:tc>
        <w:tc>
          <w:tcPr>
            <w:tcW w:w="48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消防站</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U31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0.33 </w:t>
            </w:r>
          </w:p>
        </w:tc>
        <w:tc>
          <w:tcPr>
            <w:tcW w:w="5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A12-5/01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道路交通</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公交首末站</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S41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0.54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B06-2/01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社会停车场</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S42</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0.37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A05-6/01</w:t>
            </w:r>
          </w:p>
        </w:tc>
        <w:tc>
          <w:tcPr>
            <w:tcW w:w="48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0.34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A15-4/01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0.39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B04-1/01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5"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给    水</w:t>
            </w: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水厂</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U11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0.44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A14-2/01</w:t>
            </w:r>
          </w:p>
        </w:tc>
        <w:tc>
          <w:tcPr>
            <w:tcW w:w="481"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供水规模</w:t>
            </w:r>
            <w:r>
              <w:rPr>
                <w:rFonts w:hint="eastAsia" w:ascii="宋体" w:hAnsi="宋体" w:cs="宋体"/>
                <w:kern w:val="0"/>
                <w:sz w:val="22"/>
              </w:rPr>
              <w:t>1000</w:t>
            </w:r>
            <w:r>
              <w:rPr>
                <w:rFonts w:hint="eastAsia" w:ascii="宋体" w:hAnsi="宋体" w:cs="宋体"/>
                <w:kern w:val="0"/>
                <w:szCs w:val="21"/>
              </w:rPr>
              <w:t>立方米/日</w:t>
            </w:r>
          </w:p>
        </w:tc>
      </w:tr>
      <w:tr>
        <w:tblPrEx>
          <w:tblCellMar>
            <w:top w:w="0" w:type="dxa"/>
            <w:left w:w="108" w:type="dxa"/>
            <w:bottom w:w="0" w:type="dxa"/>
            <w:right w:w="108" w:type="dxa"/>
          </w:tblCellMar>
        </w:tblPrEx>
        <w:trPr>
          <w:trHeight w:val="525"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0.05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C01-2/01</w:t>
            </w:r>
          </w:p>
        </w:tc>
        <w:tc>
          <w:tcPr>
            <w:tcW w:w="481"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供水规模</w:t>
            </w:r>
            <w:r>
              <w:rPr>
                <w:rFonts w:hint="eastAsia" w:ascii="宋体" w:hAnsi="宋体" w:cs="宋体"/>
                <w:kern w:val="0"/>
                <w:sz w:val="22"/>
              </w:rPr>
              <w:t>600</w:t>
            </w:r>
            <w:r>
              <w:rPr>
                <w:rFonts w:hint="eastAsia" w:ascii="宋体" w:hAnsi="宋体" w:cs="宋体"/>
                <w:kern w:val="0"/>
                <w:szCs w:val="21"/>
              </w:rPr>
              <w:t>立方米/日</w:t>
            </w:r>
          </w:p>
        </w:tc>
      </w:tr>
      <w:tr>
        <w:tblPrEx>
          <w:tblCellMar>
            <w:top w:w="0" w:type="dxa"/>
            <w:left w:w="108" w:type="dxa"/>
            <w:bottom w:w="0" w:type="dxa"/>
            <w:right w:w="108" w:type="dxa"/>
          </w:tblCellMar>
        </w:tblPrEx>
        <w:trPr>
          <w:trHeight w:val="51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加压泵站</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U11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0.53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B04-2/01</w:t>
            </w:r>
          </w:p>
        </w:tc>
        <w:tc>
          <w:tcPr>
            <w:tcW w:w="481"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给水加压泵站（牛头岩3级加压站）</w:t>
            </w:r>
          </w:p>
        </w:tc>
      </w:tr>
      <w:tr>
        <w:tblPrEx>
          <w:tblCellMar>
            <w:top w:w="0" w:type="dxa"/>
            <w:left w:w="108" w:type="dxa"/>
            <w:bottom w:w="0" w:type="dxa"/>
            <w:right w:w="108" w:type="dxa"/>
          </w:tblCellMar>
        </w:tblPrEx>
        <w:trPr>
          <w:trHeight w:val="51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污    水</w:t>
            </w: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污水处理厂</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U21</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0.90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A17/01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处理规模3500立方米/日</w:t>
            </w:r>
          </w:p>
        </w:tc>
      </w:tr>
      <w:tr>
        <w:tblPrEx>
          <w:tblCellMar>
            <w:top w:w="0" w:type="dxa"/>
            <w:left w:w="108" w:type="dxa"/>
            <w:bottom w:w="0" w:type="dxa"/>
            <w:right w:w="108" w:type="dxa"/>
          </w:tblCellMar>
        </w:tblPrEx>
        <w:trPr>
          <w:trHeight w:val="51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2.74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B16/01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处理规模2500立方米/日</w:t>
            </w:r>
          </w:p>
        </w:tc>
      </w:tr>
      <w:tr>
        <w:tblPrEx>
          <w:tblCellMar>
            <w:top w:w="0" w:type="dxa"/>
            <w:left w:w="108" w:type="dxa"/>
            <w:bottom w:w="0" w:type="dxa"/>
            <w:right w:w="108" w:type="dxa"/>
          </w:tblCellMar>
        </w:tblPrEx>
        <w:trPr>
          <w:trHeight w:val="51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1.33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B21/01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处理规模1000立方米/日</w:t>
            </w: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    力</w:t>
            </w: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开闭所</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A06-5/01</w:t>
            </w:r>
          </w:p>
        </w:tc>
        <w:tc>
          <w:tcPr>
            <w:tcW w:w="48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建筑面积不小于200平方米，宜结合该地块建筑布局方案统一考虑。</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B05-1/01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B23/01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B29-1/01</w:t>
            </w: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变电站</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U12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1.26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规划110kv变电站（YB1-108朱家岩）</w:t>
            </w: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邮    电</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电信模块局</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A06-5/01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5"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邮政所</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A08-1/01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可不单独占地，附设于沿街商业建筑内，建筑面积不少于150平方米。</w:t>
            </w:r>
          </w:p>
        </w:tc>
      </w:tr>
      <w:tr>
        <w:tblPrEx>
          <w:tblCellMar>
            <w:top w:w="0" w:type="dxa"/>
            <w:left w:w="108" w:type="dxa"/>
            <w:bottom w:w="0" w:type="dxa"/>
            <w:right w:w="108" w:type="dxa"/>
          </w:tblCellMar>
        </w:tblPrEx>
        <w:trPr>
          <w:trHeight w:val="525"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C03-3/01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    卫</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垃圾转运站</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U22</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0.24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A13/01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公厕</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A03-1/01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建筑面积不小于60平方米，且需对外开放。</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A06-5/01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A08-1/01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A14-1/01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A16-2/01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A18-1/01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B01-1/01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B02/01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B11/01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B17-1/01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B19/01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B20/01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B24-2/01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B25/01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B29-2/01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C01-5/01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C05-9/01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垃圾收集点</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A03-1/01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垃圾收集点应采用封闭式设施，每处面积不得小于100平方米，与周围建筑物的间隔不得小于5米。</w:t>
            </w: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A08-1/01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A12-3/01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A16-2/01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A18-1/01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B01-1/01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B02/01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B11/01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B17-1/01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B19/01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B20/01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B24-2/01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B25/01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B29-2/01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C01-4/01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C05-9/01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燃气</w:t>
            </w:r>
          </w:p>
        </w:tc>
        <w:tc>
          <w:tcPr>
            <w:tcW w:w="7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天然气站</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U13</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A10-2/01</w:t>
            </w:r>
          </w:p>
        </w:tc>
        <w:tc>
          <w:tcPr>
            <w:tcW w:w="4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
    <w:p/>
    <w:p>
      <w:pPr>
        <w:pStyle w:val="3"/>
        <w:jc w:val="center"/>
        <w:rPr>
          <w:rFonts w:ascii="黑体" w:hAnsi="黑体"/>
          <w:b w:val="0"/>
          <w:sz w:val="28"/>
          <w:szCs w:val="28"/>
        </w:rPr>
      </w:pPr>
      <w:r>
        <w:rPr>
          <w:rFonts w:hint="eastAsia" w:ascii="黑体" w:hAnsi="黑体"/>
          <w:b w:val="0"/>
          <w:sz w:val="28"/>
          <w:szCs w:val="28"/>
        </w:rPr>
        <w:br w:type="column"/>
      </w:r>
      <w:bookmarkStart w:id="42" w:name="_Toc515956498"/>
      <w:r>
        <w:rPr>
          <w:rFonts w:hint="eastAsia" w:ascii="黑体" w:hAnsi="黑体"/>
          <w:b w:val="0"/>
          <w:sz w:val="28"/>
          <w:szCs w:val="28"/>
        </w:rPr>
        <w:t>附表五  兴隆镇镇区建设用地平衡表（含农业科技园区和永庆社区）</w:t>
      </w:r>
      <w:bookmarkEnd w:id="42"/>
    </w:p>
    <w:tbl>
      <w:tblPr>
        <w:tblStyle w:val="37"/>
        <w:tblW w:w="5000" w:type="pct"/>
        <w:tblInd w:w="0" w:type="dxa"/>
        <w:tblLayout w:type="autofit"/>
        <w:tblCellMar>
          <w:top w:w="0" w:type="dxa"/>
          <w:left w:w="108" w:type="dxa"/>
          <w:bottom w:w="0" w:type="dxa"/>
          <w:right w:w="108" w:type="dxa"/>
        </w:tblCellMar>
      </w:tblPr>
      <w:tblGrid>
        <w:gridCol w:w="456"/>
        <w:gridCol w:w="785"/>
        <w:gridCol w:w="2553"/>
        <w:gridCol w:w="664"/>
        <w:gridCol w:w="1100"/>
        <w:gridCol w:w="876"/>
        <w:gridCol w:w="1100"/>
        <w:gridCol w:w="876"/>
        <w:gridCol w:w="1102"/>
        <w:gridCol w:w="767"/>
      </w:tblGrid>
      <w:tr>
        <w:tblPrEx>
          <w:tblCellMar>
            <w:top w:w="0" w:type="dxa"/>
            <w:left w:w="108" w:type="dxa"/>
            <w:bottom w:w="0" w:type="dxa"/>
            <w:right w:w="108" w:type="dxa"/>
          </w:tblCellMar>
        </w:tblPrEx>
        <w:trPr>
          <w:trHeight w:val="1020" w:hRule="atLeast"/>
        </w:trPr>
        <w:tc>
          <w:tcPr>
            <w:tcW w:w="22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序号</w:t>
            </w:r>
          </w:p>
        </w:tc>
        <w:tc>
          <w:tcPr>
            <w:tcW w:w="1624"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用地名称</w:t>
            </w:r>
          </w:p>
        </w:tc>
        <w:tc>
          <w:tcPr>
            <w:tcW w:w="32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用地代码</w:t>
            </w:r>
          </w:p>
        </w:tc>
        <w:tc>
          <w:tcPr>
            <w:tcW w:w="961"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用地面积</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（公顷）</w:t>
            </w:r>
          </w:p>
        </w:tc>
        <w:tc>
          <w:tcPr>
            <w:tcW w:w="961"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占建设用地比例（%）</w:t>
            </w:r>
          </w:p>
        </w:tc>
        <w:tc>
          <w:tcPr>
            <w:tcW w:w="90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人均用地</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面积</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（平方米/人）</w:t>
            </w:r>
          </w:p>
        </w:tc>
      </w:tr>
      <w:tr>
        <w:tblPrEx>
          <w:tblCellMar>
            <w:top w:w="0" w:type="dxa"/>
            <w:left w:w="108" w:type="dxa"/>
            <w:bottom w:w="0" w:type="dxa"/>
            <w:right w:w="108" w:type="dxa"/>
          </w:tblCellMar>
        </w:tblPrEx>
        <w:trPr>
          <w:trHeight w:val="345" w:hRule="atLeast"/>
        </w:trPr>
        <w:tc>
          <w:tcPr>
            <w:tcW w:w="222"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624" w:type="pct"/>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23"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现状</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规划</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现状</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规划</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现状</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规划</w:t>
            </w:r>
          </w:p>
        </w:tc>
      </w:tr>
      <w:tr>
        <w:tblPrEx>
          <w:tblCellMar>
            <w:top w:w="0" w:type="dxa"/>
            <w:left w:w="108" w:type="dxa"/>
            <w:bottom w:w="0" w:type="dxa"/>
            <w:right w:w="108" w:type="dxa"/>
          </w:tblCellMar>
        </w:tblPrEx>
        <w:trPr>
          <w:trHeight w:val="360" w:hRule="atLeast"/>
        </w:trPr>
        <w:tc>
          <w:tcPr>
            <w:tcW w:w="2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居住用地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R</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20.38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57.02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57.45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31.85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67.93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24.79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其中</w:t>
            </w: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二类居住用地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R2</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20.38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57.02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57.45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31.85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67.93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24.79 </w:t>
            </w:r>
          </w:p>
        </w:tc>
      </w:tr>
      <w:tr>
        <w:tblPrEx>
          <w:tblCellMar>
            <w:top w:w="0" w:type="dxa"/>
            <w:left w:w="108" w:type="dxa"/>
            <w:bottom w:w="0" w:type="dxa"/>
            <w:right w:w="108" w:type="dxa"/>
          </w:tblCellMar>
        </w:tblPrEx>
        <w:trPr>
          <w:trHeight w:val="360" w:hRule="atLeast"/>
        </w:trPr>
        <w:tc>
          <w:tcPr>
            <w:tcW w:w="22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公共管理与公共服务设施用地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A</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6.53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11.30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18.41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6.31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21.77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4.91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其中</w:t>
            </w: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行政办公用地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A1</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0.82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1.63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2.31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0.91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2.73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0.71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文化设施用地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A2</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0.23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0.13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0.10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教育科研用地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A3</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5.23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6.85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14.74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3.83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17.43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2.98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医疗卫生用地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A5</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0.32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1.39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0.90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0.78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1.07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0.60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社会福利用地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A6</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0.16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1.20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0.45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0.67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0.53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0.52 </w:t>
            </w:r>
          </w:p>
        </w:tc>
      </w:tr>
      <w:tr>
        <w:tblPrEx>
          <w:tblCellMar>
            <w:top w:w="0" w:type="dxa"/>
            <w:left w:w="108" w:type="dxa"/>
            <w:bottom w:w="0" w:type="dxa"/>
            <w:right w:w="108" w:type="dxa"/>
          </w:tblCellMar>
        </w:tblPrEx>
        <w:trPr>
          <w:trHeight w:val="360" w:hRule="atLeast"/>
        </w:trPr>
        <w:tc>
          <w:tcPr>
            <w:tcW w:w="2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商业服务业设施用地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B</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4.37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62.89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12.32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35.13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14.57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27.34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其中</w:t>
            </w: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商业用地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B1</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2.29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61.54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6.46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34.38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7.63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26.76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公用设施营业网点用地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B4</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2.08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0.62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5.86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0.35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6.93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0.27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集贸市场用地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B5</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0.73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0.41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0.32 </w:t>
            </w:r>
          </w:p>
        </w:tc>
      </w:tr>
      <w:tr>
        <w:tblPrEx>
          <w:tblCellMar>
            <w:top w:w="0" w:type="dxa"/>
            <w:left w:w="108" w:type="dxa"/>
            <w:bottom w:w="0" w:type="dxa"/>
            <w:right w:w="108" w:type="dxa"/>
          </w:tblCellMar>
        </w:tblPrEx>
        <w:trPr>
          <w:trHeight w:val="360"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162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工业用地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M</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0.20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0.56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0.67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r>
      <w:tr>
        <w:tblPrEx>
          <w:tblCellMar>
            <w:top w:w="0" w:type="dxa"/>
            <w:left w:w="108" w:type="dxa"/>
            <w:bottom w:w="0" w:type="dxa"/>
            <w:right w:w="108" w:type="dxa"/>
          </w:tblCellMar>
        </w:tblPrEx>
        <w:trPr>
          <w:trHeight w:val="360" w:hRule="atLeast"/>
        </w:trPr>
        <w:tc>
          <w:tcPr>
            <w:tcW w:w="22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道路与交通设施用地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S</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3.28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25.22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9.25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14.09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10.93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10.97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其中</w:t>
            </w: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城市道路用地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S1</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3.28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23.65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9.25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13.21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10.93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10.28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交通场站用地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S4</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1.57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0.88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0.68 </w:t>
            </w:r>
          </w:p>
        </w:tc>
      </w:tr>
      <w:tr>
        <w:tblPrEx>
          <w:tblCellMar>
            <w:top w:w="0" w:type="dxa"/>
            <w:left w:w="108" w:type="dxa"/>
            <w:bottom w:w="0" w:type="dxa"/>
            <w:right w:w="108" w:type="dxa"/>
          </w:tblCellMar>
        </w:tblPrEx>
        <w:trPr>
          <w:trHeight w:val="360" w:hRule="atLeast"/>
        </w:trPr>
        <w:tc>
          <w:tcPr>
            <w:tcW w:w="2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公用设施用地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U</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0.54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8.19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1.52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4.58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1.80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3.56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其中</w:t>
            </w: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供应设施用地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U1</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0.54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2.64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1.52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1.47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1.80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1.15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环境设施用地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U2</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5.22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2.92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2.27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安全设施用地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U3</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0.33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0.18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0.14 </w:t>
            </w:r>
          </w:p>
        </w:tc>
      </w:tr>
      <w:tr>
        <w:tblPrEx>
          <w:tblCellMar>
            <w:top w:w="0" w:type="dxa"/>
            <w:left w:w="108" w:type="dxa"/>
            <w:bottom w:w="0" w:type="dxa"/>
            <w:right w:w="108" w:type="dxa"/>
          </w:tblCellMar>
        </w:tblPrEx>
        <w:trPr>
          <w:trHeight w:val="360" w:hRule="atLeast"/>
        </w:trPr>
        <w:tc>
          <w:tcPr>
            <w:tcW w:w="2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7</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绿地与广场用地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G</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0.67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14.38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1.89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8.03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2.23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6.25 </w:t>
            </w:r>
          </w:p>
        </w:tc>
      </w:tr>
      <w:tr>
        <w:tblPrEx>
          <w:tblCellMar>
            <w:top w:w="0" w:type="dxa"/>
            <w:left w:w="108" w:type="dxa"/>
            <w:bottom w:w="0" w:type="dxa"/>
            <w:right w:w="108" w:type="dxa"/>
          </w:tblCellMar>
        </w:tblPrEx>
        <w:trPr>
          <w:trHeight w:val="360"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其中</w:t>
            </w: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公园绿地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G1</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0.49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12.38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1.38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6.92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1.63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5.38 </w:t>
            </w:r>
          </w:p>
        </w:tc>
      </w:tr>
      <w:tr>
        <w:tblPrEx>
          <w:tblCellMar>
            <w:top w:w="0" w:type="dxa"/>
            <w:left w:w="108" w:type="dxa"/>
            <w:bottom w:w="0" w:type="dxa"/>
            <w:right w:w="108" w:type="dxa"/>
          </w:tblCellMar>
        </w:tblPrEx>
        <w:trPr>
          <w:trHeight w:val="345"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防护绿地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G2</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0.49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0.27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0.21 </w:t>
            </w:r>
          </w:p>
        </w:tc>
      </w:tr>
      <w:tr>
        <w:tblPrEx>
          <w:tblCellMar>
            <w:top w:w="0" w:type="dxa"/>
            <w:left w:w="108" w:type="dxa"/>
            <w:bottom w:w="0" w:type="dxa"/>
            <w:right w:w="108" w:type="dxa"/>
          </w:tblCellMar>
        </w:tblPrEx>
        <w:trPr>
          <w:trHeight w:val="345" w:hRule="atLeast"/>
        </w:trPr>
        <w:tc>
          <w:tcPr>
            <w:tcW w:w="22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rPr>
            </w:pPr>
          </w:p>
        </w:tc>
        <w:tc>
          <w:tcPr>
            <w:tcW w:w="124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广场用地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G3</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0.18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1.51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0.51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0.84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0.66 </w:t>
            </w:r>
          </w:p>
        </w:tc>
      </w:tr>
      <w:tr>
        <w:tblPrEx>
          <w:tblCellMar>
            <w:top w:w="0" w:type="dxa"/>
            <w:left w:w="108" w:type="dxa"/>
            <w:bottom w:w="0" w:type="dxa"/>
            <w:right w:w="108" w:type="dxa"/>
          </w:tblCellMar>
        </w:tblPrEx>
        <w:trPr>
          <w:trHeight w:val="345"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8</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城镇建设用地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H1</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35.97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179.00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100.00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100.00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119.90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77.83 </w:t>
            </w:r>
          </w:p>
        </w:tc>
      </w:tr>
      <w:tr>
        <w:tblPrEx>
          <w:tblCellMar>
            <w:top w:w="0" w:type="dxa"/>
            <w:left w:w="108" w:type="dxa"/>
            <w:bottom w:w="0" w:type="dxa"/>
            <w:right w:w="108" w:type="dxa"/>
          </w:tblCellMar>
        </w:tblPrEx>
        <w:trPr>
          <w:trHeight w:val="345"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9</w:t>
            </w:r>
          </w:p>
        </w:tc>
        <w:tc>
          <w:tcPr>
            <w:tcW w:w="162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区域公用设施用地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H3</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0.31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0.31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345"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10</w:t>
            </w:r>
          </w:p>
        </w:tc>
        <w:tc>
          <w:tcPr>
            <w:tcW w:w="16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非建设用地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E</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345"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总计</w:t>
            </w:r>
          </w:p>
        </w:tc>
        <w:tc>
          <w:tcPr>
            <w:tcW w:w="194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规划范围面积</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36.28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179.31 </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36"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bl>
    <w:p>
      <w:pPr>
        <w:widowControl/>
        <w:jc w:val="left"/>
        <w:textAlignment w:val="center"/>
        <w:rPr>
          <w:rFonts w:asciiTheme="minorEastAsia" w:hAnsiTheme="minorEastAsia" w:eastAsiaTheme="minorEastAsia" w:cstheme="minorEastAsia"/>
          <w:kern w:val="0"/>
          <w:szCs w:val="21"/>
          <w:lang w:bidi="ar"/>
        </w:rPr>
      </w:pP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注：规划城镇人口2.3万人(含永庆社区)，现状常</w:t>
      </w:r>
      <w:r>
        <w:rPr>
          <w:rFonts w:hint="eastAsia" w:asciiTheme="minorEastAsia" w:hAnsiTheme="minorEastAsia" w:eastAsiaTheme="minorEastAsia" w:cstheme="minorEastAsia"/>
          <w:kern w:val="0"/>
          <w:szCs w:val="21"/>
          <w:lang w:val="en-US" w:eastAsia="zh-CN" w:bidi="ar"/>
        </w:rPr>
        <w:t>住</w:t>
      </w:r>
      <w:r>
        <w:rPr>
          <w:rFonts w:hint="eastAsia" w:asciiTheme="minorEastAsia" w:hAnsiTheme="minorEastAsia" w:eastAsiaTheme="minorEastAsia" w:cstheme="minorEastAsia"/>
          <w:kern w:val="0"/>
          <w:szCs w:val="21"/>
          <w:lang w:bidi="ar"/>
        </w:rPr>
        <w:t>人口0.3万人</w:t>
      </w:r>
    </w:p>
    <w:p>
      <w:pPr>
        <w:pStyle w:val="3"/>
        <w:jc w:val="center"/>
        <w:rPr>
          <w:rFonts w:ascii="黑体" w:hAnsi="黑体"/>
          <w:b w:val="0"/>
          <w:sz w:val="28"/>
          <w:szCs w:val="28"/>
        </w:rPr>
      </w:pPr>
      <w:r>
        <w:rPr>
          <w:rFonts w:hint="eastAsia" w:ascii="黑体" w:hAnsi="黑体"/>
          <w:b w:val="0"/>
          <w:sz w:val="28"/>
          <w:szCs w:val="28"/>
        </w:rPr>
        <w:br w:type="column"/>
      </w:r>
      <w:bookmarkStart w:id="43" w:name="_Toc515956499"/>
      <w:r>
        <w:rPr>
          <w:rFonts w:hint="eastAsia" w:ascii="黑体" w:hAnsi="黑体"/>
          <w:b w:val="0"/>
          <w:sz w:val="28"/>
          <w:szCs w:val="28"/>
        </w:rPr>
        <w:t>附表六  兴隆场镇建设用地平衡表(含农业园区)</w:t>
      </w:r>
      <w:bookmarkEnd w:id="43"/>
    </w:p>
    <w:tbl>
      <w:tblPr>
        <w:tblStyle w:val="37"/>
        <w:tblW w:w="5000" w:type="pct"/>
        <w:tblInd w:w="0" w:type="dxa"/>
        <w:tblLayout w:type="autofit"/>
        <w:tblCellMar>
          <w:top w:w="0" w:type="dxa"/>
          <w:left w:w="108" w:type="dxa"/>
          <w:bottom w:w="0" w:type="dxa"/>
          <w:right w:w="108" w:type="dxa"/>
        </w:tblCellMar>
      </w:tblPr>
      <w:tblGrid>
        <w:gridCol w:w="863"/>
        <w:gridCol w:w="1088"/>
        <w:gridCol w:w="3544"/>
        <w:gridCol w:w="1277"/>
        <w:gridCol w:w="1133"/>
        <w:gridCol w:w="1449"/>
        <w:gridCol w:w="925"/>
      </w:tblGrid>
      <w:tr>
        <w:tblPrEx>
          <w:tblCellMar>
            <w:top w:w="0" w:type="dxa"/>
            <w:left w:w="108" w:type="dxa"/>
            <w:bottom w:w="0" w:type="dxa"/>
            <w:right w:w="108" w:type="dxa"/>
          </w:tblCellMar>
        </w:tblPrEx>
        <w:trPr>
          <w:trHeight w:val="990"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序号</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用地名称</w:t>
            </w:r>
          </w:p>
        </w:tc>
        <w:tc>
          <w:tcPr>
            <w:tcW w:w="6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用地代码</w:t>
            </w:r>
          </w:p>
        </w:tc>
        <w:tc>
          <w:tcPr>
            <w:tcW w:w="5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面积</w:t>
            </w:r>
            <w:r>
              <w:rPr>
                <w:rFonts w:hint="eastAsia" w:cs="宋体" w:asciiTheme="minorEastAsia" w:hAnsiTheme="minorEastAsia" w:eastAsiaTheme="minorEastAsia"/>
                <w:kern w:val="0"/>
                <w:sz w:val="22"/>
              </w:rPr>
              <w:br w:type="textWrapping"/>
            </w:r>
            <w:r>
              <w:rPr>
                <w:rFonts w:hint="eastAsia" w:cs="宋体" w:asciiTheme="minorEastAsia" w:hAnsiTheme="minorEastAsia" w:eastAsiaTheme="minorEastAsia"/>
                <w:kern w:val="0"/>
                <w:sz w:val="22"/>
              </w:rPr>
              <w:t>（公顷）</w:t>
            </w:r>
          </w:p>
        </w:tc>
        <w:tc>
          <w:tcPr>
            <w:tcW w:w="7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占城市</w:t>
            </w:r>
            <w:r>
              <w:rPr>
                <w:rFonts w:hint="eastAsia" w:cs="宋体" w:asciiTheme="minorEastAsia" w:hAnsiTheme="minorEastAsia" w:eastAsiaTheme="minorEastAsia"/>
                <w:kern w:val="0"/>
                <w:sz w:val="22"/>
              </w:rPr>
              <w:br w:type="textWrapping"/>
            </w:r>
            <w:r>
              <w:rPr>
                <w:rFonts w:hint="eastAsia" w:cs="宋体" w:asciiTheme="minorEastAsia" w:hAnsiTheme="minorEastAsia" w:eastAsiaTheme="minorEastAsia"/>
                <w:kern w:val="0"/>
                <w:sz w:val="22"/>
              </w:rPr>
              <w:t>建设用地（%）</w:t>
            </w:r>
          </w:p>
        </w:tc>
        <w:tc>
          <w:tcPr>
            <w:tcW w:w="4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人均用地</w:t>
            </w:r>
            <w:r>
              <w:rPr>
                <w:rFonts w:hint="eastAsia" w:cs="宋体" w:asciiTheme="minorEastAsia" w:hAnsiTheme="minorEastAsia" w:eastAsiaTheme="minorEastAsia"/>
                <w:kern w:val="0"/>
                <w:sz w:val="22"/>
              </w:rPr>
              <w:br w:type="textWrapping"/>
            </w:r>
            <w:r>
              <w:rPr>
                <w:rFonts w:hint="eastAsia" w:cs="宋体" w:asciiTheme="minorEastAsia" w:hAnsiTheme="minorEastAsia" w:eastAsiaTheme="minorEastAsia"/>
                <w:kern w:val="0"/>
                <w:sz w:val="22"/>
              </w:rPr>
              <w:t>面积</w:t>
            </w:r>
          </w:p>
        </w:tc>
      </w:tr>
      <w:tr>
        <w:tblPrEx>
          <w:tblCellMar>
            <w:top w:w="0" w:type="dxa"/>
            <w:left w:w="108" w:type="dxa"/>
            <w:bottom w:w="0" w:type="dxa"/>
            <w:right w:w="108" w:type="dxa"/>
          </w:tblCellMar>
        </w:tblPrEx>
        <w:trPr>
          <w:trHeight w:val="345" w:hRule="atLeast"/>
        </w:trPr>
        <w:tc>
          <w:tcPr>
            <w:tcW w:w="42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1</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居住用地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R</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51.29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30.87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24.42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其中</w:t>
            </w: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二类居住用地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R2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51.29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30.87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24.42 </w:t>
            </w:r>
          </w:p>
        </w:tc>
      </w:tr>
      <w:tr>
        <w:tblPrEx>
          <w:tblCellMar>
            <w:top w:w="0" w:type="dxa"/>
            <w:left w:w="108" w:type="dxa"/>
            <w:bottom w:w="0" w:type="dxa"/>
            <w:right w:w="108" w:type="dxa"/>
          </w:tblCellMar>
        </w:tblPrEx>
        <w:trPr>
          <w:trHeight w:val="345" w:hRule="atLeast"/>
        </w:trPr>
        <w:tc>
          <w:tcPr>
            <w:tcW w:w="420" w:type="pct"/>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2</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公共管理与公共服务设施用地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A</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8.86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5.33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4.22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其中</w:t>
            </w: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行政办公用地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A1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1.42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0.85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0.68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文化设施用地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A2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0.23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0.14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0.11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教育科研用地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A3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4.78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2.88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2.28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医疗卫生用地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A5</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1.39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0.84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0.66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社会福利用地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A6</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1.04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0.63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0.50 </w:t>
            </w:r>
          </w:p>
        </w:tc>
      </w:tr>
      <w:tr>
        <w:tblPrEx>
          <w:tblCellMar>
            <w:top w:w="0" w:type="dxa"/>
            <w:left w:w="108" w:type="dxa"/>
            <w:bottom w:w="0" w:type="dxa"/>
            <w:right w:w="108" w:type="dxa"/>
          </w:tblCellMar>
        </w:tblPrEx>
        <w:trPr>
          <w:trHeight w:val="345" w:hRule="atLeast"/>
        </w:trPr>
        <w:tc>
          <w:tcPr>
            <w:tcW w:w="42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3</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商业服务业设施用地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B</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61.76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37.17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29.41 </w:t>
            </w:r>
          </w:p>
        </w:tc>
      </w:tr>
      <w:tr>
        <w:tblPrEx>
          <w:tblCellMar>
            <w:top w:w="0" w:type="dxa"/>
            <w:left w:w="108" w:type="dxa"/>
            <w:bottom w:w="0" w:type="dxa"/>
            <w:right w:w="108" w:type="dxa"/>
          </w:tblCellMar>
        </w:tblPrEx>
        <w:trPr>
          <w:trHeight w:val="345" w:hRule="atLeast"/>
        </w:trPr>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其中</w:t>
            </w: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商业用地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B1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60.66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36.51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28.89 </w:t>
            </w:r>
          </w:p>
        </w:tc>
      </w:tr>
      <w:tr>
        <w:trPr>
          <w:trHeight w:val="345" w:hRule="atLeast"/>
        </w:trPr>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公用设施营业网点用地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B4</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0.37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0.22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0.18 </w:t>
            </w:r>
          </w:p>
        </w:tc>
      </w:tr>
      <w:tr>
        <w:tblPrEx>
          <w:tblCellMar>
            <w:top w:w="0" w:type="dxa"/>
            <w:left w:w="108" w:type="dxa"/>
            <w:bottom w:w="0" w:type="dxa"/>
            <w:right w:w="108" w:type="dxa"/>
          </w:tblCellMar>
        </w:tblPrEx>
        <w:trPr>
          <w:trHeight w:val="345" w:hRule="atLeast"/>
        </w:trPr>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集贸市场用地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B5</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0.73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0.44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0.35 </w:t>
            </w:r>
          </w:p>
        </w:tc>
      </w:tr>
      <w:tr>
        <w:tblPrEx>
          <w:tblCellMar>
            <w:top w:w="0" w:type="dxa"/>
            <w:left w:w="108" w:type="dxa"/>
            <w:bottom w:w="0" w:type="dxa"/>
            <w:right w:w="108" w:type="dxa"/>
          </w:tblCellMar>
        </w:tblPrEx>
        <w:trPr>
          <w:trHeight w:val="345" w:hRule="atLeast"/>
        </w:trPr>
        <w:tc>
          <w:tcPr>
            <w:tcW w:w="42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5</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道路与交通设施用地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S</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23.42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14.10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11.15 </w:t>
            </w:r>
          </w:p>
        </w:tc>
      </w:tr>
      <w:tr>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其中</w:t>
            </w: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城市道路用地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S1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21.85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13.15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10.40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交通场站用地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S4</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1.57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0.94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0.75 </w:t>
            </w:r>
          </w:p>
        </w:tc>
      </w:tr>
      <w:tr>
        <w:tblPrEx>
          <w:tblCellMar>
            <w:top w:w="0" w:type="dxa"/>
            <w:left w:w="108" w:type="dxa"/>
            <w:bottom w:w="0" w:type="dxa"/>
            <w:right w:w="108" w:type="dxa"/>
          </w:tblCellMar>
        </w:tblPrEx>
        <w:trPr>
          <w:trHeight w:val="345" w:hRule="atLeast"/>
        </w:trPr>
        <w:tc>
          <w:tcPr>
            <w:tcW w:w="42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6</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公用设施用地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U</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8.14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4.90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3.88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其中</w:t>
            </w: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供应设施用地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U1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2.59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1.56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1.23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环境设施用地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U2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5.22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3.14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2.49 </w:t>
            </w:r>
          </w:p>
        </w:tc>
      </w:tr>
      <w:tr>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安全设施用地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U3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0.33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0.20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0.16 </w:t>
            </w:r>
          </w:p>
        </w:tc>
      </w:tr>
      <w:tr>
        <w:trPr>
          <w:trHeight w:val="345" w:hRule="atLeast"/>
        </w:trPr>
        <w:tc>
          <w:tcPr>
            <w:tcW w:w="42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7</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绿地与广场用地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G</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12.68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7.63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6.04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其中</w:t>
            </w: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公园绿地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G1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10.75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6.47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5.12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防护绿地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G2</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0.49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0.29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0.23 </w:t>
            </w:r>
          </w:p>
        </w:tc>
      </w:tr>
      <w:tr>
        <w:tblPrEx>
          <w:tblCellMar>
            <w:top w:w="0" w:type="dxa"/>
            <w:left w:w="108" w:type="dxa"/>
            <w:bottom w:w="0" w:type="dxa"/>
            <w:right w:w="108" w:type="dxa"/>
          </w:tblCellMar>
        </w:tblPrEx>
        <w:trPr>
          <w:trHeight w:val="345" w:hRule="atLeast"/>
        </w:trPr>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529"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rPr>
            </w:pPr>
          </w:p>
        </w:tc>
        <w:tc>
          <w:tcPr>
            <w:tcW w:w="172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广场用地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G3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1.44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0.87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0.69 </w:t>
            </w:r>
          </w:p>
        </w:tc>
      </w:tr>
      <w:tr>
        <w:trPr>
          <w:trHeight w:val="345" w:hRule="atLeast"/>
        </w:trPr>
        <w:tc>
          <w:tcPr>
            <w:tcW w:w="4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8</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城镇建设用地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H1</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166.15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100.00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79.12 </w:t>
            </w:r>
          </w:p>
        </w:tc>
      </w:tr>
      <w:tr>
        <w:tblPrEx>
          <w:tblCellMar>
            <w:top w:w="0" w:type="dxa"/>
            <w:left w:w="108" w:type="dxa"/>
            <w:bottom w:w="0" w:type="dxa"/>
            <w:right w:w="108" w:type="dxa"/>
          </w:tblCellMar>
        </w:tblPrEx>
        <w:trPr>
          <w:trHeight w:val="345" w:hRule="atLeast"/>
        </w:trPr>
        <w:tc>
          <w:tcPr>
            <w:tcW w:w="4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9</w:t>
            </w:r>
          </w:p>
        </w:tc>
        <w:tc>
          <w:tcPr>
            <w:tcW w:w="22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区域公用设施用地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H3</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0.31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r>
      <w:tr>
        <w:tblPrEx>
          <w:tblCellMar>
            <w:top w:w="0" w:type="dxa"/>
            <w:left w:w="108" w:type="dxa"/>
            <w:bottom w:w="0" w:type="dxa"/>
            <w:right w:w="108" w:type="dxa"/>
          </w:tblCellMar>
        </w:tblPrEx>
        <w:trPr>
          <w:trHeight w:val="345" w:hRule="atLeast"/>
        </w:trPr>
        <w:tc>
          <w:tcPr>
            <w:tcW w:w="4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10</w:t>
            </w:r>
          </w:p>
        </w:tc>
        <w:tc>
          <w:tcPr>
            <w:tcW w:w="22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非建设用地</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E</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0.00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r>
      <w:tr>
        <w:tblPrEx>
          <w:tblCellMar>
            <w:top w:w="0" w:type="dxa"/>
            <w:left w:w="108" w:type="dxa"/>
            <w:bottom w:w="0" w:type="dxa"/>
            <w:right w:w="108" w:type="dxa"/>
          </w:tblCellMar>
        </w:tblPrEx>
        <w:trPr>
          <w:trHeight w:val="345" w:hRule="atLeast"/>
        </w:trPr>
        <w:tc>
          <w:tcPr>
            <w:tcW w:w="42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总计</w:t>
            </w:r>
          </w:p>
        </w:tc>
        <w:tc>
          <w:tcPr>
            <w:tcW w:w="2874"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规划范围面积</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xml:space="preserve">166.46 </w:t>
            </w:r>
          </w:p>
        </w:tc>
        <w:tc>
          <w:tcPr>
            <w:tcW w:w="70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　</w:t>
            </w:r>
          </w:p>
        </w:tc>
      </w:tr>
    </w:tbl>
    <w:p/>
    <w:p>
      <w:pPr>
        <w:pStyle w:val="3"/>
        <w:jc w:val="center"/>
        <w:rPr>
          <w:rFonts w:ascii="黑体" w:hAnsi="黑体"/>
          <w:b w:val="0"/>
          <w:sz w:val="28"/>
          <w:szCs w:val="28"/>
        </w:rPr>
      </w:pPr>
      <w:r>
        <w:br w:type="column"/>
      </w:r>
      <w:bookmarkStart w:id="44" w:name="_Toc515956500"/>
      <w:r>
        <w:rPr>
          <w:rFonts w:hint="eastAsia" w:ascii="黑体" w:hAnsi="黑体"/>
          <w:b w:val="0"/>
          <w:sz w:val="28"/>
          <w:szCs w:val="28"/>
        </w:rPr>
        <w:t>附表七  永庆社区建设规划用地平衡表</w:t>
      </w:r>
      <w:bookmarkEnd w:id="44"/>
    </w:p>
    <w:tbl>
      <w:tblPr>
        <w:tblStyle w:val="37"/>
        <w:tblW w:w="9616" w:type="dxa"/>
        <w:tblInd w:w="0" w:type="dxa"/>
        <w:tblLayout w:type="fixed"/>
        <w:tblCellMar>
          <w:top w:w="15" w:type="dxa"/>
          <w:left w:w="15" w:type="dxa"/>
          <w:bottom w:w="15" w:type="dxa"/>
          <w:right w:w="15" w:type="dxa"/>
        </w:tblCellMar>
      </w:tblPr>
      <w:tblGrid>
        <w:gridCol w:w="635"/>
        <w:gridCol w:w="975"/>
        <w:gridCol w:w="3100"/>
        <w:gridCol w:w="1268"/>
        <w:gridCol w:w="1575"/>
        <w:gridCol w:w="2063"/>
      </w:tblGrid>
      <w:tr>
        <w:tblPrEx>
          <w:tblCellMar>
            <w:top w:w="15" w:type="dxa"/>
            <w:left w:w="15" w:type="dxa"/>
            <w:bottom w:w="15" w:type="dxa"/>
            <w:right w:w="15" w:type="dxa"/>
          </w:tblCellMar>
        </w:tblPrEx>
        <w:trPr>
          <w:trHeight w:val="103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序号</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用地名称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用地代码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面积（公顷）</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占城市建设用地（%）</w:t>
            </w:r>
          </w:p>
        </w:tc>
      </w:tr>
      <w:tr>
        <w:tblPrEx>
          <w:tblCellMar>
            <w:top w:w="15" w:type="dxa"/>
            <w:left w:w="15" w:type="dxa"/>
            <w:bottom w:w="15" w:type="dxa"/>
            <w:right w:w="15" w:type="dxa"/>
          </w:tblCellMar>
        </w:tblPrEx>
        <w:trPr>
          <w:trHeight w:val="345"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居住用地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R</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5.73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44.59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其中</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二类居住用地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R2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5.73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44.59 </w:t>
            </w:r>
          </w:p>
        </w:tc>
      </w:tr>
      <w:tr>
        <w:tblPrEx>
          <w:tblCellMar>
            <w:top w:w="15" w:type="dxa"/>
            <w:left w:w="15" w:type="dxa"/>
            <w:bottom w:w="15" w:type="dxa"/>
            <w:right w:w="15" w:type="dxa"/>
          </w:tblCellMar>
        </w:tblPrEx>
        <w:trPr>
          <w:trHeight w:val="345"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公共管理与公共服务设施用地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2.44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18.99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其中</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行政办公用地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A1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0.21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1.63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教育科研用地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A3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2.07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16.11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社会福利用地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A6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0.16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1.25 </w:t>
            </w:r>
          </w:p>
        </w:tc>
      </w:tr>
      <w:tr>
        <w:tblPrEx>
          <w:tblCellMar>
            <w:top w:w="15" w:type="dxa"/>
            <w:left w:w="15" w:type="dxa"/>
            <w:bottom w:w="15" w:type="dxa"/>
            <w:right w:w="15" w:type="dxa"/>
          </w:tblCellMar>
        </w:tblPrEx>
        <w:trPr>
          <w:trHeight w:val="345"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商业服务业设施用地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B</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1.13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8.79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其中</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商业用地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B1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0.88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6.85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公用设施营业网点用地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B4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0.25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1.95 </w:t>
            </w:r>
          </w:p>
        </w:tc>
      </w:tr>
      <w:tr>
        <w:tblPrEx>
          <w:tblCellMar>
            <w:top w:w="15" w:type="dxa"/>
            <w:left w:w="15" w:type="dxa"/>
            <w:bottom w:w="15" w:type="dxa"/>
            <w:right w:w="15" w:type="dxa"/>
          </w:tblCellMar>
        </w:tblPrEx>
        <w:trPr>
          <w:trHeight w:val="345"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道路与交通设施用地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S</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1.80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14.01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其中</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城市道路用地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S1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1.80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14.01 </w:t>
            </w:r>
          </w:p>
        </w:tc>
      </w:tr>
      <w:tr>
        <w:tblPrEx>
          <w:tblCellMar>
            <w:top w:w="15" w:type="dxa"/>
            <w:left w:w="15" w:type="dxa"/>
            <w:bottom w:w="15" w:type="dxa"/>
            <w:right w:w="15" w:type="dxa"/>
          </w:tblCellMar>
        </w:tblPrEx>
        <w:trPr>
          <w:trHeight w:val="345"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5</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公用设施用地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U</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0.05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0.39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其中</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供应设施用地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U1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0.05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0.39 </w:t>
            </w:r>
          </w:p>
        </w:tc>
      </w:tr>
      <w:tr>
        <w:tblPrEx>
          <w:tblCellMar>
            <w:top w:w="15" w:type="dxa"/>
            <w:left w:w="15" w:type="dxa"/>
            <w:bottom w:w="15" w:type="dxa"/>
            <w:right w:w="15" w:type="dxa"/>
          </w:tblCellMar>
        </w:tblPrEx>
        <w:trPr>
          <w:trHeight w:val="345"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6</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绿地与广场用地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G</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1.70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13.23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其中</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公园绿地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G1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1.63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12.68 </w:t>
            </w:r>
          </w:p>
        </w:tc>
      </w:tr>
      <w:tr>
        <w:tblPrEx>
          <w:tblCellMar>
            <w:top w:w="15" w:type="dxa"/>
            <w:left w:w="15" w:type="dxa"/>
            <w:bottom w:w="15" w:type="dxa"/>
            <w:right w:w="15" w:type="dxa"/>
          </w:tblCellMar>
        </w:tblPrEx>
        <w:trPr>
          <w:trHeight w:val="34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广场用地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G3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0.07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0.54 </w:t>
            </w:r>
          </w:p>
        </w:tc>
      </w:tr>
      <w:tr>
        <w:tblPrEx>
          <w:tblCellMar>
            <w:top w:w="15" w:type="dxa"/>
            <w:left w:w="15" w:type="dxa"/>
            <w:bottom w:w="15" w:type="dxa"/>
            <w:right w:w="15" w:type="dxa"/>
          </w:tblCellMar>
        </w:tblPrEx>
        <w:trPr>
          <w:trHeight w:val="34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城镇建设用地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H1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12.85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100.00 </w:t>
            </w:r>
          </w:p>
        </w:tc>
      </w:tr>
      <w:tr>
        <w:tblPrEx>
          <w:tblCellMar>
            <w:top w:w="15" w:type="dxa"/>
            <w:left w:w="15" w:type="dxa"/>
            <w:bottom w:w="15" w:type="dxa"/>
            <w:right w:w="15" w:type="dxa"/>
          </w:tblCellMar>
        </w:tblPrEx>
        <w:trPr>
          <w:trHeight w:val="34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非建设用地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E</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0.00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r>
      <w:tr>
        <w:tblPrEx>
          <w:tblCellMar>
            <w:top w:w="15" w:type="dxa"/>
            <w:left w:w="15" w:type="dxa"/>
            <w:bottom w:w="15" w:type="dxa"/>
            <w:right w:w="15" w:type="dxa"/>
          </w:tblCellMar>
        </w:tblPrEx>
        <w:trPr>
          <w:trHeight w:val="34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总计</w:t>
            </w:r>
          </w:p>
        </w:tc>
        <w:tc>
          <w:tcPr>
            <w:tcW w:w="5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规划范围面积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12.85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r>
    </w:tbl>
    <w:p>
      <w:pPr>
        <w:spacing w:line="360" w:lineRule="auto"/>
        <w:rPr>
          <w:sz w:val="24"/>
          <w:szCs w:val="24"/>
        </w:rPr>
      </w:pPr>
    </w:p>
    <w:p>
      <w:pPr>
        <w:pStyle w:val="3"/>
        <w:jc w:val="center"/>
        <w:rPr>
          <w:rFonts w:ascii="黑体" w:hAnsi="黑体"/>
          <w:b w:val="0"/>
          <w:sz w:val="28"/>
          <w:szCs w:val="28"/>
        </w:rPr>
      </w:pPr>
      <w:r>
        <w:br w:type="column"/>
      </w:r>
      <w:bookmarkStart w:id="45" w:name="_Toc515956501"/>
      <w:r>
        <w:rPr>
          <w:rFonts w:hint="eastAsia" w:ascii="黑体" w:hAnsi="黑体"/>
          <w:b w:val="0"/>
          <w:sz w:val="28"/>
          <w:szCs w:val="28"/>
        </w:rPr>
        <w:t>附表八  镇区地块控制指标一览表</w:t>
      </w:r>
      <w:bookmarkEnd w:id="45"/>
    </w:p>
    <w:tbl>
      <w:tblPr>
        <w:tblStyle w:val="37"/>
        <w:tblW w:w="5000" w:type="pct"/>
        <w:tblInd w:w="0" w:type="dxa"/>
        <w:tblLayout w:type="autofit"/>
        <w:tblCellMar>
          <w:top w:w="15" w:type="dxa"/>
          <w:left w:w="15" w:type="dxa"/>
          <w:bottom w:w="15" w:type="dxa"/>
          <w:right w:w="15" w:type="dxa"/>
        </w:tblCellMar>
      </w:tblPr>
      <w:tblGrid>
        <w:gridCol w:w="1150"/>
        <w:gridCol w:w="872"/>
        <w:gridCol w:w="723"/>
        <w:gridCol w:w="800"/>
        <w:gridCol w:w="1001"/>
        <w:gridCol w:w="874"/>
        <w:gridCol w:w="1296"/>
        <w:gridCol w:w="2067"/>
        <w:gridCol w:w="1310"/>
      </w:tblGrid>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地块编号</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用地性质（代码）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面积(公顷)</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容积率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最大建筑密度(%)</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建筑高度(米)</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最小         绿地率(%)</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配套设施</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备注</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A01-1/01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A01-2/01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2.22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A01-3/01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A01-4/01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U12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A03-1/01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2.43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公共厕所、垃圾收集点</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A03-2/01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A51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1.39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A04-1/01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1.71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3.0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40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现状建成（美园丽景）</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A04-2/01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A04-3/01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0.07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A04-4/01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1.97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A04-5/01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0.91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0.73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0.8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农贸市场</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0.78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A22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18</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兴隆镇文化活动中心</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0.63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A05-6/01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S42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92个公共停车泊位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A05-7/01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1.05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兴隆镇养老院</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A05-8/01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A06-1/01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A06-2/01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A06-3/01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街道综合服务中心</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A06-4/01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A06-5/01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1.13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0.8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公共厕所、商业银行网点、电信模块局、开闭所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A07-1/01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1.13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A07-2/01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0.86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40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现状建成（心悦佳苑二期）</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A08-1/01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3.47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垃圾收集点、公共厕所、邮政所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A08-2/01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A09-1/01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A09-2/01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A33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 xml:space="preserve">2.65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2"/>
                <w:lang w:bidi="ar"/>
              </w:rPr>
            </w:pPr>
            <w:r>
              <w:rPr>
                <w:rFonts w:hint="eastAsia" w:ascii="宋体" w:hAnsi="宋体" w:cs="宋体"/>
                <w:kern w:val="0"/>
                <w:sz w:val="22"/>
                <w:lang w:bidi="ar"/>
              </w:rPr>
              <w:t>规划24班初级中学</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A09-3/01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A09-4/01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A10-1/01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A10-2/01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U13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A11-1/01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A33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2.14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小学、幼儿园</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A11-2/01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0.99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A11-3/01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2.67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A11-4/01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H3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A12-1/01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A12-2/01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A12-3/01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3.54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社区卫生服务站、垃圾收集点</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A12-4/01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A12-5/01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U31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U22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A14-1/01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4.02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社区多功能运动场、公共厕所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A14-2/01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U11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A14-3/01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1.03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0.8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A15-1/01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2.30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0.8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A15-2/01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2.92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0.8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A15-3/01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A15-4/01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S42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84个公共停车泊位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A16-1/01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1.30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A16-2/01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3.94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A17/01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U21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0.90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A18-1/01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3.89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公共厕所、垃圾收集点</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A18-2/01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3.74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A19/01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1.04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B01-1/01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2.19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公共厕所、垃圾收集点</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B01-2/01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0.79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3.11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3.11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B04-1/01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S42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98个公共停车泊位</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B04-2/01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U11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0.53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B04-3/01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1.49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B05-1/01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2.15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开闭所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B05-2/01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B06/01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3.33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B07/01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2.55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幼儿园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B08/01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1.71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B09-1/01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S41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B09-2/01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B09-3/01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加油站</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B10/01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2.52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1.88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社区综合服务中心、公共厕所、垃圾收集点</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1.15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1.88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B14-1/01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3.47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B14-2/01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1.93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1.46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B16/01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U21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2.74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B17-1/01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2.54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B17-2/01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2.87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B18/01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1.17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B19/01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2.91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B20/01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2.73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U21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1.33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1.80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3.18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开闭所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B24-1/01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1.95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B24-2/01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2.66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B24-3/01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2.51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2.92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B26/01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0.63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B27/01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0.75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B28/01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1.33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B29-1/01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1.82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B29-2/01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B1/B2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2.61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0.5/0.5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55/50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15/25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垃圾收集点、公共厕所、开闭所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C01-1/01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0.07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C01-2/01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U11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0.05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C01-3/01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0.16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现状永庆养老院</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C01-4/01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1.64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垃圾收集点</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C01-5/01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1.20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社区多功能运动场、公厕</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C01-6/01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0.70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C03-1/01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0.64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C03-2/01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A33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1.16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永庆中心小学、幼儿园</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C03-3/01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社区卫生服务站、邮政所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C04-1/01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60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C04-2/01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0.07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C05-1/01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G1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0.43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C05-3/01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A33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0.91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永庆初级中学</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C05-4/01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A1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0.21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永庆社区综合服务中心</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C05-5/01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0.34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C05-6/01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60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农贸市场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C05-7/01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R2B1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0.46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C05-8/01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B49</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0.25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r>
        <w:tblPrEx>
          <w:tblCellMar>
            <w:top w:w="15" w:type="dxa"/>
            <w:left w:w="15" w:type="dxa"/>
            <w:bottom w:w="15" w:type="dxa"/>
            <w:right w:w="15" w:type="dxa"/>
          </w:tblCellMar>
        </w:tblPrEx>
        <w:trPr>
          <w:trHeight w:val="34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C05-9/01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R2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0.80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 xml:space="preserve">1.5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公共厕所、垃圾收集点</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sz w:val="22"/>
              </w:rPr>
              <w:t>　</w:t>
            </w:r>
          </w:p>
        </w:tc>
      </w:tr>
    </w:tbl>
    <w:p/>
    <w:sectPr>
      <w:headerReference r:id="rId7" w:type="default"/>
      <w:footerReference r:id="rId8" w:type="default"/>
      <w:footerReference r:id="rId9" w:type="even"/>
      <w:pgSz w:w="23814" w:h="16839" w:orient="landscape"/>
      <w:pgMar w:top="1701" w:right="851" w:bottom="1701" w:left="851" w:header="794" w:footer="340" w:gutter="851"/>
      <w:pgNumType w:start="1" w:chapStyle="1"/>
      <w:cols w:space="1134" w:num="2"/>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26320"/>
    </w:sdtPr>
    <w:sdtContent>
      <w:p>
        <w:pPr>
          <w:pStyle w:val="24"/>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p>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fldChar w:fldCharType="begin"/>
    </w:r>
    <w:r>
      <w:instrText xml:space="preserve">PAGE   \* MERGEFORMAT</w:instrText>
    </w:r>
    <w:r>
      <w:fldChar w:fldCharType="separate"/>
    </w:r>
    <w:r>
      <w:rPr>
        <w:lang w:val="zh-CN"/>
      </w:rPr>
      <w:t>19</w:t>
    </w:r>
    <w:r>
      <w:rPr>
        <w:lang w:val="zh-CN"/>
      </w:rPr>
      <w:fldChar w:fldCharType="end"/>
    </w:r>
  </w:p>
  <w:p>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fldChar w:fldCharType="begin"/>
    </w:r>
    <w:r>
      <w:instrText xml:space="preserve">PAGE   \* MERGEFORMAT</w:instrText>
    </w:r>
    <w:r>
      <w:fldChar w:fldCharType="separate"/>
    </w:r>
    <w:r>
      <w:rPr>
        <w:lang w:val="zh-CN"/>
      </w:rPr>
      <w:t>18</w:t>
    </w:r>
    <w:r>
      <w:rPr>
        <w:lang w:val="zh-CN"/>
      </w:rPr>
      <w:fldChar w:fldCharType="end"/>
    </w:r>
  </w:p>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9D2"/>
    <w:multiLevelType w:val="multilevel"/>
    <w:tmpl w:val="046369D2"/>
    <w:lvl w:ilvl="0" w:tentative="0">
      <w:start w:val="1"/>
      <w:numFmt w:val="chineseCountingThousand"/>
      <w:lvlText w:val="第%1章"/>
      <w:lvlJc w:val="left"/>
      <w:pPr>
        <w:tabs>
          <w:tab w:val="left" w:pos="1191"/>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0A1807"/>
    <w:multiLevelType w:val="multilevel"/>
    <w:tmpl w:val="1B0A1807"/>
    <w:lvl w:ilvl="0" w:tentative="0">
      <w:start w:val="1"/>
      <w:numFmt w:val="japaneseCounting"/>
      <w:lvlText w:val="第%1节"/>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690B"/>
    <w:multiLevelType w:val="singleLevel"/>
    <w:tmpl w:val="5A61690B"/>
    <w:lvl w:ilvl="0" w:tentative="0">
      <w:start w:val="1"/>
      <w:numFmt w:val="decimal"/>
      <w:suff w:val="nothing"/>
      <w:lvlText w:val="（%1）"/>
      <w:lvlJc w:val="left"/>
    </w:lvl>
  </w:abstractNum>
  <w:abstractNum w:abstractNumId="3">
    <w:nsid w:val="5AAF2958"/>
    <w:multiLevelType w:val="singleLevel"/>
    <w:tmpl w:val="5AAF2958"/>
    <w:lvl w:ilvl="0" w:tentative="0">
      <w:start w:val="1"/>
      <w:numFmt w:val="decimal"/>
      <w:suff w:val="nothing"/>
      <w:lvlText w:val="%1、"/>
      <w:lvlJc w:val="left"/>
    </w:lvl>
  </w:abstractNum>
  <w:abstractNum w:abstractNumId="4">
    <w:nsid w:val="6A742594"/>
    <w:multiLevelType w:val="multilevel"/>
    <w:tmpl w:val="6A742594"/>
    <w:lvl w:ilvl="0" w:tentative="0">
      <w:start w:val="1"/>
      <w:numFmt w:val="chineseCountingThousand"/>
      <w:pStyle w:val="115"/>
      <w:lvlText w:val="第%1条 "/>
      <w:lvlJc w:val="left"/>
      <w:pPr>
        <w:ind w:left="1130" w:hanging="420"/>
      </w:pPr>
      <w:rPr>
        <w:rFonts w:hint="eastAsia" w:ascii="黑体" w:eastAsia="黑体"/>
        <w:b w:val="0"/>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35A1A4E"/>
    <w:multiLevelType w:val="multilevel"/>
    <w:tmpl w:val="735A1A4E"/>
    <w:lvl w:ilvl="0" w:tentative="0">
      <w:start w:val="1"/>
      <w:numFmt w:val="chineseCountingThousand"/>
      <w:lvlText w:val="第%1条"/>
      <w:lvlJc w:val="left"/>
      <w:pPr>
        <w:ind w:left="0" w:firstLine="0"/>
      </w:pPr>
      <w:rPr>
        <w:rFonts w:hint="eastAsia" w:eastAsia="黑体"/>
        <w:b/>
        <w:i w:val="0"/>
        <w:sz w:val="28"/>
      </w:rPr>
    </w:lvl>
    <w:lvl w:ilvl="1" w:tentative="0">
      <w:start w:val="1"/>
      <w:numFmt w:val="decimal"/>
      <w:lvlText w:val="%2）"/>
      <w:lvlJc w:val="left"/>
      <w:pPr>
        <w:tabs>
          <w:tab w:val="left" w:pos="1725"/>
        </w:tabs>
        <w:ind w:left="1725" w:hanging="82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3E02350"/>
    <w:multiLevelType w:val="multilevel"/>
    <w:tmpl w:val="73E02350"/>
    <w:lvl w:ilvl="0" w:tentative="0">
      <w:start w:val="1"/>
      <w:numFmt w:val="chineseCountingThousand"/>
      <w:pStyle w:val="2"/>
      <w:lvlText w:val="第%1章  "/>
      <w:lvlJc w:val="left"/>
      <w:pPr>
        <w:tabs>
          <w:tab w:val="left" w:pos="935"/>
        </w:tabs>
        <w:ind w:left="935" w:hanging="737"/>
      </w:pPr>
      <w:rPr>
        <w:rFonts w:hint="eastAsia"/>
      </w:rPr>
    </w:lvl>
    <w:lvl w:ilvl="1" w:tentative="0">
      <w:start w:val="1"/>
      <w:numFmt w:val="decimal"/>
      <w:lvlText w:val="%2."/>
      <w:lvlJc w:val="left"/>
      <w:pPr>
        <w:tabs>
          <w:tab w:val="left" w:pos="180"/>
        </w:tabs>
        <w:ind w:left="18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lvlText w:val="%2.%3"/>
      <w:lvlJc w:val="left"/>
      <w:pPr>
        <w:tabs>
          <w:tab w:val="left" w:pos="765"/>
        </w:tabs>
        <w:ind w:left="765" w:hanging="567"/>
      </w:pPr>
      <w:rPr>
        <w:rFonts w:hint="eastAsia"/>
      </w:rPr>
    </w:lvl>
    <w:lvl w:ilvl="3" w:tentative="0">
      <w:start w:val="1"/>
      <w:numFmt w:val="decimal"/>
      <w:pStyle w:val="5"/>
      <w:lvlText w:val="%2.%3.%4"/>
      <w:lvlJc w:val="left"/>
      <w:pPr>
        <w:tabs>
          <w:tab w:val="left" w:pos="0"/>
        </w:tabs>
        <w:ind w:left="851" w:hanging="653"/>
      </w:pPr>
      <w:rPr>
        <w:rFonts w:hint="eastAsia"/>
      </w:rPr>
    </w:lvl>
    <w:lvl w:ilvl="4" w:tentative="0">
      <w:start w:val="1"/>
      <w:numFmt w:val="decimal"/>
      <w:pStyle w:val="6"/>
      <w:lvlText w:val="%2.%3.%4.%5"/>
      <w:lvlJc w:val="left"/>
      <w:pPr>
        <w:tabs>
          <w:tab w:val="left" w:pos="1404"/>
        </w:tabs>
        <w:ind w:left="1404" w:hanging="1008"/>
      </w:pPr>
      <w:rPr>
        <w:rFonts w:hint="eastAsia"/>
      </w:rPr>
    </w:lvl>
    <w:lvl w:ilvl="5" w:tentative="0">
      <w:start w:val="1"/>
      <w:numFmt w:val="decimal"/>
      <w:pStyle w:val="7"/>
      <w:lvlText w:val="%2.%3.%4.%5.%6"/>
      <w:lvlJc w:val="left"/>
      <w:pPr>
        <w:tabs>
          <w:tab w:val="left" w:pos="1548"/>
        </w:tabs>
        <w:ind w:left="1548" w:hanging="1152"/>
      </w:pPr>
      <w:rPr>
        <w:rFonts w:hint="eastAsia"/>
      </w:rPr>
    </w:lvl>
    <w:lvl w:ilvl="6" w:tentative="0">
      <w:start w:val="1"/>
      <w:numFmt w:val="decimal"/>
      <w:pStyle w:val="8"/>
      <w:lvlText w:val="%2.%3.%4.%5.%6.%7"/>
      <w:lvlJc w:val="left"/>
      <w:pPr>
        <w:tabs>
          <w:tab w:val="left" w:pos="1692"/>
        </w:tabs>
        <w:ind w:left="1692" w:hanging="1296"/>
      </w:pPr>
      <w:rPr>
        <w:rFonts w:hint="eastAsia"/>
      </w:rPr>
    </w:lvl>
    <w:lvl w:ilvl="7" w:tentative="0">
      <w:start w:val="1"/>
      <w:numFmt w:val="decimal"/>
      <w:pStyle w:val="9"/>
      <w:lvlText w:val="%2.%3.%4.%5.%6.%7.%8"/>
      <w:lvlJc w:val="left"/>
      <w:pPr>
        <w:tabs>
          <w:tab w:val="left" w:pos="1836"/>
        </w:tabs>
        <w:ind w:left="1836" w:hanging="1440"/>
      </w:pPr>
      <w:rPr>
        <w:rFonts w:hint="eastAsia"/>
      </w:rPr>
    </w:lvl>
    <w:lvl w:ilvl="8" w:tentative="0">
      <w:start w:val="1"/>
      <w:numFmt w:val="decimal"/>
      <w:pStyle w:val="10"/>
      <w:lvlText w:val="%2.%3.%4.%5.%6.%7.%8.%9"/>
      <w:lvlJc w:val="left"/>
      <w:pPr>
        <w:tabs>
          <w:tab w:val="left" w:pos="1980"/>
        </w:tabs>
        <w:ind w:left="1980" w:hanging="1584"/>
      </w:pPr>
      <w:rPr>
        <w:rFonts w:hint="eastAsia"/>
      </w:rPr>
    </w:lvl>
  </w:abstractNum>
  <w:abstractNum w:abstractNumId="7">
    <w:nsid w:val="7E5275BB"/>
    <w:multiLevelType w:val="multilevel"/>
    <w:tmpl w:val="7E5275BB"/>
    <w:lvl w:ilvl="0" w:tentative="0">
      <w:start w:val="1"/>
      <w:numFmt w:val="japaneseCounting"/>
      <w:lvlText w:val="第%1节"/>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0"/>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2"/>
    <w:rsid w:val="000022D2"/>
    <w:rsid w:val="00003022"/>
    <w:rsid w:val="000039DE"/>
    <w:rsid w:val="00006D26"/>
    <w:rsid w:val="00007437"/>
    <w:rsid w:val="00010C0C"/>
    <w:rsid w:val="00011BBD"/>
    <w:rsid w:val="00011C78"/>
    <w:rsid w:val="00016341"/>
    <w:rsid w:val="0001735E"/>
    <w:rsid w:val="000222FA"/>
    <w:rsid w:val="000239D2"/>
    <w:rsid w:val="00024CA7"/>
    <w:rsid w:val="0002600F"/>
    <w:rsid w:val="000262EC"/>
    <w:rsid w:val="000271B1"/>
    <w:rsid w:val="00027E50"/>
    <w:rsid w:val="00030838"/>
    <w:rsid w:val="0003379E"/>
    <w:rsid w:val="00033B12"/>
    <w:rsid w:val="00035244"/>
    <w:rsid w:val="0003624D"/>
    <w:rsid w:val="00037775"/>
    <w:rsid w:val="000401E4"/>
    <w:rsid w:val="00040A5C"/>
    <w:rsid w:val="00041258"/>
    <w:rsid w:val="00044C71"/>
    <w:rsid w:val="000455A5"/>
    <w:rsid w:val="000459F5"/>
    <w:rsid w:val="000460D2"/>
    <w:rsid w:val="00047426"/>
    <w:rsid w:val="00047E0E"/>
    <w:rsid w:val="00050322"/>
    <w:rsid w:val="00053B4D"/>
    <w:rsid w:val="00055803"/>
    <w:rsid w:val="00055D94"/>
    <w:rsid w:val="00057ADB"/>
    <w:rsid w:val="00057AED"/>
    <w:rsid w:val="00057C37"/>
    <w:rsid w:val="00057F64"/>
    <w:rsid w:val="000606C6"/>
    <w:rsid w:val="00063501"/>
    <w:rsid w:val="00067994"/>
    <w:rsid w:val="00070E0D"/>
    <w:rsid w:val="000715AB"/>
    <w:rsid w:val="00071E16"/>
    <w:rsid w:val="0007262D"/>
    <w:rsid w:val="00072D5B"/>
    <w:rsid w:val="000731C2"/>
    <w:rsid w:val="00073200"/>
    <w:rsid w:val="00073A81"/>
    <w:rsid w:val="00075172"/>
    <w:rsid w:val="00075A83"/>
    <w:rsid w:val="00076314"/>
    <w:rsid w:val="00082E48"/>
    <w:rsid w:val="00083116"/>
    <w:rsid w:val="000860C6"/>
    <w:rsid w:val="0009181A"/>
    <w:rsid w:val="000918D9"/>
    <w:rsid w:val="000919DD"/>
    <w:rsid w:val="00091B7E"/>
    <w:rsid w:val="00095819"/>
    <w:rsid w:val="000A0175"/>
    <w:rsid w:val="000A1A78"/>
    <w:rsid w:val="000A20EC"/>
    <w:rsid w:val="000A3498"/>
    <w:rsid w:val="000A432C"/>
    <w:rsid w:val="000A47B8"/>
    <w:rsid w:val="000A4895"/>
    <w:rsid w:val="000A583B"/>
    <w:rsid w:val="000A5901"/>
    <w:rsid w:val="000A5C28"/>
    <w:rsid w:val="000A7285"/>
    <w:rsid w:val="000A7A0D"/>
    <w:rsid w:val="000A7D35"/>
    <w:rsid w:val="000B1CD9"/>
    <w:rsid w:val="000B2602"/>
    <w:rsid w:val="000B3F8D"/>
    <w:rsid w:val="000B4337"/>
    <w:rsid w:val="000B5345"/>
    <w:rsid w:val="000B69D3"/>
    <w:rsid w:val="000B72C1"/>
    <w:rsid w:val="000B7372"/>
    <w:rsid w:val="000C1037"/>
    <w:rsid w:val="000C1C15"/>
    <w:rsid w:val="000C1ED4"/>
    <w:rsid w:val="000C2838"/>
    <w:rsid w:val="000C5DE1"/>
    <w:rsid w:val="000C6C9E"/>
    <w:rsid w:val="000C6F78"/>
    <w:rsid w:val="000D0879"/>
    <w:rsid w:val="000D1102"/>
    <w:rsid w:val="000D11EA"/>
    <w:rsid w:val="000D1E37"/>
    <w:rsid w:val="000D1FBC"/>
    <w:rsid w:val="000D282E"/>
    <w:rsid w:val="000D33B8"/>
    <w:rsid w:val="000D3452"/>
    <w:rsid w:val="000D362F"/>
    <w:rsid w:val="000D38C2"/>
    <w:rsid w:val="000D3DB6"/>
    <w:rsid w:val="000D7325"/>
    <w:rsid w:val="000D7DD8"/>
    <w:rsid w:val="000D7F88"/>
    <w:rsid w:val="000E03EF"/>
    <w:rsid w:val="000E0F7A"/>
    <w:rsid w:val="000E1770"/>
    <w:rsid w:val="000E191E"/>
    <w:rsid w:val="000E3C94"/>
    <w:rsid w:val="000E46A1"/>
    <w:rsid w:val="000E496D"/>
    <w:rsid w:val="000E4B80"/>
    <w:rsid w:val="000E5F70"/>
    <w:rsid w:val="000E6146"/>
    <w:rsid w:val="000E70DF"/>
    <w:rsid w:val="000E784D"/>
    <w:rsid w:val="000F04DE"/>
    <w:rsid w:val="000F5ABB"/>
    <w:rsid w:val="000F79F4"/>
    <w:rsid w:val="00100C64"/>
    <w:rsid w:val="00102F97"/>
    <w:rsid w:val="00105027"/>
    <w:rsid w:val="00105147"/>
    <w:rsid w:val="00105B64"/>
    <w:rsid w:val="00106B73"/>
    <w:rsid w:val="00106BAA"/>
    <w:rsid w:val="0011128B"/>
    <w:rsid w:val="001112C0"/>
    <w:rsid w:val="00112614"/>
    <w:rsid w:val="001130C6"/>
    <w:rsid w:val="00114222"/>
    <w:rsid w:val="001150DC"/>
    <w:rsid w:val="001158B1"/>
    <w:rsid w:val="0011613C"/>
    <w:rsid w:val="00116366"/>
    <w:rsid w:val="00116900"/>
    <w:rsid w:val="00117F85"/>
    <w:rsid w:val="00120877"/>
    <w:rsid w:val="00120EB6"/>
    <w:rsid w:val="001218BF"/>
    <w:rsid w:val="00123323"/>
    <w:rsid w:val="0012357C"/>
    <w:rsid w:val="001239C4"/>
    <w:rsid w:val="00124393"/>
    <w:rsid w:val="00124A58"/>
    <w:rsid w:val="00126394"/>
    <w:rsid w:val="00126693"/>
    <w:rsid w:val="0012731D"/>
    <w:rsid w:val="00127624"/>
    <w:rsid w:val="00131A21"/>
    <w:rsid w:val="00132CE6"/>
    <w:rsid w:val="00132D7E"/>
    <w:rsid w:val="00134484"/>
    <w:rsid w:val="00134613"/>
    <w:rsid w:val="001347FC"/>
    <w:rsid w:val="00134B1D"/>
    <w:rsid w:val="00135FD9"/>
    <w:rsid w:val="00136BF0"/>
    <w:rsid w:val="00141540"/>
    <w:rsid w:val="001505E5"/>
    <w:rsid w:val="0015107C"/>
    <w:rsid w:val="00153529"/>
    <w:rsid w:val="001538DE"/>
    <w:rsid w:val="00154C6A"/>
    <w:rsid w:val="00156BDD"/>
    <w:rsid w:val="00156CEB"/>
    <w:rsid w:val="00163008"/>
    <w:rsid w:val="00165064"/>
    <w:rsid w:val="00165D86"/>
    <w:rsid w:val="00166863"/>
    <w:rsid w:val="00167757"/>
    <w:rsid w:val="00170694"/>
    <w:rsid w:val="00174C70"/>
    <w:rsid w:val="0017515C"/>
    <w:rsid w:val="00176DBD"/>
    <w:rsid w:val="001772B5"/>
    <w:rsid w:val="001779E9"/>
    <w:rsid w:val="00177C08"/>
    <w:rsid w:val="001806F4"/>
    <w:rsid w:val="00180E35"/>
    <w:rsid w:val="00183F0C"/>
    <w:rsid w:val="00185BA4"/>
    <w:rsid w:val="001863A2"/>
    <w:rsid w:val="0018740E"/>
    <w:rsid w:val="0019259A"/>
    <w:rsid w:val="00194106"/>
    <w:rsid w:val="00194B91"/>
    <w:rsid w:val="0019540E"/>
    <w:rsid w:val="00195E05"/>
    <w:rsid w:val="0019739C"/>
    <w:rsid w:val="00197C20"/>
    <w:rsid w:val="001A07F9"/>
    <w:rsid w:val="001A0C04"/>
    <w:rsid w:val="001A0FC6"/>
    <w:rsid w:val="001A0FCE"/>
    <w:rsid w:val="001A1A64"/>
    <w:rsid w:val="001A2D42"/>
    <w:rsid w:val="001A3B2F"/>
    <w:rsid w:val="001A5BB1"/>
    <w:rsid w:val="001A5F48"/>
    <w:rsid w:val="001A712C"/>
    <w:rsid w:val="001A756B"/>
    <w:rsid w:val="001A79AA"/>
    <w:rsid w:val="001B07BE"/>
    <w:rsid w:val="001B0BD4"/>
    <w:rsid w:val="001B1048"/>
    <w:rsid w:val="001B1521"/>
    <w:rsid w:val="001B16B2"/>
    <w:rsid w:val="001B192D"/>
    <w:rsid w:val="001B1A19"/>
    <w:rsid w:val="001B274F"/>
    <w:rsid w:val="001B2B04"/>
    <w:rsid w:val="001B3622"/>
    <w:rsid w:val="001B3C9E"/>
    <w:rsid w:val="001B58F4"/>
    <w:rsid w:val="001B7B6C"/>
    <w:rsid w:val="001C23D1"/>
    <w:rsid w:val="001C3500"/>
    <w:rsid w:val="001C3682"/>
    <w:rsid w:val="001C3C5E"/>
    <w:rsid w:val="001C4355"/>
    <w:rsid w:val="001C44C0"/>
    <w:rsid w:val="001C5CE3"/>
    <w:rsid w:val="001D0759"/>
    <w:rsid w:val="001D0B17"/>
    <w:rsid w:val="001D1189"/>
    <w:rsid w:val="001D2A74"/>
    <w:rsid w:val="001D2C70"/>
    <w:rsid w:val="001D3A70"/>
    <w:rsid w:val="001D3C4D"/>
    <w:rsid w:val="001D440B"/>
    <w:rsid w:val="001D5BE0"/>
    <w:rsid w:val="001D6737"/>
    <w:rsid w:val="001E04B0"/>
    <w:rsid w:val="001E1413"/>
    <w:rsid w:val="001E59D4"/>
    <w:rsid w:val="001E6C00"/>
    <w:rsid w:val="001E7331"/>
    <w:rsid w:val="001F0F6B"/>
    <w:rsid w:val="001F156E"/>
    <w:rsid w:val="001F1A52"/>
    <w:rsid w:val="001F2653"/>
    <w:rsid w:val="001F2810"/>
    <w:rsid w:val="001F29C7"/>
    <w:rsid w:val="001F3045"/>
    <w:rsid w:val="001F391F"/>
    <w:rsid w:val="001F5869"/>
    <w:rsid w:val="001F6760"/>
    <w:rsid w:val="001F790E"/>
    <w:rsid w:val="001F79CB"/>
    <w:rsid w:val="00202A1C"/>
    <w:rsid w:val="00203EDD"/>
    <w:rsid w:val="0020550D"/>
    <w:rsid w:val="00207A3C"/>
    <w:rsid w:val="00211D55"/>
    <w:rsid w:val="0021265B"/>
    <w:rsid w:val="00212933"/>
    <w:rsid w:val="00213070"/>
    <w:rsid w:val="002146FB"/>
    <w:rsid w:val="00214C76"/>
    <w:rsid w:val="00215FF3"/>
    <w:rsid w:val="002177BE"/>
    <w:rsid w:val="002179C2"/>
    <w:rsid w:val="00220DE7"/>
    <w:rsid w:val="002228D0"/>
    <w:rsid w:val="00223586"/>
    <w:rsid w:val="00223EB9"/>
    <w:rsid w:val="0022451F"/>
    <w:rsid w:val="00224F8C"/>
    <w:rsid w:val="002257A6"/>
    <w:rsid w:val="00225DCE"/>
    <w:rsid w:val="00226A6E"/>
    <w:rsid w:val="00231009"/>
    <w:rsid w:val="00231B8F"/>
    <w:rsid w:val="00233A6F"/>
    <w:rsid w:val="00233E94"/>
    <w:rsid w:val="00234606"/>
    <w:rsid w:val="0023465D"/>
    <w:rsid w:val="00236811"/>
    <w:rsid w:val="00236CFD"/>
    <w:rsid w:val="00236F38"/>
    <w:rsid w:val="00237704"/>
    <w:rsid w:val="00240745"/>
    <w:rsid w:val="00240F80"/>
    <w:rsid w:val="00242257"/>
    <w:rsid w:val="00244AB0"/>
    <w:rsid w:val="002465F9"/>
    <w:rsid w:val="00246D3E"/>
    <w:rsid w:val="002473F9"/>
    <w:rsid w:val="002478B8"/>
    <w:rsid w:val="00247E35"/>
    <w:rsid w:val="002505DF"/>
    <w:rsid w:val="00250E0A"/>
    <w:rsid w:val="00251955"/>
    <w:rsid w:val="0025453A"/>
    <w:rsid w:val="0025532D"/>
    <w:rsid w:val="00255C42"/>
    <w:rsid w:val="00257438"/>
    <w:rsid w:val="00260089"/>
    <w:rsid w:val="00260ABD"/>
    <w:rsid w:val="00261317"/>
    <w:rsid w:val="00261994"/>
    <w:rsid w:val="00261B78"/>
    <w:rsid w:val="002624B1"/>
    <w:rsid w:val="00262785"/>
    <w:rsid w:val="00264225"/>
    <w:rsid w:val="00264728"/>
    <w:rsid w:val="002650A1"/>
    <w:rsid w:val="002659F9"/>
    <w:rsid w:val="00266865"/>
    <w:rsid w:val="00266FBC"/>
    <w:rsid w:val="00267304"/>
    <w:rsid w:val="00267DD2"/>
    <w:rsid w:val="00270CB2"/>
    <w:rsid w:val="002711AD"/>
    <w:rsid w:val="002713D9"/>
    <w:rsid w:val="00271B22"/>
    <w:rsid w:val="0027533B"/>
    <w:rsid w:val="00275594"/>
    <w:rsid w:val="00276FE0"/>
    <w:rsid w:val="00277A36"/>
    <w:rsid w:val="0028109C"/>
    <w:rsid w:val="0028170F"/>
    <w:rsid w:val="00282202"/>
    <w:rsid w:val="002824C0"/>
    <w:rsid w:val="00282809"/>
    <w:rsid w:val="00282A64"/>
    <w:rsid w:val="00283BB9"/>
    <w:rsid w:val="002847F3"/>
    <w:rsid w:val="00286106"/>
    <w:rsid w:val="00287E43"/>
    <w:rsid w:val="00292035"/>
    <w:rsid w:val="0029269A"/>
    <w:rsid w:val="00293862"/>
    <w:rsid w:val="00293ABA"/>
    <w:rsid w:val="0029528B"/>
    <w:rsid w:val="00295A36"/>
    <w:rsid w:val="00296913"/>
    <w:rsid w:val="00297362"/>
    <w:rsid w:val="002A67A0"/>
    <w:rsid w:val="002A72E1"/>
    <w:rsid w:val="002B035B"/>
    <w:rsid w:val="002B1A70"/>
    <w:rsid w:val="002B390E"/>
    <w:rsid w:val="002B3C25"/>
    <w:rsid w:val="002B3D0B"/>
    <w:rsid w:val="002B5091"/>
    <w:rsid w:val="002B6344"/>
    <w:rsid w:val="002B7A9F"/>
    <w:rsid w:val="002C0445"/>
    <w:rsid w:val="002C09A1"/>
    <w:rsid w:val="002C4C28"/>
    <w:rsid w:val="002C5660"/>
    <w:rsid w:val="002C572E"/>
    <w:rsid w:val="002C57F6"/>
    <w:rsid w:val="002C6DA7"/>
    <w:rsid w:val="002D00A3"/>
    <w:rsid w:val="002D2363"/>
    <w:rsid w:val="002D2E5E"/>
    <w:rsid w:val="002D34BD"/>
    <w:rsid w:val="002D5082"/>
    <w:rsid w:val="002D58CC"/>
    <w:rsid w:val="002D6E46"/>
    <w:rsid w:val="002D72F2"/>
    <w:rsid w:val="002E01CB"/>
    <w:rsid w:val="002E022C"/>
    <w:rsid w:val="002E04E2"/>
    <w:rsid w:val="002E0DC7"/>
    <w:rsid w:val="002E10C9"/>
    <w:rsid w:val="002E40D4"/>
    <w:rsid w:val="002E4F23"/>
    <w:rsid w:val="002E58BB"/>
    <w:rsid w:val="002E62F2"/>
    <w:rsid w:val="002E7174"/>
    <w:rsid w:val="002E7B95"/>
    <w:rsid w:val="002E7FAE"/>
    <w:rsid w:val="002F1105"/>
    <w:rsid w:val="002F45E5"/>
    <w:rsid w:val="002F562B"/>
    <w:rsid w:val="002F6003"/>
    <w:rsid w:val="00300CE8"/>
    <w:rsid w:val="003011BA"/>
    <w:rsid w:val="00302094"/>
    <w:rsid w:val="00302DCB"/>
    <w:rsid w:val="00303ED6"/>
    <w:rsid w:val="0030757B"/>
    <w:rsid w:val="00307B37"/>
    <w:rsid w:val="00310EA1"/>
    <w:rsid w:val="003111DF"/>
    <w:rsid w:val="00311641"/>
    <w:rsid w:val="0031268E"/>
    <w:rsid w:val="00312E02"/>
    <w:rsid w:val="00317E94"/>
    <w:rsid w:val="00320C7F"/>
    <w:rsid w:val="00323A48"/>
    <w:rsid w:val="00324044"/>
    <w:rsid w:val="0032477C"/>
    <w:rsid w:val="0032625C"/>
    <w:rsid w:val="00326636"/>
    <w:rsid w:val="00326A73"/>
    <w:rsid w:val="00326B07"/>
    <w:rsid w:val="00330013"/>
    <w:rsid w:val="0033189C"/>
    <w:rsid w:val="003325C2"/>
    <w:rsid w:val="00332A2C"/>
    <w:rsid w:val="0033433E"/>
    <w:rsid w:val="0033463B"/>
    <w:rsid w:val="00336372"/>
    <w:rsid w:val="0033694A"/>
    <w:rsid w:val="0034105C"/>
    <w:rsid w:val="0034119B"/>
    <w:rsid w:val="00341C11"/>
    <w:rsid w:val="00341D7E"/>
    <w:rsid w:val="00342380"/>
    <w:rsid w:val="00342E60"/>
    <w:rsid w:val="003439D3"/>
    <w:rsid w:val="00343B7C"/>
    <w:rsid w:val="00343F12"/>
    <w:rsid w:val="00344481"/>
    <w:rsid w:val="0034465D"/>
    <w:rsid w:val="0034497F"/>
    <w:rsid w:val="00344B73"/>
    <w:rsid w:val="003451E7"/>
    <w:rsid w:val="003468EF"/>
    <w:rsid w:val="00347231"/>
    <w:rsid w:val="003476C9"/>
    <w:rsid w:val="00347A21"/>
    <w:rsid w:val="0035100A"/>
    <w:rsid w:val="00351D38"/>
    <w:rsid w:val="00352C19"/>
    <w:rsid w:val="0035322F"/>
    <w:rsid w:val="00354189"/>
    <w:rsid w:val="00354354"/>
    <w:rsid w:val="00355E4C"/>
    <w:rsid w:val="00357343"/>
    <w:rsid w:val="003600CF"/>
    <w:rsid w:val="0036166E"/>
    <w:rsid w:val="003637FF"/>
    <w:rsid w:val="00365F21"/>
    <w:rsid w:val="0036762D"/>
    <w:rsid w:val="0037012C"/>
    <w:rsid w:val="00370646"/>
    <w:rsid w:val="00377CC3"/>
    <w:rsid w:val="00377F3D"/>
    <w:rsid w:val="00377FC8"/>
    <w:rsid w:val="0038246B"/>
    <w:rsid w:val="00383A19"/>
    <w:rsid w:val="00383E8B"/>
    <w:rsid w:val="00384B48"/>
    <w:rsid w:val="00386010"/>
    <w:rsid w:val="0038716C"/>
    <w:rsid w:val="00387A52"/>
    <w:rsid w:val="00390BF6"/>
    <w:rsid w:val="003916E5"/>
    <w:rsid w:val="003927D0"/>
    <w:rsid w:val="0039372E"/>
    <w:rsid w:val="00394B1B"/>
    <w:rsid w:val="00395724"/>
    <w:rsid w:val="003961B6"/>
    <w:rsid w:val="003968C4"/>
    <w:rsid w:val="00397F37"/>
    <w:rsid w:val="003A19BB"/>
    <w:rsid w:val="003A2052"/>
    <w:rsid w:val="003A25FE"/>
    <w:rsid w:val="003A320F"/>
    <w:rsid w:val="003A374B"/>
    <w:rsid w:val="003A45D1"/>
    <w:rsid w:val="003A4BB5"/>
    <w:rsid w:val="003A652B"/>
    <w:rsid w:val="003A6CC0"/>
    <w:rsid w:val="003A71B6"/>
    <w:rsid w:val="003B412E"/>
    <w:rsid w:val="003B526B"/>
    <w:rsid w:val="003B55B8"/>
    <w:rsid w:val="003B5723"/>
    <w:rsid w:val="003B6673"/>
    <w:rsid w:val="003B6703"/>
    <w:rsid w:val="003B6B66"/>
    <w:rsid w:val="003B7055"/>
    <w:rsid w:val="003C06ED"/>
    <w:rsid w:val="003C0E23"/>
    <w:rsid w:val="003C262F"/>
    <w:rsid w:val="003C2ABD"/>
    <w:rsid w:val="003C56C2"/>
    <w:rsid w:val="003C7099"/>
    <w:rsid w:val="003D0081"/>
    <w:rsid w:val="003D3202"/>
    <w:rsid w:val="003D458F"/>
    <w:rsid w:val="003D6083"/>
    <w:rsid w:val="003D60DD"/>
    <w:rsid w:val="003D65FD"/>
    <w:rsid w:val="003D7848"/>
    <w:rsid w:val="003E0130"/>
    <w:rsid w:val="003E1344"/>
    <w:rsid w:val="003E1DF4"/>
    <w:rsid w:val="003E1F70"/>
    <w:rsid w:val="003E2FD1"/>
    <w:rsid w:val="003E325E"/>
    <w:rsid w:val="003E3B1E"/>
    <w:rsid w:val="003E3D95"/>
    <w:rsid w:val="003E3DE9"/>
    <w:rsid w:val="003E401B"/>
    <w:rsid w:val="003E4684"/>
    <w:rsid w:val="003E4DBC"/>
    <w:rsid w:val="003E55AB"/>
    <w:rsid w:val="003E5D2E"/>
    <w:rsid w:val="003E6679"/>
    <w:rsid w:val="003F5E72"/>
    <w:rsid w:val="003F68B5"/>
    <w:rsid w:val="003F6F45"/>
    <w:rsid w:val="003F7BB4"/>
    <w:rsid w:val="0040032C"/>
    <w:rsid w:val="00400E4C"/>
    <w:rsid w:val="004065F3"/>
    <w:rsid w:val="00406D68"/>
    <w:rsid w:val="00406EEE"/>
    <w:rsid w:val="00410A79"/>
    <w:rsid w:val="0041230A"/>
    <w:rsid w:val="00412437"/>
    <w:rsid w:val="004146C5"/>
    <w:rsid w:val="00414F24"/>
    <w:rsid w:val="0041502F"/>
    <w:rsid w:val="00415CDF"/>
    <w:rsid w:val="004169FC"/>
    <w:rsid w:val="00417A06"/>
    <w:rsid w:val="004205A9"/>
    <w:rsid w:val="00422307"/>
    <w:rsid w:val="00424A1B"/>
    <w:rsid w:val="00426DA1"/>
    <w:rsid w:val="00427416"/>
    <w:rsid w:val="0043067F"/>
    <w:rsid w:val="0043074C"/>
    <w:rsid w:val="00432B10"/>
    <w:rsid w:val="00434338"/>
    <w:rsid w:val="0043499D"/>
    <w:rsid w:val="00434D9C"/>
    <w:rsid w:val="00434E62"/>
    <w:rsid w:val="00436C40"/>
    <w:rsid w:val="00437F02"/>
    <w:rsid w:val="004407CB"/>
    <w:rsid w:val="0044111A"/>
    <w:rsid w:val="004416A2"/>
    <w:rsid w:val="00443A7D"/>
    <w:rsid w:val="00444080"/>
    <w:rsid w:val="004443C6"/>
    <w:rsid w:val="00444E8F"/>
    <w:rsid w:val="00445D96"/>
    <w:rsid w:val="004462B9"/>
    <w:rsid w:val="00446640"/>
    <w:rsid w:val="004506F0"/>
    <w:rsid w:val="00450FFD"/>
    <w:rsid w:val="00451324"/>
    <w:rsid w:val="004519C0"/>
    <w:rsid w:val="0045233B"/>
    <w:rsid w:val="004523E3"/>
    <w:rsid w:val="00452E83"/>
    <w:rsid w:val="00453BFA"/>
    <w:rsid w:val="004554D4"/>
    <w:rsid w:val="004567C1"/>
    <w:rsid w:val="00457BB5"/>
    <w:rsid w:val="00460D64"/>
    <w:rsid w:val="00461D1D"/>
    <w:rsid w:val="00461E52"/>
    <w:rsid w:val="00462606"/>
    <w:rsid w:val="00464604"/>
    <w:rsid w:val="00464A33"/>
    <w:rsid w:val="004656DE"/>
    <w:rsid w:val="0046574A"/>
    <w:rsid w:val="004660B8"/>
    <w:rsid w:val="004672EA"/>
    <w:rsid w:val="00467C48"/>
    <w:rsid w:val="00470404"/>
    <w:rsid w:val="00470E5E"/>
    <w:rsid w:val="00471C3E"/>
    <w:rsid w:val="004721B6"/>
    <w:rsid w:val="004724F9"/>
    <w:rsid w:val="00472FCE"/>
    <w:rsid w:val="004732FC"/>
    <w:rsid w:val="004734BE"/>
    <w:rsid w:val="00474A59"/>
    <w:rsid w:val="00474F2C"/>
    <w:rsid w:val="00474FA8"/>
    <w:rsid w:val="0047641C"/>
    <w:rsid w:val="00476955"/>
    <w:rsid w:val="00476C44"/>
    <w:rsid w:val="00477616"/>
    <w:rsid w:val="004801C3"/>
    <w:rsid w:val="004843DD"/>
    <w:rsid w:val="00486A8D"/>
    <w:rsid w:val="004909FC"/>
    <w:rsid w:val="0049274D"/>
    <w:rsid w:val="00493211"/>
    <w:rsid w:val="0049348B"/>
    <w:rsid w:val="004949EE"/>
    <w:rsid w:val="00495152"/>
    <w:rsid w:val="0049555F"/>
    <w:rsid w:val="00496228"/>
    <w:rsid w:val="0049641C"/>
    <w:rsid w:val="0049675F"/>
    <w:rsid w:val="004978BB"/>
    <w:rsid w:val="004A12D1"/>
    <w:rsid w:val="004A2A70"/>
    <w:rsid w:val="004A43EE"/>
    <w:rsid w:val="004A4ADB"/>
    <w:rsid w:val="004A64DA"/>
    <w:rsid w:val="004A6E34"/>
    <w:rsid w:val="004B0327"/>
    <w:rsid w:val="004B0E49"/>
    <w:rsid w:val="004B2FAF"/>
    <w:rsid w:val="004B372C"/>
    <w:rsid w:val="004B4E0D"/>
    <w:rsid w:val="004B59D9"/>
    <w:rsid w:val="004B5CC1"/>
    <w:rsid w:val="004B5E6A"/>
    <w:rsid w:val="004B72F6"/>
    <w:rsid w:val="004B7D97"/>
    <w:rsid w:val="004C02F5"/>
    <w:rsid w:val="004C25EE"/>
    <w:rsid w:val="004C2B6C"/>
    <w:rsid w:val="004C2CD8"/>
    <w:rsid w:val="004C6A02"/>
    <w:rsid w:val="004D00B0"/>
    <w:rsid w:val="004D17EC"/>
    <w:rsid w:val="004D3437"/>
    <w:rsid w:val="004D3F22"/>
    <w:rsid w:val="004D43C4"/>
    <w:rsid w:val="004D4B99"/>
    <w:rsid w:val="004D5D1F"/>
    <w:rsid w:val="004D6134"/>
    <w:rsid w:val="004D74BD"/>
    <w:rsid w:val="004D79C1"/>
    <w:rsid w:val="004E0D66"/>
    <w:rsid w:val="004E2E7E"/>
    <w:rsid w:val="004E34D9"/>
    <w:rsid w:val="004E441B"/>
    <w:rsid w:val="004E6C73"/>
    <w:rsid w:val="004F118A"/>
    <w:rsid w:val="004F1AAB"/>
    <w:rsid w:val="004F3CF5"/>
    <w:rsid w:val="004F4EE9"/>
    <w:rsid w:val="004F5AC8"/>
    <w:rsid w:val="004F5CA7"/>
    <w:rsid w:val="004F6B63"/>
    <w:rsid w:val="005036B4"/>
    <w:rsid w:val="0050428D"/>
    <w:rsid w:val="00505588"/>
    <w:rsid w:val="00505B74"/>
    <w:rsid w:val="005071B1"/>
    <w:rsid w:val="005079E7"/>
    <w:rsid w:val="00507D8A"/>
    <w:rsid w:val="00511ECD"/>
    <w:rsid w:val="005129A1"/>
    <w:rsid w:val="00515C84"/>
    <w:rsid w:val="00517A8D"/>
    <w:rsid w:val="00520F99"/>
    <w:rsid w:val="005211B8"/>
    <w:rsid w:val="00523732"/>
    <w:rsid w:val="005244FC"/>
    <w:rsid w:val="005246FB"/>
    <w:rsid w:val="00525AE4"/>
    <w:rsid w:val="00525E79"/>
    <w:rsid w:val="00526F92"/>
    <w:rsid w:val="005323DB"/>
    <w:rsid w:val="005329F5"/>
    <w:rsid w:val="0054063B"/>
    <w:rsid w:val="00541410"/>
    <w:rsid w:val="00542698"/>
    <w:rsid w:val="00542B91"/>
    <w:rsid w:val="00542CA9"/>
    <w:rsid w:val="005430AE"/>
    <w:rsid w:val="00543886"/>
    <w:rsid w:val="00545DD0"/>
    <w:rsid w:val="00546E21"/>
    <w:rsid w:val="00551728"/>
    <w:rsid w:val="0055229D"/>
    <w:rsid w:val="0055231C"/>
    <w:rsid w:val="005525C2"/>
    <w:rsid w:val="005526A8"/>
    <w:rsid w:val="005546D6"/>
    <w:rsid w:val="00556FFE"/>
    <w:rsid w:val="0055786E"/>
    <w:rsid w:val="005630A2"/>
    <w:rsid w:val="00563B16"/>
    <w:rsid w:val="005659C7"/>
    <w:rsid w:val="00565EBE"/>
    <w:rsid w:val="005663EB"/>
    <w:rsid w:val="00566703"/>
    <w:rsid w:val="00566FE4"/>
    <w:rsid w:val="00567FFA"/>
    <w:rsid w:val="00570124"/>
    <w:rsid w:val="00570E96"/>
    <w:rsid w:val="0057280D"/>
    <w:rsid w:val="00572832"/>
    <w:rsid w:val="00574049"/>
    <w:rsid w:val="005742DC"/>
    <w:rsid w:val="0057441B"/>
    <w:rsid w:val="0057589A"/>
    <w:rsid w:val="00575DA2"/>
    <w:rsid w:val="0057622D"/>
    <w:rsid w:val="0057651A"/>
    <w:rsid w:val="0058119A"/>
    <w:rsid w:val="0058212E"/>
    <w:rsid w:val="005834D3"/>
    <w:rsid w:val="00583999"/>
    <w:rsid w:val="00584442"/>
    <w:rsid w:val="00584CA0"/>
    <w:rsid w:val="00586211"/>
    <w:rsid w:val="005864D0"/>
    <w:rsid w:val="00586501"/>
    <w:rsid w:val="00586BB4"/>
    <w:rsid w:val="00591DD3"/>
    <w:rsid w:val="00592BB6"/>
    <w:rsid w:val="00592FDE"/>
    <w:rsid w:val="00594786"/>
    <w:rsid w:val="00594DF3"/>
    <w:rsid w:val="00596268"/>
    <w:rsid w:val="00596489"/>
    <w:rsid w:val="005A0E7E"/>
    <w:rsid w:val="005A22E7"/>
    <w:rsid w:val="005A2483"/>
    <w:rsid w:val="005A30E8"/>
    <w:rsid w:val="005A3107"/>
    <w:rsid w:val="005A3161"/>
    <w:rsid w:val="005A4A33"/>
    <w:rsid w:val="005A5409"/>
    <w:rsid w:val="005A547B"/>
    <w:rsid w:val="005A56C1"/>
    <w:rsid w:val="005A5916"/>
    <w:rsid w:val="005A68C2"/>
    <w:rsid w:val="005A7758"/>
    <w:rsid w:val="005A7975"/>
    <w:rsid w:val="005B005F"/>
    <w:rsid w:val="005B048C"/>
    <w:rsid w:val="005B09F4"/>
    <w:rsid w:val="005B1356"/>
    <w:rsid w:val="005B5928"/>
    <w:rsid w:val="005B624E"/>
    <w:rsid w:val="005B68C1"/>
    <w:rsid w:val="005C0CDF"/>
    <w:rsid w:val="005C1CB9"/>
    <w:rsid w:val="005C2C30"/>
    <w:rsid w:val="005C2CBC"/>
    <w:rsid w:val="005C3CDF"/>
    <w:rsid w:val="005C4DEC"/>
    <w:rsid w:val="005C4E69"/>
    <w:rsid w:val="005C5479"/>
    <w:rsid w:val="005D0851"/>
    <w:rsid w:val="005D1ADC"/>
    <w:rsid w:val="005D24EF"/>
    <w:rsid w:val="005D3723"/>
    <w:rsid w:val="005D407C"/>
    <w:rsid w:val="005D4B4B"/>
    <w:rsid w:val="005D4E18"/>
    <w:rsid w:val="005D5390"/>
    <w:rsid w:val="005D5C89"/>
    <w:rsid w:val="005D61DA"/>
    <w:rsid w:val="005D66DF"/>
    <w:rsid w:val="005D6879"/>
    <w:rsid w:val="005D7FB9"/>
    <w:rsid w:val="005E2150"/>
    <w:rsid w:val="005E2235"/>
    <w:rsid w:val="005E6F6B"/>
    <w:rsid w:val="005E7160"/>
    <w:rsid w:val="005E7F4D"/>
    <w:rsid w:val="005F0AB7"/>
    <w:rsid w:val="005F16B6"/>
    <w:rsid w:val="005F2CE0"/>
    <w:rsid w:val="005F2F72"/>
    <w:rsid w:val="005F3317"/>
    <w:rsid w:val="005F399B"/>
    <w:rsid w:val="005F456A"/>
    <w:rsid w:val="005F6205"/>
    <w:rsid w:val="005F6AF9"/>
    <w:rsid w:val="005F7AE8"/>
    <w:rsid w:val="00602059"/>
    <w:rsid w:val="00602E29"/>
    <w:rsid w:val="006031D8"/>
    <w:rsid w:val="00604940"/>
    <w:rsid w:val="00604F35"/>
    <w:rsid w:val="00606766"/>
    <w:rsid w:val="006113B9"/>
    <w:rsid w:val="006117A6"/>
    <w:rsid w:val="00611CA3"/>
    <w:rsid w:val="00611F12"/>
    <w:rsid w:val="00611F41"/>
    <w:rsid w:val="006120B7"/>
    <w:rsid w:val="006130C1"/>
    <w:rsid w:val="006136BB"/>
    <w:rsid w:val="006136D8"/>
    <w:rsid w:val="00616451"/>
    <w:rsid w:val="00616D4A"/>
    <w:rsid w:val="0061747B"/>
    <w:rsid w:val="00621D0C"/>
    <w:rsid w:val="00622B90"/>
    <w:rsid w:val="006242B9"/>
    <w:rsid w:val="00626363"/>
    <w:rsid w:val="00627F02"/>
    <w:rsid w:val="00630514"/>
    <w:rsid w:val="006316C4"/>
    <w:rsid w:val="00631980"/>
    <w:rsid w:val="00631DDF"/>
    <w:rsid w:val="00632BFC"/>
    <w:rsid w:val="00632D75"/>
    <w:rsid w:val="00636AC9"/>
    <w:rsid w:val="0063736F"/>
    <w:rsid w:val="0064067B"/>
    <w:rsid w:val="006408E6"/>
    <w:rsid w:val="00642ABA"/>
    <w:rsid w:val="0064306D"/>
    <w:rsid w:val="00644C4C"/>
    <w:rsid w:val="00645326"/>
    <w:rsid w:val="00645958"/>
    <w:rsid w:val="0064652F"/>
    <w:rsid w:val="00646E83"/>
    <w:rsid w:val="00646E9C"/>
    <w:rsid w:val="00646FEA"/>
    <w:rsid w:val="006470A5"/>
    <w:rsid w:val="0064737D"/>
    <w:rsid w:val="00652409"/>
    <w:rsid w:val="0065339F"/>
    <w:rsid w:val="006533DC"/>
    <w:rsid w:val="00654D67"/>
    <w:rsid w:val="00656838"/>
    <w:rsid w:val="006570A3"/>
    <w:rsid w:val="00657501"/>
    <w:rsid w:val="0066061E"/>
    <w:rsid w:val="00660764"/>
    <w:rsid w:val="0066192B"/>
    <w:rsid w:val="006638E3"/>
    <w:rsid w:val="00663982"/>
    <w:rsid w:val="00663CEE"/>
    <w:rsid w:val="00663E51"/>
    <w:rsid w:val="0066402D"/>
    <w:rsid w:val="0066493D"/>
    <w:rsid w:val="006668D9"/>
    <w:rsid w:val="0066736C"/>
    <w:rsid w:val="00671BE6"/>
    <w:rsid w:val="0067214D"/>
    <w:rsid w:val="006747DA"/>
    <w:rsid w:val="0067779C"/>
    <w:rsid w:val="00680D9A"/>
    <w:rsid w:val="006815AD"/>
    <w:rsid w:val="0068277D"/>
    <w:rsid w:val="0068342D"/>
    <w:rsid w:val="00685532"/>
    <w:rsid w:val="006855FB"/>
    <w:rsid w:val="00685C3A"/>
    <w:rsid w:val="00687617"/>
    <w:rsid w:val="00687E3F"/>
    <w:rsid w:val="00687E83"/>
    <w:rsid w:val="00690EE0"/>
    <w:rsid w:val="006949E5"/>
    <w:rsid w:val="00694C3D"/>
    <w:rsid w:val="006A1BE5"/>
    <w:rsid w:val="006A2CD5"/>
    <w:rsid w:val="006A3B7D"/>
    <w:rsid w:val="006A4E97"/>
    <w:rsid w:val="006A6C1E"/>
    <w:rsid w:val="006A726E"/>
    <w:rsid w:val="006A753A"/>
    <w:rsid w:val="006B02A8"/>
    <w:rsid w:val="006B0774"/>
    <w:rsid w:val="006B07CB"/>
    <w:rsid w:val="006B0C6E"/>
    <w:rsid w:val="006B1748"/>
    <w:rsid w:val="006B2375"/>
    <w:rsid w:val="006B4E6D"/>
    <w:rsid w:val="006B5241"/>
    <w:rsid w:val="006B61C6"/>
    <w:rsid w:val="006B6896"/>
    <w:rsid w:val="006B6D84"/>
    <w:rsid w:val="006C15A6"/>
    <w:rsid w:val="006C2B94"/>
    <w:rsid w:val="006C512F"/>
    <w:rsid w:val="006C514F"/>
    <w:rsid w:val="006C5D32"/>
    <w:rsid w:val="006C6AFA"/>
    <w:rsid w:val="006C6B39"/>
    <w:rsid w:val="006C6BC8"/>
    <w:rsid w:val="006C7426"/>
    <w:rsid w:val="006D01BF"/>
    <w:rsid w:val="006D0964"/>
    <w:rsid w:val="006D0CA4"/>
    <w:rsid w:val="006D22D4"/>
    <w:rsid w:val="006D3EAD"/>
    <w:rsid w:val="006D6F17"/>
    <w:rsid w:val="006D7ABA"/>
    <w:rsid w:val="006E12A8"/>
    <w:rsid w:val="006E2FAF"/>
    <w:rsid w:val="006E37F1"/>
    <w:rsid w:val="006E5224"/>
    <w:rsid w:val="006E76D7"/>
    <w:rsid w:val="006E7BAB"/>
    <w:rsid w:val="006E7BEC"/>
    <w:rsid w:val="006F0194"/>
    <w:rsid w:val="006F12A8"/>
    <w:rsid w:val="006F1B49"/>
    <w:rsid w:val="006F54D6"/>
    <w:rsid w:val="006F5836"/>
    <w:rsid w:val="006F65DF"/>
    <w:rsid w:val="006F6A15"/>
    <w:rsid w:val="006F6E23"/>
    <w:rsid w:val="00701A80"/>
    <w:rsid w:val="00701B4E"/>
    <w:rsid w:val="007022DE"/>
    <w:rsid w:val="0070257F"/>
    <w:rsid w:val="00702C67"/>
    <w:rsid w:val="00703BCB"/>
    <w:rsid w:val="00703E7B"/>
    <w:rsid w:val="00704010"/>
    <w:rsid w:val="007069F5"/>
    <w:rsid w:val="007078BE"/>
    <w:rsid w:val="00710179"/>
    <w:rsid w:val="00712222"/>
    <w:rsid w:val="00712744"/>
    <w:rsid w:val="00713774"/>
    <w:rsid w:val="0071451C"/>
    <w:rsid w:val="00714D40"/>
    <w:rsid w:val="0071547B"/>
    <w:rsid w:val="00716AFB"/>
    <w:rsid w:val="00717563"/>
    <w:rsid w:val="00720CEC"/>
    <w:rsid w:val="00721194"/>
    <w:rsid w:val="00721473"/>
    <w:rsid w:val="007248FA"/>
    <w:rsid w:val="00724D8F"/>
    <w:rsid w:val="007253A2"/>
    <w:rsid w:val="00727CF8"/>
    <w:rsid w:val="00730745"/>
    <w:rsid w:val="00730CA7"/>
    <w:rsid w:val="00733712"/>
    <w:rsid w:val="007349F7"/>
    <w:rsid w:val="00735DC0"/>
    <w:rsid w:val="007369D0"/>
    <w:rsid w:val="00737040"/>
    <w:rsid w:val="00737169"/>
    <w:rsid w:val="00740077"/>
    <w:rsid w:val="007416A4"/>
    <w:rsid w:val="00742A5C"/>
    <w:rsid w:val="0074366B"/>
    <w:rsid w:val="0074431B"/>
    <w:rsid w:val="00746B53"/>
    <w:rsid w:val="00746F72"/>
    <w:rsid w:val="00747A26"/>
    <w:rsid w:val="00747D8A"/>
    <w:rsid w:val="0075199C"/>
    <w:rsid w:val="00752786"/>
    <w:rsid w:val="007529E2"/>
    <w:rsid w:val="0075414C"/>
    <w:rsid w:val="00755269"/>
    <w:rsid w:val="007559D7"/>
    <w:rsid w:val="00756463"/>
    <w:rsid w:val="0075696A"/>
    <w:rsid w:val="00756A09"/>
    <w:rsid w:val="00757F62"/>
    <w:rsid w:val="007620A4"/>
    <w:rsid w:val="007628CA"/>
    <w:rsid w:val="00762D47"/>
    <w:rsid w:val="00763820"/>
    <w:rsid w:val="00765ABB"/>
    <w:rsid w:val="00767521"/>
    <w:rsid w:val="0076772F"/>
    <w:rsid w:val="0077111E"/>
    <w:rsid w:val="00771827"/>
    <w:rsid w:val="0077460C"/>
    <w:rsid w:val="007829DD"/>
    <w:rsid w:val="007832EE"/>
    <w:rsid w:val="007846A9"/>
    <w:rsid w:val="0078584F"/>
    <w:rsid w:val="007870E0"/>
    <w:rsid w:val="00790BBE"/>
    <w:rsid w:val="007919F3"/>
    <w:rsid w:val="007919F5"/>
    <w:rsid w:val="00791B98"/>
    <w:rsid w:val="00792665"/>
    <w:rsid w:val="00792DDA"/>
    <w:rsid w:val="007942DB"/>
    <w:rsid w:val="0079454D"/>
    <w:rsid w:val="007946D0"/>
    <w:rsid w:val="00795176"/>
    <w:rsid w:val="007951FE"/>
    <w:rsid w:val="007966E9"/>
    <w:rsid w:val="00797A62"/>
    <w:rsid w:val="007A151B"/>
    <w:rsid w:val="007A243A"/>
    <w:rsid w:val="007A2AB3"/>
    <w:rsid w:val="007A5194"/>
    <w:rsid w:val="007A587B"/>
    <w:rsid w:val="007A6EF3"/>
    <w:rsid w:val="007A70CA"/>
    <w:rsid w:val="007A723F"/>
    <w:rsid w:val="007A7DB8"/>
    <w:rsid w:val="007B1571"/>
    <w:rsid w:val="007B2AB4"/>
    <w:rsid w:val="007B4BF0"/>
    <w:rsid w:val="007B60E9"/>
    <w:rsid w:val="007B61A7"/>
    <w:rsid w:val="007B6AE9"/>
    <w:rsid w:val="007B6B66"/>
    <w:rsid w:val="007C0391"/>
    <w:rsid w:val="007C1E30"/>
    <w:rsid w:val="007C1EA8"/>
    <w:rsid w:val="007C3327"/>
    <w:rsid w:val="007C345B"/>
    <w:rsid w:val="007C572C"/>
    <w:rsid w:val="007C7243"/>
    <w:rsid w:val="007C7891"/>
    <w:rsid w:val="007C7B95"/>
    <w:rsid w:val="007D05B6"/>
    <w:rsid w:val="007D2F0E"/>
    <w:rsid w:val="007D594C"/>
    <w:rsid w:val="007D5DC1"/>
    <w:rsid w:val="007D74C1"/>
    <w:rsid w:val="007D7C5A"/>
    <w:rsid w:val="007D7E2A"/>
    <w:rsid w:val="007E08C1"/>
    <w:rsid w:val="007E0CA3"/>
    <w:rsid w:val="007E183A"/>
    <w:rsid w:val="007E1EC5"/>
    <w:rsid w:val="007E21DB"/>
    <w:rsid w:val="007E4D30"/>
    <w:rsid w:val="007E624F"/>
    <w:rsid w:val="007E6E47"/>
    <w:rsid w:val="007F059A"/>
    <w:rsid w:val="007F107A"/>
    <w:rsid w:val="007F2073"/>
    <w:rsid w:val="007F276C"/>
    <w:rsid w:val="007F2907"/>
    <w:rsid w:val="007F2928"/>
    <w:rsid w:val="007F2A93"/>
    <w:rsid w:val="007F2C72"/>
    <w:rsid w:val="007F3376"/>
    <w:rsid w:val="007F3CB5"/>
    <w:rsid w:val="007F51F9"/>
    <w:rsid w:val="007F5EB5"/>
    <w:rsid w:val="007F62BF"/>
    <w:rsid w:val="008000D8"/>
    <w:rsid w:val="0080246B"/>
    <w:rsid w:val="00802BF1"/>
    <w:rsid w:val="00803B00"/>
    <w:rsid w:val="00804B2D"/>
    <w:rsid w:val="00806256"/>
    <w:rsid w:val="0080710A"/>
    <w:rsid w:val="00812ACE"/>
    <w:rsid w:val="00817128"/>
    <w:rsid w:val="008173F3"/>
    <w:rsid w:val="0082009C"/>
    <w:rsid w:val="008203AF"/>
    <w:rsid w:val="00820F5F"/>
    <w:rsid w:val="0082320F"/>
    <w:rsid w:val="00824AE3"/>
    <w:rsid w:val="0082714E"/>
    <w:rsid w:val="00830DA6"/>
    <w:rsid w:val="00830E16"/>
    <w:rsid w:val="008314B4"/>
    <w:rsid w:val="00831ECF"/>
    <w:rsid w:val="00831FE0"/>
    <w:rsid w:val="00832946"/>
    <w:rsid w:val="00833C4C"/>
    <w:rsid w:val="00835698"/>
    <w:rsid w:val="0083708F"/>
    <w:rsid w:val="008416D2"/>
    <w:rsid w:val="00843CAE"/>
    <w:rsid w:val="00843D9C"/>
    <w:rsid w:val="0084604E"/>
    <w:rsid w:val="0084693F"/>
    <w:rsid w:val="00847DC9"/>
    <w:rsid w:val="0085011E"/>
    <w:rsid w:val="00850F48"/>
    <w:rsid w:val="008511FC"/>
    <w:rsid w:val="00852C26"/>
    <w:rsid w:val="00853B13"/>
    <w:rsid w:val="00853C43"/>
    <w:rsid w:val="00853FA7"/>
    <w:rsid w:val="00855746"/>
    <w:rsid w:val="00855EB7"/>
    <w:rsid w:val="0085690A"/>
    <w:rsid w:val="00856A84"/>
    <w:rsid w:val="00856ACE"/>
    <w:rsid w:val="00857B67"/>
    <w:rsid w:val="00860C8E"/>
    <w:rsid w:val="008623FE"/>
    <w:rsid w:val="00862B71"/>
    <w:rsid w:val="0086489F"/>
    <w:rsid w:val="00866D12"/>
    <w:rsid w:val="00867B58"/>
    <w:rsid w:val="00870359"/>
    <w:rsid w:val="00870389"/>
    <w:rsid w:val="00872CC4"/>
    <w:rsid w:val="00872E0D"/>
    <w:rsid w:val="00873170"/>
    <w:rsid w:val="00873EC9"/>
    <w:rsid w:val="008741B8"/>
    <w:rsid w:val="0087547A"/>
    <w:rsid w:val="008765F2"/>
    <w:rsid w:val="00876B11"/>
    <w:rsid w:val="00877BD8"/>
    <w:rsid w:val="00881C66"/>
    <w:rsid w:val="00882BA8"/>
    <w:rsid w:val="008838CA"/>
    <w:rsid w:val="00884E42"/>
    <w:rsid w:val="00886D2C"/>
    <w:rsid w:val="00887789"/>
    <w:rsid w:val="00887DEA"/>
    <w:rsid w:val="0089143C"/>
    <w:rsid w:val="00891BB4"/>
    <w:rsid w:val="0089212F"/>
    <w:rsid w:val="00892A5B"/>
    <w:rsid w:val="0089398E"/>
    <w:rsid w:val="0089442C"/>
    <w:rsid w:val="008956AC"/>
    <w:rsid w:val="008A05C9"/>
    <w:rsid w:val="008A0CB5"/>
    <w:rsid w:val="008A307C"/>
    <w:rsid w:val="008A537F"/>
    <w:rsid w:val="008A60C8"/>
    <w:rsid w:val="008A6644"/>
    <w:rsid w:val="008A67A0"/>
    <w:rsid w:val="008B21F5"/>
    <w:rsid w:val="008B49FC"/>
    <w:rsid w:val="008B5CD2"/>
    <w:rsid w:val="008B6495"/>
    <w:rsid w:val="008B75E3"/>
    <w:rsid w:val="008B7ED3"/>
    <w:rsid w:val="008C0595"/>
    <w:rsid w:val="008C14E6"/>
    <w:rsid w:val="008C1AEB"/>
    <w:rsid w:val="008C29D2"/>
    <w:rsid w:val="008C2BAE"/>
    <w:rsid w:val="008C3C7A"/>
    <w:rsid w:val="008C3DCE"/>
    <w:rsid w:val="008C400B"/>
    <w:rsid w:val="008C4073"/>
    <w:rsid w:val="008C4B66"/>
    <w:rsid w:val="008C4DD0"/>
    <w:rsid w:val="008C4EB2"/>
    <w:rsid w:val="008C5085"/>
    <w:rsid w:val="008C6A58"/>
    <w:rsid w:val="008C7331"/>
    <w:rsid w:val="008C7380"/>
    <w:rsid w:val="008C7619"/>
    <w:rsid w:val="008C7DF2"/>
    <w:rsid w:val="008D038C"/>
    <w:rsid w:val="008D12DF"/>
    <w:rsid w:val="008D1783"/>
    <w:rsid w:val="008D1F70"/>
    <w:rsid w:val="008D3142"/>
    <w:rsid w:val="008D41F0"/>
    <w:rsid w:val="008D4490"/>
    <w:rsid w:val="008D5272"/>
    <w:rsid w:val="008D5438"/>
    <w:rsid w:val="008D64FD"/>
    <w:rsid w:val="008D65E1"/>
    <w:rsid w:val="008D7920"/>
    <w:rsid w:val="008D7D56"/>
    <w:rsid w:val="008D7F8B"/>
    <w:rsid w:val="008E0ED8"/>
    <w:rsid w:val="008E12D2"/>
    <w:rsid w:val="008E1D42"/>
    <w:rsid w:val="008E1E15"/>
    <w:rsid w:val="008E291B"/>
    <w:rsid w:val="008E40C1"/>
    <w:rsid w:val="008E48D8"/>
    <w:rsid w:val="008E50F2"/>
    <w:rsid w:val="008E6D6F"/>
    <w:rsid w:val="008F0710"/>
    <w:rsid w:val="008F1522"/>
    <w:rsid w:val="008F1D54"/>
    <w:rsid w:val="008F20B3"/>
    <w:rsid w:val="008F2610"/>
    <w:rsid w:val="008F328D"/>
    <w:rsid w:val="008F4A15"/>
    <w:rsid w:val="008F4AFA"/>
    <w:rsid w:val="008F5876"/>
    <w:rsid w:val="008F718D"/>
    <w:rsid w:val="008F7D53"/>
    <w:rsid w:val="0090095A"/>
    <w:rsid w:val="009026DD"/>
    <w:rsid w:val="00902700"/>
    <w:rsid w:val="0090291D"/>
    <w:rsid w:val="009032CD"/>
    <w:rsid w:val="009039BE"/>
    <w:rsid w:val="009049EE"/>
    <w:rsid w:val="009051CB"/>
    <w:rsid w:val="009054E4"/>
    <w:rsid w:val="0090591C"/>
    <w:rsid w:val="00906793"/>
    <w:rsid w:val="00907421"/>
    <w:rsid w:val="00910C32"/>
    <w:rsid w:val="00910D14"/>
    <w:rsid w:val="00911A91"/>
    <w:rsid w:val="00911CAD"/>
    <w:rsid w:val="00913D56"/>
    <w:rsid w:val="009141DA"/>
    <w:rsid w:val="00914F22"/>
    <w:rsid w:val="00915316"/>
    <w:rsid w:val="00915B46"/>
    <w:rsid w:val="00921249"/>
    <w:rsid w:val="009215E8"/>
    <w:rsid w:val="00921A86"/>
    <w:rsid w:val="00921F60"/>
    <w:rsid w:val="0092308A"/>
    <w:rsid w:val="00923394"/>
    <w:rsid w:val="009247FC"/>
    <w:rsid w:val="0092566E"/>
    <w:rsid w:val="009258B5"/>
    <w:rsid w:val="00926396"/>
    <w:rsid w:val="00926715"/>
    <w:rsid w:val="009267A3"/>
    <w:rsid w:val="00926BD8"/>
    <w:rsid w:val="009274E6"/>
    <w:rsid w:val="009317CD"/>
    <w:rsid w:val="00933AAD"/>
    <w:rsid w:val="009358BB"/>
    <w:rsid w:val="00935DB0"/>
    <w:rsid w:val="00936C76"/>
    <w:rsid w:val="00937080"/>
    <w:rsid w:val="009378DE"/>
    <w:rsid w:val="00940BA6"/>
    <w:rsid w:val="009420D8"/>
    <w:rsid w:val="009424C9"/>
    <w:rsid w:val="009438E8"/>
    <w:rsid w:val="00944503"/>
    <w:rsid w:val="0095000A"/>
    <w:rsid w:val="00950430"/>
    <w:rsid w:val="00950E45"/>
    <w:rsid w:val="00955B9C"/>
    <w:rsid w:val="00962915"/>
    <w:rsid w:val="00965ABB"/>
    <w:rsid w:val="00965CD6"/>
    <w:rsid w:val="0096630B"/>
    <w:rsid w:val="00966DAC"/>
    <w:rsid w:val="00967316"/>
    <w:rsid w:val="009678D3"/>
    <w:rsid w:val="0097021A"/>
    <w:rsid w:val="00970B82"/>
    <w:rsid w:val="00970E6B"/>
    <w:rsid w:val="00970F87"/>
    <w:rsid w:val="00971BC2"/>
    <w:rsid w:val="00971BFA"/>
    <w:rsid w:val="009723C8"/>
    <w:rsid w:val="00972438"/>
    <w:rsid w:val="00973E4B"/>
    <w:rsid w:val="009741DD"/>
    <w:rsid w:val="00974D1E"/>
    <w:rsid w:val="0097553F"/>
    <w:rsid w:val="009766EA"/>
    <w:rsid w:val="00977EFB"/>
    <w:rsid w:val="009806A9"/>
    <w:rsid w:val="00980E89"/>
    <w:rsid w:val="00983FCB"/>
    <w:rsid w:val="00987420"/>
    <w:rsid w:val="00987E0B"/>
    <w:rsid w:val="00987F79"/>
    <w:rsid w:val="0099001A"/>
    <w:rsid w:val="00991AC8"/>
    <w:rsid w:val="00991B46"/>
    <w:rsid w:val="00991F62"/>
    <w:rsid w:val="00992438"/>
    <w:rsid w:val="00992A48"/>
    <w:rsid w:val="00993D22"/>
    <w:rsid w:val="00994903"/>
    <w:rsid w:val="00995D2D"/>
    <w:rsid w:val="009962EF"/>
    <w:rsid w:val="00997E86"/>
    <w:rsid w:val="009A0046"/>
    <w:rsid w:val="009A1028"/>
    <w:rsid w:val="009A3749"/>
    <w:rsid w:val="009A3F06"/>
    <w:rsid w:val="009A493E"/>
    <w:rsid w:val="009A54F5"/>
    <w:rsid w:val="009A7AEA"/>
    <w:rsid w:val="009B3A2A"/>
    <w:rsid w:val="009B44DB"/>
    <w:rsid w:val="009B5C07"/>
    <w:rsid w:val="009B6029"/>
    <w:rsid w:val="009B646B"/>
    <w:rsid w:val="009B6C86"/>
    <w:rsid w:val="009B79EA"/>
    <w:rsid w:val="009C2BC2"/>
    <w:rsid w:val="009C316B"/>
    <w:rsid w:val="009C5673"/>
    <w:rsid w:val="009C5977"/>
    <w:rsid w:val="009C5A90"/>
    <w:rsid w:val="009C685D"/>
    <w:rsid w:val="009C6F30"/>
    <w:rsid w:val="009D0588"/>
    <w:rsid w:val="009D0A22"/>
    <w:rsid w:val="009D1EE5"/>
    <w:rsid w:val="009D2705"/>
    <w:rsid w:val="009D3BD8"/>
    <w:rsid w:val="009D448A"/>
    <w:rsid w:val="009D4779"/>
    <w:rsid w:val="009D59ED"/>
    <w:rsid w:val="009D72F0"/>
    <w:rsid w:val="009D7310"/>
    <w:rsid w:val="009E0BD8"/>
    <w:rsid w:val="009E0CF9"/>
    <w:rsid w:val="009E2C36"/>
    <w:rsid w:val="009E2D94"/>
    <w:rsid w:val="009E2FC8"/>
    <w:rsid w:val="009E5F30"/>
    <w:rsid w:val="009E682F"/>
    <w:rsid w:val="009F0C4C"/>
    <w:rsid w:val="009F1C74"/>
    <w:rsid w:val="009F3B81"/>
    <w:rsid w:val="009F438C"/>
    <w:rsid w:val="009F48C1"/>
    <w:rsid w:val="009F4D84"/>
    <w:rsid w:val="009F5CD5"/>
    <w:rsid w:val="009F5D5B"/>
    <w:rsid w:val="00A0168E"/>
    <w:rsid w:val="00A016AD"/>
    <w:rsid w:val="00A02CC4"/>
    <w:rsid w:val="00A037EA"/>
    <w:rsid w:val="00A0438F"/>
    <w:rsid w:val="00A0515B"/>
    <w:rsid w:val="00A07737"/>
    <w:rsid w:val="00A1055F"/>
    <w:rsid w:val="00A106B2"/>
    <w:rsid w:val="00A10D81"/>
    <w:rsid w:val="00A110BB"/>
    <w:rsid w:val="00A11BA1"/>
    <w:rsid w:val="00A12607"/>
    <w:rsid w:val="00A1297C"/>
    <w:rsid w:val="00A12C82"/>
    <w:rsid w:val="00A12F3D"/>
    <w:rsid w:val="00A15050"/>
    <w:rsid w:val="00A15163"/>
    <w:rsid w:val="00A16950"/>
    <w:rsid w:val="00A16A42"/>
    <w:rsid w:val="00A1764B"/>
    <w:rsid w:val="00A17C7B"/>
    <w:rsid w:val="00A20BD9"/>
    <w:rsid w:val="00A21B22"/>
    <w:rsid w:val="00A22318"/>
    <w:rsid w:val="00A248F0"/>
    <w:rsid w:val="00A24D89"/>
    <w:rsid w:val="00A2512C"/>
    <w:rsid w:val="00A25C3B"/>
    <w:rsid w:val="00A26CE8"/>
    <w:rsid w:val="00A300A5"/>
    <w:rsid w:val="00A32FF1"/>
    <w:rsid w:val="00A34235"/>
    <w:rsid w:val="00A351C0"/>
    <w:rsid w:val="00A35578"/>
    <w:rsid w:val="00A3610B"/>
    <w:rsid w:val="00A36577"/>
    <w:rsid w:val="00A3727E"/>
    <w:rsid w:val="00A37498"/>
    <w:rsid w:val="00A37E14"/>
    <w:rsid w:val="00A42642"/>
    <w:rsid w:val="00A42CA3"/>
    <w:rsid w:val="00A430C2"/>
    <w:rsid w:val="00A441F3"/>
    <w:rsid w:val="00A46476"/>
    <w:rsid w:val="00A46A2A"/>
    <w:rsid w:val="00A47866"/>
    <w:rsid w:val="00A50FCF"/>
    <w:rsid w:val="00A5333B"/>
    <w:rsid w:val="00A5334D"/>
    <w:rsid w:val="00A545AB"/>
    <w:rsid w:val="00A54858"/>
    <w:rsid w:val="00A562E6"/>
    <w:rsid w:val="00A566C6"/>
    <w:rsid w:val="00A56B80"/>
    <w:rsid w:val="00A57493"/>
    <w:rsid w:val="00A61F24"/>
    <w:rsid w:val="00A623F6"/>
    <w:rsid w:val="00A62A53"/>
    <w:rsid w:val="00A65E21"/>
    <w:rsid w:val="00A66689"/>
    <w:rsid w:val="00A67C09"/>
    <w:rsid w:val="00A701AF"/>
    <w:rsid w:val="00A727D2"/>
    <w:rsid w:val="00A72975"/>
    <w:rsid w:val="00A73221"/>
    <w:rsid w:val="00A7445F"/>
    <w:rsid w:val="00A74E62"/>
    <w:rsid w:val="00A75311"/>
    <w:rsid w:val="00A7597D"/>
    <w:rsid w:val="00A75C96"/>
    <w:rsid w:val="00A76D4C"/>
    <w:rsid w:val="00A77B27"/>
    <w:rsid w:val="00A80722"/>
    <w:rsid w:val="00A81B05"/>
    <w:rsid w:val="00A824BD"/>
    <w:rsid w:val="00A82A9C"/>
    <w:rsid w:val="00A83C18"/>
    <w:rsid w:val="00A8457F"/>
    <w:rsid w:val="00A8501A"/>
    <w:rsid w:val="00A85A54"/>
    <w:rsid w:val="00A867D1"/>
    <w:rsid w:val="00A923CD"/>
    <w:rsid w:val="00A93109"/>
    <w:rsid w:val="00A93642"/>
    <w:rsid w:val="00A93938"/>
    <w:rsid w:val="00A9432C"/>
    <w:rsid w:val="00A95722"/>
    <w:rsid w:val="00A95C4E"/>
    <w:rsid w:val="00A97304"/>
    <w:rsid w:val="00A97524"/>
    <w:rsid w:val="00AA0553"/>
    <w:rsid w:val="00AA3434"/>
    <w:rsid w:val="00AA48C8"/>
    <w:rsid w:val="00AA63E5"/>
    <w:rsid w:val="00AA6E13"/>
    <w:rsid w:val="00AB06DE"/>
    <w:rsid w:val="00AB16A1"/>
    <w:rsid w:val="00AB1EB7"/>
    <w:rsid w:val="00AB3537"/>
    <w:rsid w:val="00AB3DB1"/>
    <w:rsid w:val="00AB3E3E"/>
    <w:rsid w:val="00AB415D"/>
    <w:rsid w:val="00AB42AC"/>
    <w:rsid w:val="00AB661B"/>
    <w:rsid w:val="00AB6EEF"/>
    <w:rsid w:val="00AB7CB8"/>
    <w:rsid w:val="00AC21D6"/>
    <w:rsid w:val="00AC349C"/>
    <w:rsid w:val="00AC4072"/>
    <w:rsid w:val="00AC4481"/>
    <w:rsid w:val="00AC522C"/>
    <w:rsid w:val="00AC6FE4"/>
    <w:rsid w:val="00AD1889"/>
    <w:rsid w:val="00AD1E93"/>
    <w:rsid w:val="00AD311D"/>
    <w:rsid w:val="00AD429A"/>
    <w:rsid w:val="00AD574B"/>
    <w:rsid w:val="00AD5A6A"/>
    <w:rsid w:val="00AD65C6"/>
    <w:rsid w:val="00AD68C8"/>
    <w:rsid w:val="00AD6D88"/>
    <w:rsid w:val="00AD7ECE"/>
    <w:rsid w:val="00AD7EEF"/>
    <w:rsid w:val="00AE0988"/>
    <w:rsid w:val="00AE3E7D"/>
    <w:rsid w:val="00AE666F"/>
    <w:rsid w:val="00AE70AA"/>
    <w:rsid w:val="00AE74C7"/>
    <w:rsid w:val="00AE7F9F"/>
    <w:rsid w:val="00AF221A"/>
    <w:rsid w:val="00AF389D"/>
    <w:rsid w:val="00AF5873"/>
    <w:rsid w:val="00AF5F68"/>
    <w:rsid w:val="00AF674E"/>
    <w:rsid w:val="00B00BAE"/>
    <w:rsid w:val="00B0134F"/>
    <w:rsid w:val="00B04081"/>
    <w:rsid w:val="00B04982"/>
    <w:rsid w:val="00B04A13"/>
    <w:rsid w:val="00B052DD"/>
    <w:rsid w:val="00B06540"/>
    <w:rsid w:val="00B06942"/>
    <w:rsid w:val="00B06A40"/>
    <w:rsid w:val="00B10DE1"/>
    <w:rsid w:val="00B10F4B"/>
    <w:rsid w:val="00B1197F"/>
    <w:rsid w:val="00B11BF5"/>
    <w:rsid w:val="00B124D3"/>
    <w:rsid w:val="00B134E8"/>
    <w:rsid w:val="00B13A2D"/>
    <w:rsid w:val="00B1556C"/>
    <w:rsid w:val="00B1608E"/>
    <w:rsid w:val="00B164EF"/>
    <w:rsid w:val="00B17CED"/>
    <w:rsid w:val="00B20D17"/>
    <w:rsid w:val="00B24546"/>
    <w:rsid w:val="00B27B2D"/>
    <w:rsid w:val="00B3087F"/>
    <w:rsid w:val="00B316E1"/>
    <w:rsid w:val="00B33D1F"/>
    <w:rsid w:val="00B3619D"/>
    <w:rsid w:val="00B3720D"/>
    <w:rsid w:val="00B40EAB"/>
    <w:rsid w:val="00B42147"/>
    <w:rsid w:val="00B44E39"/>
    <w:rsid w:val="00B45345"/>
    <w:rsid w:val="00B4601C"/>
    <w:rsid w:val="00B46168"/>
    <w:rsid w:val="00B46ED1"/>
    <w:rsid w:val="00B5059D"/>
    <w:rsid w:val="00B50C75"/>
    <w:rsid w:val="00B514B0"/>
    <w:rsid w:val="00B51D94"/>
    <w:rsid w:val="00B51FF8"/>
    <w:rsid w:val="00B536F7"/>
    <w:rsid w:val="00B53D4A"/>
    <w:rsid w:val="00B54B2F"/>
    <w:rsid w:val="00B56E45"/>
    <w:rsid w:val="00B56F83"/>
    <w:rsid w:val="00B57FF7"/>
    <w:rsid w:val="00B60866"/>
    <w:rsid w:val="00B63034"/>
    <w:rsid w:val="00B64346"/>
    <w:rsid w:val="00B661B1"/>
    <w:rsid w:val="00B70146"/>
    <w:rsid w:val="00B72726"/>
    <w:rsid w:val="00B730A4"/>
    <w:rsid w:val="00B732D2"/>
    <w:rsid w:val="00B73C05"/>
    <w:rsid w:val="00B74FDC"/>
    <w:rsid w:val="00B75DC1"/>
    <w:rsid w:val="00B75DD0"/>
    <w:rsid w:val="00B76416"/>
    <w:rsid w:val="00B81576"/>
    <w:rsid w:val="00B81AD0"/>
    <w:rsid w:val="00B83E1F"/>
    <w:rsid w:val="00B84269"/>
    <w:rsid w:val="00B85538"/>
    <w:rsid w:val="00B8624D"/>
    <w:rsid w:val="00B86EDB"/>
    <w:rsid w:val="00B87193"/>
    <w:rsid w:val="00B90735"/>
    <w:rsid w:val="00B91063"/>
    <w:rsid w:val="00B93D6F"/>
    <w:rsid w:val="00B94276"/>
    <w:rsid w:val="00B94D60"/>
    <w:rsid w:val="00B94FF5"/>
    <w:rsid w:val="00B96393"/>
    <w:rsid w:val="00B97C8B"/>
    <w:rsid w:val="00BA0F32"/>
    <w:rsid w:val="00BA0FFD"/>
    <w:rsid w:val="00BA1256"/>
    <w:rsid w:val="00BA1B4A"/>
    <w:rsid w:val="00BA2B60"/>
    <w:rsid w:val="00BA2E80"/>
    <w:rsid w:val="00BA325F"/>
    <w:rsid w:val="00BA3D6B"/>
    <w:rsid w:val="00BA4634"/>
    <w:rsid w:val="00BA4C29"/>
    <w:rsid w:val="00BB29E9"/>
    <w:rsid w:val="00BB49D7"/>
    <w:rsid w:val="00BB4FDE"/>
    <w:rsid w:val="00BB55F6"/>
    <w:rsid w:val="00BB78E0"/>
    <w:rsid w:val="00BB7D59"/>
    <w:rsid w:val="00BC0FA5"/>
    <w:rsid w:val="00BC2089"/>
    <w:rsid w:val="00BC35ED"/>
    <w:rsid w:val="00BC370D"/>
    <w:rsid w:val="00BC374A"/>
    <w:rsid w:val="00BC38D4"/>
    <w:rsid w:val="00BC5A2D"/>
    <w:rsid w:val="00BC61EC"/>
    <w:rsid w:val="00BC7A45"/>
    <w:rsid w:val="00BD277D"/>
    <w:rsid w:val="00BD3E3C"/>
    <w:rsid w:val="00BD6733"/>
    <w:rsid w:val="00BD79EE"/>
    <w:rsid w:val="00BE0F5B"/>
    <w:rsid w:val="00BE111D"/>
    <w:rsid w:val="00BE13C4"/>
    <w:rsid w:val="00BE1BB1"/>
    <w:rsid w:val="00BE1C47"/>
    <w:rsid w:val="00BE59BB"/>
    <w:rsid w:val="00BE62C8"/>
    <w:rsid w:val="00BE7164"/>
    <w:rsid w:val="00BE7949"/>
    <w:rsid w:val="00BE7B77"/>
    <w:rsid w:val="00BF0054"/>
    <w:rsid w:val="00BF2321"/>
    <w:rsid w:val="00BF3E4A"/>
    <w:rsid w:val="00BF401B"/>
    <w:rsid w:val="00BF46EC"/>
    <w:rsid w:val="00BF4B05"/>
    <w:rsid w:val="00BF54A0"/>
    <w:rsid w:val="00BF5C4E"/>
    <w:rsid w:val="00BF5D77"/>
    <w:rsid w:val="00BF62F6"/>
    <w:rsid w:val="00BF6E3B"/>
    <w:rsid w:val="00C003AF"/>
    <w:rsid w:val="00C01C9A"/>
    <w:rsid w:val="00C0283C"/>
    <w:rsid w:val="00C02E9F"/>
    <w:rsid w:val="00C03007"/>
    <w:rsid w:val="00C0320B"/>
    <w:rsid w:val="00C048E5"/>
    <w:rsid w:val="00C04CFA"/>
    <w:rsid w:val="00C052A7"/>
    <w:rsid w:val="00C0531B"/>
    <w:rsid w:val="00C05568"/>
    <w:rsid w:val="00C0699D"/>
    <w:rsid w:val="00C10A13"/>
    <w:rsid w:val="00C10D4F"/>
    <w:rsid w:val="00C112D1"/>
    <w:rsid w:val="00C1245F"/>
    <w:rsid w:val="00C12C11"/>
    <w:rsid w:val="00C12D81"/>
    <w:rsid w:val="00C13E2F"/>
    <w:rsid w:val="00C14AC1"/>
    <w:rsid w:val="00C15466"/>
    <w:rsid w:val="00C16BD9"/>
    <w:rsid w:val="00C16C78"/>
    <w:rsid w:val="00C21330"/>
    <w:rsid w:val="00C236A2"/>
    <w:rsid w:val="00C23B04"/>
    <w:rsid w:val="00C23B17"/>
    <w:rsid w:val="00C2402D"/>
    <w:rsid w:val="00C24EE3"/>
    <w:rsid w:val="00C25CCE"/>
    <w:rsid w:val="00C27B1E"/>
    <w:rsid w:val="00C305EC"/>
    <w:rsid w:val="00C30BD6"/>
    <w:rsid w:val="00C31A2E"/>
    <w:rsid w:val="00C3216E"/>
    <w:rsid w:val="00C33110"/>
    <w:rsid w:val="00C34505"/>
    <w:rsid w:val="00C34E55"/>
    <w:rsid w:val="00C36441"/>
    <w:rsid w:val="00C36540"/>
    <w:rsid w:val="00C37691"/>
    <w:rsid w:val="00C37DCC"/>
    <w:rsid w:val="00C37EE4"/>
    <w:rsid w:val="00C4107D"/>
    <w:rsid w:val="00C434D0"/>
    <w:rsid w:val="00C44617"/>
    <w:rsid w:val="00C45F1E"/>
    <w:rsid w:val="00C45F60"/>
    <w:rsid w:val="00C466A1"/>
    <w:rsid w:val="00C466C1"/>
    <w:rsid w:val="00C470EC"/>
    <w:rsid w:val="00C5015C"/>
    <w:rsid w:val="00C505A3"/>
    <w:rsid w:val="00C51708"/>
    <w:rsid w:val="00C52F1E"/>
    <w:rsid w:val="00C5326C"/>
    <w:rsid w:val="00C532CC"/>
    <w:rsid w:val="00C54077"/>
    <w:rsid w:val="00C55360"/>
    <w:rsid w:val="00C5599F"/>
    <w:rsid w:val="00C573B3"/>
    <w:rsid w:val="00C57517"/>
    <w:rsid w:val="00C57585"/>
    <w:rsid w:val="00C57BA4"/>
    <w:rsid w:val="00C60233"/>
    <w:rsid w:val="00C6092C"/>
    <w:rsid w:val="00C6117A"/>
    <w:rsid w:val="00C61A76"/>
    <w:rsid w:val="00C61C9F"/>
    <w:rsid w:val="00C62808"/>
    <w:rsid w:val="00C62FA8"/>
    <w:rsid w:val="00C633C9"/>
    <w:rsid w:val="00C634A1"/>
    <w:rsid w:val="00C6368B"/>
    <w:rsid w:val="00C63803"/>
    <w:rsid w:val="00C647D3"/>
    <w:rsid w:val="00C64AB6"/>
    <w:rsid w:val="00C65BB9"/>
    <w:rsid w:val="00C6698D"/>
    <w:rsid w:val="00C7023E"/>
    <w:rsid w:val="00C70D40"/>
    <w:rsid w:val="00C71737"/>
    <w:rsid w:val="00C7192A"/>
    <w:rsid w:val="00C734B8"/>
    <w:rsid w:val="00C74541"/>
    <w:rsid w:val="00C74BD1"/>
    <w:rsid w:val="00C74F48"/>
    <w:rsid w:val="00C76679"/>
    <w:rsid w:val="00C771EF"/>
    <w:rsid w:val="00C8021B"/>
    <w:rsid w:val="00C80D08"/>
    <w:rsid w:val="00C81951"/>
    <w:rsid w:val="00C81A68"/>
    <w:rsid w:val="00C83021"/>
    <w:rsid w:val="00C830CD"/>
    <w:rsid w:val="00C833DF"/>
    <w:rsid w:val="00C83B67"/>
    <w:rsid w:val="00C84FF3"/>
    <w:rsid w:val="00C8516A"/>
    <w:rsid w:val="00C853B7"/>
    <w:rsid w:val="00C85B32"/>
    <w:rsid w:val="00C85C26"/>
    <w:rsid w:val="00C85E61"/>
    <w:rsid w:val="00C91AC5"/>
    <w:rsid w:val="00C9304E"/>
    <w:rsid w:val="00C939CA"/>
    <w:rsid w:val="00C93B74"/>
    <w:rsid w:val="00C94B54"/>
    <w:rsid w:val="00C94D30"/>
    <w:rsid w:val="00C95071"/>
    <w:rsid w:val="00C95CFD"/>
    <w:rsid w:val="00C96EAC"/>
    <w:rsid w:val="00C9759D"/>
    <w:rsid w:val="00C97F5E"/>
    <w:rsid w:val="00CA00A3"/>
    <w:rsid w:val="00CA0529"/>
    <w:rsid w:val="00CA1A72"/>
    <w:rsid w:val="00CA1DAA"/>
    <w:rsid w:val="00CA2435"/>
    <w:rsid w:val="00CA31C9"/>
    <w:rsid w:val="00CA33E3"/>
    <w:rsid w:val="00CA49D7"/>
    <w:rsid w:val="00CA4E46"/>
    <w:rsid w:val="00CA7534"/>
    <w:rsid w:val="00CA79E1"/>
    <w:rsid w:val="00CA7C4C"/>
    <w:rsid w:val="00CB08A2"/>
    <w:rsid w:val="00CB1B9E"/>
    <w:rsid w:val="00CB22D7"/>
    <w:rsid w:val="00CB3242"/>
    <w:rsid w:val="00CB347D"/>
    <w:rsid w:val="00CB38D4"/>
    <w:rsid w:val="00CB3F09"/>
    <w:rsid w:val="00CB6D45"/>
    <w:rsid w:val="00CB7AD0"/>
    <w:rsid w:val="00CC2004"/>
    <w:rsid w:val="00CC263E"/>
    <w:rsid w:val="00CC360F"/>
    <w:rsid w:val="00CC3F88"/>
    <w:rsid w:val="00CC4103"/>
    <w:rsid w:val="00CC4695"/>
    <w:rsid w:val="00CC55E7"/>
    <w:rsid w:val="00CC6EA8"/>
    <w:rsid w:val="00CC7E08"/>
    <w:rsid w:val="00CD1059"/>
    <w:rsid w:val="00CD1600"/>
    <w:rsid w:val="00CD171E"/>
    <w:rsid w:val="00CD2226"/>
    <w:rsid w:val="00CD2898"/>
    <w:rsid w:val="00CD2BB9"/>
    <w:rsid w:val="00CD3909"/>
    <w:rsid w:val="00CD4F09"/>
    <w:rsid w:val="00CD7CD5"/>
    <w:rsid w:val="00CE06EB"/>
    <w:rsid w:val="00CE175F"/>
    <w:rsid w:val="00CE51A0"/>
    <w:rsid w:val="00CE643D"/>
    <w:rsid w:val="00CE6F31"/>
    <w:rsid w:val="00CF0162"/>
    <w:rsid w:val="00CF10A6"/>
    <w:rsid w:val="00CF1433"/>
    <w:rsid w:val="00CF2006"/>
    <w:rsid w:val="00CF2928"/>
    <w:rsid w:val="00CF42F6"/>
    <w:rsid w:val="00CF4548"/>
    <w:rsid w:val="00CF486A"/>
    <w:rsid w:val="00CF55BF"/>
    <w:rsid w:val="00CF5BEF"/>
    <w:rsid w:val="00CF609A"/>
    <w:rsid w:val="00CF6E3E"/>
    <w:rsid w:val="00D00E81"/>
    <w:rsid w:val="00D0135D"/>
    <w:rsid w:val="00D01EEF"/>
    <w:rsid w:val="00D03AFA"/>
    <w:rsid w:val="00D03BDB"/>
    <w:rsid w:val="00D03D74"/>
    <w:rsid w:val="00D06AC9"/>
    <w:rsid w:val="00D06E75"/>
    <w:rsid w:val="00D10FBF"/>
    <w:rsid w:val="00D114FA"/>
    <w:rsid w:val="00D116B5"/>
    <w:rsid w:val="00D139A0"/>
    <w:rsid w:val="00D13A6F"/>
    <w:rsid w:val="00D14587"/>
    <w:rsid w:val="00D152DE"/>
    <w:rsid w:val="00D15534"/>
    <w:rsid w:val="00D15A38"/>
    <w:rsid w:val="00D219B8"/>
    <w:rsid w:val="00D222AB"/>
    <w:rsid w:val="00D240E9"/>
    <w:rsid w:val="00D249F2"/>
    <w:rsid w:val="00D24F0D"/>
    <w:rsid w:val="00D25158"/>
    <w:rsid w:val="00D2743A"/>
    <w:rsid w:val="00D2776B"/>
    <w:rsid w:val="00D3228D"/>
    <w:rsid w:val="00D35DC2"/>
    <w:rsid w:val="00D37A1D"/>
    <w:rsid w:val="00D4105F"/>
    <w:rsid w:val="00D4137F"/>
    <w:rsid w:val="00D414A8"/>
    <w:rsid w:val="00D41574"/>
    <w:rsid w:val="00D426ED"/>
    <w:rsid w:val="00D42ED4"/>
    <w:rsid w:val="00D447EB"/>
    <w:rsid w:val="00D4543C"/>
    <w:rsid w:val="00D454CA"/>
    <w:rsid w:val="00D459F6"/>
    <w:rsid w:val="00D46148"/>
    <w:rsid w:val="00D46FC9"/>
    <w:rsid w:val="00D51365"/>
    <w:rsid w:val="00D5268F"/>
    <w:rsid w:val="00D526AF"/>
    <w:rsid w:val="00D54323"/>
    <w:rsid w:val="00D55D76"/>
    <w:rsid w:val="00D568CE"/>
    <w:rsid w:val="00D5729E"/>
    <w:rsid w:val="00D57CB4"/>
    <w:rsid w:val="00D62369"/>
    <w:rsid w:val="00D62934"/>
    <w:rsid w:val="00D62F30"/>
    <w:rsid w:val="00D65943"/>
    <w:rsid w:val="00D674A3"/>
    <w:rsid w:val="00D70CD4"/>
    <w:rsid w:val="00D72B25"/>
    <w:rsid w:val="00D72C02"/>
    <w:rsid w:val="00D72FAF"/>
    <w:rsid w:val="00D73ECE"/>
    <w:rsid w:val="00D74620"/>
    <w:rsid w:val="00D75DE2"/>
    <w:rsid w:val="00D760A9"/>
    <w:rsid w:val="00D76262"/>
    <w:rsid w:val="00D770D4"/>
    <w:rsid w:val="00D771FA"/>
    <w:rsid w:val="00D81720"/>
    <w:rsid w:val="00D81F4D"/>
    <w:rsid w:val="00D82328"/>
    <w:rsid w:val="00D83C7F"/>
    <w:rsid w:val="00D8553D"/>
    <w:rsid w:val="00D86CB6"/>
    <w:rsid w:val="00D91F31"/>
    <w:rsid w:val="00D9234C"/>
    <w:rsid w:val="00D95A5D"/>
    <w:rsid w:val="00DA2018"/>
    <w:rsid w:val="00DA37E0"/>
    <w:rsid w:val="00DA3C7F"/>
    <w:rsid w:val="00DA4696"/>
    <w:rsid w:val="00DA4746"/>
    <w:rsid w:val="00DA6690"/>
    <w:rsid w:val="00DA6F73"/>
    <w:rsid w:val="00DA720A"/>
    <w:rsid w:val="00DB1027"/>
    <w:rsid w:val="00DB1641"/>
    <w:rsid w:val="00DB2102"/>
    <w:rsid w:val="00DB24CC"/>
    <w:rsid w:val="00DB35F2"/>
    <w:rsid w:val="00DB4156"/>
    <w:rsid w:val="00DB471D"/>
    <w:rsid w:val="00DB4B48"/>
    <w:rsid w:val="00DB63D0"/>
    <w:rsid w:val="00DB72B0"/>
    <w:rsid w:val="00DB7BAF"/>
    <w:rsid w:val="00DC0C6A"/>
    <w:rsid w:val="00DC17B5"/>
    <w:rsid w:val="00DC17CA"/>
    <w:rsid w:val="00DC1D63"/>
    <w:rsid w:val="00DC2A6B"/>
    <w:rsid w:val="00DC3575"/>
    <w:rsid w:val="00DC3783"/>
    <w:rsid w:val="00DC5059"/>
    <w:rsid w:val="00DC5B7C"/>
    <w:rsid w:val="00DD031B"/>
    <w:rsid w:val="00DD0F08"/>
    <w:rsid w:val="00DD1B1D"/>
    <w:rsid w:val="00DD2DC6"/>
    <w:rsid w:val="00DD36A7"/>
    <w:rsid w:val="00DD6799"/>
    <w:rsid w:val="00DD6C69"/>
    <w:rsid w:val="00DD6F96"/>
    <w:rsid w:val="00DD7822"/>
    <w:rsid w:val="00DE3BE8"/>
    <w:rsid w:val="00DE4D33"/>
    <w:rsid w:val="00DE58DE"/>
    <w:rsid w:val="00DE63D2"/>
    <w:rsid w:val="00DE6BE4"/>
    <w:rsid w:val="00DE787A"/>
    <w:rsid w:val="00DF06C5"/>
    <w:rsid w:val="00DF0879"/>
    <w:rsid w:val="00DF0B44"/>
    <w:rsid w:val="00DF1D9D"/>
    <w:rsid w:val="00DF28DB"/>
    <w:rsid w:val="00DF4153"/>
    <w:rsid w:val="00DF55C9"/>
    <w:rsid w:val="00DF5855"/>
    <w:rsid w:val="00DF708C"/>
    <w:rsid w:val="00DF7EA7"/>
    <w:rsid w:val="00E00873"/>
    <w:rsid w:val="00E0189A"/>
    <w:rsid w:val="00E01A46"/>
    <w:rsid w:val="00E037CB"/>
    <w:rsid w:val="00E05019"/>
    <w:rsid w:val="00E051A3"/>
    <w:rsid w:val="00E059E3"/>
    <w:rsid w:val="00E059F2"/>
    <w:rsid w:val="00E07E89"/>
    <w:rsid w:val="00E10D4E"/>
    <w:rsid w:val="00E12B5A"/>
    <w:rsid w:val="00E13874"/>
    <w:rsid w:val="00E13C98"/>
    <w:rsid w:val="00E148CA"/>
    <w:rsid w:val="00E14AFA"/>
    <w:rsid w:val="00E14D20"/>
    <w:rsid w:val="00E15A3B"/>
    <w:rsid w:val="00E171E9"/>
    <w:rsid w:val="00E17944"/>
    <w:rsid w:val="00E2160F"/>
    <w:rsid w:val="00E21B2C"/>
    <w:rsid w:val="00E221DB"/>
    <w:rsid w:val="00E223AE"/>
    <w:rsid w:val="00E223E8"/>
    <w:rsid w:val="00E228F7"/>
    <w:rsid w:val="00E22A31"/>
    <w:rsid w:val="00E2458D"/>
    <w:rsid w:val="00E25260"/>
    <w:rsid w:val="00E27BAE"/>
    <w:rsid w:val="00E313B2"/>
    <w:rsid w:val="00E31697"/>
    <w:rsid w:val="00E31A82"/>
    <w:rsid w:val="00E32625"/>
    <w:rsid w:val="00E32F54"/>
    <w:rsid w:val="00E331C5"/>
    <w:rsid w:val="00E33375"/>
    <w:rsid w:val="00E3419C"/>
    <w:rsid w:val="00E36704"/>
    <w:rsid w:val="00E37B1E"/>
    <w:rsid w:val="00E41B5D"/>
    <w:rsid w:val="00E42067"/>
    <w:rsid w:val="00E42E2D"/>
    <w:rsid w:val="00E436C0"/>
    <w:rsid w:val="00E44554"/>
    <w:rsid w:val="00E45858"/>
    <w:rsid w:val="00E45FED"/>
    <w:rsid w:val="00E46690"/>
    <w:rsid w:val="00E50AD4"/>
    <w:rsid w:val="00E51BE4"/>
    <w:rsid w:val="00E51D54"/>
    <w:rsid w:val="00E51D8E"/>
    <w:rsid w:val="00E51E4F"/>
    <w:rsid w:val="00E54E79"/>
    <w:rsid w:val="00E5713F"/>
    <w:rsid w:val="00E574A9"/>
    <w:rsid w:val="00E57959"/>
    <w:rsid w:val="00E627A2"/>
    <w:rsid w:val="00E6389C"/>
    <w:rsid w:val="00E64FBD"/>
    <w:rsid w:val="00E664D7"/>
    <w:rsid w:val="00E708E9"/>
    <w:rsid w:val="00E71721"/>
    <w:rsid w:val="00E72535"/>
    <w:rsid w:val="00E72D9F"/>
    <w:rsid w:val="00E733CE"/>
    <w:rsid w:val="00E748C2"/>
    <w:rsid w:val="00E74917"/>
    <w:rsid w:val="00E752CE"/>
    <w:rsid w:val="00E7665F"/>
    <w:rsid w:val="00E77FAA"/>
    <w:rsid w:val="00E80763"/>
    <w:rsid w:val="00E809F7"/>
    <w:rsid w:val="00E80AC9"/>
    <w:rsid w:val="00E8299E"/>
    <w:rsid w:val="00E82B12"/>
    <w:rsid w:val="00E82FDA"/>
    <w:rsid w:val="00E82FDF"/>
    <w:rsid w:val="00E83A45"/>
    <w:rsid w:val="00E8493D"/>
    <w:rsid w:val="00E86C31"/>
    <w:rsid w:val="00E911B7"/>
    <w:rsid w:val="00E92594"/>
    <w:rsid w:val="00E92B3F"/>
    <w:rsid w:val="00E93522"/>
    <w:rsid w:val="00E937DE"/>
    <w:rsid w:val="00E93C52"/>
    <w:rsid w:val="00E95C0D"/>
    <w:rsid w:val="00E95C75"/>
    <w:rsid w:val="00E963A7"/>
    <w:rsid w:val="00E97BE1"/>
    <w:rsid w:val="00EA0512"/>
    <w:rsid w:val="00EA0DF3"/>
    <w:rsid w:val="00EA257D"/>
    <w:rsid w:val="00EA30F3"/>
    <w:rsid w:val="00EA3D8D"/>
    <w:rsid w:val="00EA43FD"/>
    <w:rsid w:val="00EA4467"/>
    <w:rsid w:val="00EA453B"/>
    <w:rsid w:val="00EA51CD"/>
    <w:rsid w:val="00EA6D2D"/>
    <w:rsid w:val="00EB00C2"/>
    <w:rsid w:val="00EB084C"/>
    <w:rsid w:val="00EB100F"/>
    <w:rsid w:val="00EB223E"/>
    <w:rsid w:val="00EB5267"/>
    <w:rsid w:val="00EB54C3"/>
    <w:rsid w:val="00EB5930"/>
    <w:rsid w:val="00EB723C"/>
    <w:rsid w:val="00EC03E2"/>
    <w:rsid w:val="00EC05DD"/>
    <w:rsid w:val="00EC179A"/>
    <w:rsid w:val="00EC1F8F"/>
    <w:rsid w:val="00EC679D"/>
    <w:rsid w:val="00ED0248"/>
    <w:rsid w:val="00ED0A6E"/>
    <w:rsid w:val="00ED233A"/>
    <w:rsid w:val="00ED287D"/>
    <w:rsid w:val="00ED2E02"/>
    <w:rsid w:val="00ED46E5"/>
    <w:rsid w:val="00ED471B"/>
    <w:rsid w:val="00ED53E5"/>
    <w:rsid w:val="00ED5C31"/>
    <w:rsid w:val="00ED5E38"/>
    <w:rsid w:val="00ED7EE4"/>
    <w:rsid w:val="00EE041A"/>
    <w:rsid w:val="00EE184B"/>
    <w:rsid w:val="00EE442A"/>
    <w:rsid w:val="00EE58C8"/>
    <w:rsid w:val="00EE64F8"/>
    <w:rsid w:val="00EF08DF"/>
    <w:rsid w:val="00EF3045"/>
    <w:rsid w:val="00EF352E"/>
    <w:rsid w:val="00EF3764"/>
    <w:rsid w:val="00EF4AEA"/>
    <w:rsid w:val="00EF6368"/>
    <w:rsid w:val="00EF7108"/>
    <w:rsid w:val="00F0085B"/>
    <w:rsid w:val="00F0242D"/>
    <w:rsid w:val="00F02A61"/>
    <w:rsid w:val="00F02A9C"/>
    <w:rsid w:val="00F038DC"/>
    <w:rsid w:val="00F044FF"/>
    <w:rsid w:val="00F05526"/>
    <w:rsid w:val="00F0587B"/>
    <w:rsid w:val="00F102AC"/>
    <w:rsid w:val="00F1052D"/>
    <w:rsid w:val="00F126F3"/>
    <w:rsid w:val="00F12C2B"/>
    <w:rsid w:val="00F12F2F"/>
    <w:rsid w:val="00F139DF"/>
    <w:rsid w:val="00F141A6"/>
    <w:rsid w:val="00F15B99"/>
    <w:rsid w:val="00F16469"/>
    <w:rsid w:val="00F16A4F"/>
    <w:rsid w:val="00F16C9F"/>
    <w:rsid w:val="00F2019D"/>
    <w:rsid w:val="00F23F8B"/>
    <w:rsid w:val="00F300A4"/>
    <w:rsid w:val="00F31F86"/>
    <w:rsid w:val="00F323A0"/>
    <w:rsid w:val="00F32518"/>
    <w:rsid w:val="00F339E3"/>
    <w:rsid w:val="00F3407A"/>
    <w:rsid w:val="00F342CF"/>
    <w:rsid w:val="00F34608"/>
    <w:rsid w:val="00F351BF"/>
    <w:rsid w:val="00F36121"/>
    <w:rsid w:val="00F36550"/>
    <w:rsid w:val="00F410E6"/>
    <w:rsid w:val="00F415D2"/>
    <w:rsid w:val="00F43633"/>
    <w:rsid w:val="00F438AF"/>
    <w:rsid w:val="00F43BBC"/>
    <w:rsid w:val="00F448E6"/>
    <w:rsid w:val="00F45F9B"/>
    <w:rsid w:val="00F46542"/>
    <w:rsid w:val="00F46D12"/>
    <w:rsid w:val="00F476FE"/>
    <w:rsid w:val="00F47C06"/>
    <w:rsid w:val="00F50D58"/>
    <w:rsid w:val="00F5227A"/>
    <w:rsid w:val="00F54761"/>
    <w:rsid w:val="00F56A9F"/>
    <w:rsid w:val="00F613F3"/>
    <w:rsid w:val="00F6210D"/>
    <w:rsid w:val="00F62472"/>
    <w:rsid w:val="00F63276"/>
    <w:rsid w:val="00F63303"/>
    <w:rsid w:val="00F63862"/>
    <w:rsid w:val="00F6595C"/>
    <w:rsid w:val="00F660CC"/>
    <w:rsid w:val="00F67C5B"/>
    <w:rsid w:val="00F701F7"/>
    <w:rsid w:val="00F70730"/>
    <w:rsid w:val="00F708A2"/>
    <w:rsid w:val="00F70D40"/>
    <w:rsid w:val="00F71B8A"/>
    <w:rsid w:val="00F724B6"/>
    <w:rsid w:val="00F73F13"/>
    <w:rsid w:val="00F75269"/>
    <w:rsid w:val="00F75C30"/>
    <w:rsid w:val="00F76493"/>
    <w:rsid w:val="00F76786"/>
    <w:rsid w:val="00F771B4"/>
    <w:rsid w:val="00F772C2"/>
    <w:rsid w:val="00F803CA"/>
    <w:rsid w:val="00F81485"/>
    <w:rsid w:val="00F815C1"/>
    <w:rsid w:val="00F81A06"/>
    <w:rsid w:val="00F829BC"/>
    <w:rsid w:val="00F846A3"/>
    <w:rsid w:val="00F84EF9"/>
    <w:rsid w:val="00F8677B"/>
    <w:rsid w:val="00F86D95"/>
    <w:rsid w:val="00F9144C"/>
    <w:rsid w:val="00F917EA"/>
    <w:rsid w:val="00F9317A"/>
    <w:rsid w:val="00F9334C"/>
    <w:rsid w:val="00F9381F"/>
    <w:rsid w:val="00F9389A"/>
    <w:rsid w:val="00F939A3"/>
    <w:rsid w:val="00F955A0"/>
    <w:rsid w:val="00F9756F"/>
    <w:rsid w:val="00F97A96"/>
    <w:rsid w:val="00FA17DD"/>
    <w:rsid w:val="00FA22CD"/>
    <w:rsid w:val="00FA2B76"/>
    <w:rsid w:val="00FA2EFF"/>
    <w:rsid w:val="00FA3123"/>
    <w:rsid w:val="00FA5C44"/>
    <w:rsid w:val="00FA7686"/>
    <w:rsid w:val="00FB023C"/>
    <w:rsid w:val="00FB03AF"/>
    <w:rsid w:val="00FB17E2"/>
    <w:rsid w:val="00FB1842"/>
    <w:rsid w:val="00FB19AA"/>
    <w:rsid w:val="00FB220C"/>
    <w:rsid w:val="00FB46D3"/>
    <w:rsid w:val="00FB4822"/>
    <w:rsid w:val="00FB750A"/>
    <w:rsid w:val="00FB7617"/>
    <w:rsid w:val="00FB7CF3"/>
    <w:rsid w:val="00FC000D"/>
    <w:rsid w:val="00FC1CBF"/>
    <w:rsid w:val="00FC5012"/>
    <w:rsid w:val="00FC57BC"/>
    <w:rsid w:val="00FC5C9D"/>
    <w:rsid w:val="00FC5D4E"/>
    <w:rsid w:val="00FC60E5"/>
    <w:rsid w:val="00FC6D46"/>
    <w:rsid w:val="00FC7BCE"/>
    <w:rsid w:val="00FD03D5"/>
    <w:rsid w:val="00FD1253"/>
    <w:rsid w:val="00FD34E6"/>
    <w:rsid w:val="00FD36E5"/>
    <w:rsid w:val="00FD3895"/>
    <w:rsid w:val="00FD4403"/>
    <w:rsid w:val="00FD46C0"/>
    <w:rsid w:val="00FD5A86"/>
    <w:rsid w:val="00FD734A"/>
    <w:rsid w:val="00FE3FF8"/>
    <w:rsid w:val="00FE5ADB"/>
    <w:rsid w:val="00FE5F2D"/>
    <w:rsid w:val="00FE7E4A"/>
    <w:rsid w:val="00FF2406"/>
    <w:rsid w:val="00FF38A3"/>
    <w:rsid w:val="00FF4DA3"/>
    <w:rsid w:val="00FF5546"/>
    <w:rsid w:val="00FF6426"/>
    <w:rsid w:val="00FF71E5"/>
    <w:rsid w:val="00FF771C"/>
    <w:rsid w:val="01093DA6"/>
    <w:rsid w:val="016C3366"/>
    <w:rsid w:val="01BB6DB8"/>
    <w:rsid w:val="01C37EBF"/>
    <w:rsid w:val="02D5554F"/>
    <w:rsid w:val="03305DCC"/>
    <w:rsid w:val="03891B07"/>
    <w:rsid w:val="03DC73F7"/>
    <w:rsid w:val="04545279"/>
    <w:rsid w:val="04C31D16"/>
    <w:rsid w:val="04FB10ED"/>
    <w:rsid w:val="05CF2734"/>
    <w:rsid w:val="06007EB3"/>
    <w:rsid w:val="065C1DCF"/>
    <w:rsid w:val="067710F6"/>
    <w:rsid w:val="06C54DF4"/>
    <w:rsid w:val="072478A7"/>
    <w:rsid w:val="073100C4"/>
    <w:rsid w:val="075407CF"/>
    <w:rsid w:val="08114D29"/>
    <w:rsid w:val="091B5EA0"/>
    <w:rsid w:val="092578C6"/>
    <w:rsid w:val="09912581"/>
    <w:rsid w:val="0A6A7CD8"/>
    <w:rsid w:val="0A9F6B32"/>
    <w:rsid w:val="0AF2327F"/>
    <w:rsid w:val="0B143F00"/>
    <w:rsid w:val="0B3A3B5A"/>
    <w:rsid w:val="0B8956BA"/>
    <w:rsid w:val="0BD459B0"/>
    <w:rsid w:val="0C0B043A"/>
    <w:rsid w:val="0CE81A79"/>
    <w:rsid w:val="0D0F5CE0"/>
    <w:rsid w:val="0D951E97"/>
    <w:rsid w:val="0DA90A5F"/>
    <w:rsid w:val="0E8B49F7"/>
    <w:rsid w:val="0E9B5150"/>
    <w:rsid w:val="0EF861A4"/>
    <w:rsid w:val="101A2BB5"/>
    <w:rsid w:val="102866D7"/>
    <w:rsid w:val="113B400B"/>
    <w:rsid w:val="11575A70"/>
    <w:rsid w:val="116601B5"/>
    <w:rsid w:val="11903AB9"/>
    <w:rsid w:val="11E41369"/>
    <w:rsid w:val="11EE5CC5"/>
    <w:rsid w:val="11F12103"/>
    <w:rsid w:val="12073E52"/>
    <w:rsid w:val="12863D6F"/>
    <w:rsid w:val="1291532C"/>
    <w:rsid w:val="12CF2603"/>
    <w:rsid w:val="12D126E9"/>
    <w:rsid w:val="12DC2AFB"/>
    <w:rsid w:val="13B457B3"/>
    <w:rsid w:val="13DF3485"/>
    <w:rsid w:val="14385E16"/>
    <w:rsid w:val="1467711F"/>
    <w:rsid w:val="147E504F"/>
    <w:rsid w:val="14CC5DAB"/>
    <w:rsid w:val="14EC525D"/>
    <w:rsid w:val="151A49BE"/>
    <w:rsid w:val="15434DF5"/>
    <w:rsid w:val="1569354F"/>
    <w:rsid w:val="156A6B9B"/>
    <w:rsid w:val="15E872FE"/>
    <w:rsid w:val="15FF082A"/>
    <w:rsid w:val="164C613E"/>
    <w:rsid w:val="166D0467"/>
    <w:rsid w:val="169A52CD"/>
    <w:rsid w:val="16FB364F"/>
    <w:rsid w:val="16FF1D96"/>
    <w:rsid w:val="17091991"/>
    <w:rsid w:val="1723163B"/>
    <w:rsid w:val="17367BEC"/>
    <w:rsid w:val="17D8728F"/>
    <w:rsid w:val="188218D2"/>
    <w:rsid w:val="19762FF6"/>
    <w:rsid w:val="1998604A"/>
    <w:rsid w:val="19AA14D6"/>
    <w:rsid w:val="19AB261D"/>
    <w:rsid w:val="1B34353F"/>
    <w:rsid w:val="1B56023E"/>
    <w:rsid w:val="1B7C2D85"/>
    <w:rsid w:val="1BD81253"/>
    <w:rsid w:val="1C8270CA"/>
    <w:rsid w:val="1CBF7DA3"/>
    <w:rsid w:val="1CDA35CA"/>
    <w:rsid w:val="1CF14B22"/>
    <w:rsid w:val="1CF61CB9"/>
    <w:rsid w:val="1D445D7B"/>
    <w:rsid w:val="1DC0112D"/>
    <w:rsid w:val="1DE97172"/>
    <w:rsid w:val="1E44293A"/>
    <w:rsid w:val="1F802EF5"/>
    <w:rsid w:val="1FB508EB"/>
    <w:rsid w:val="203E64B3"/>
    <w:rsid w:val="205B7613"/>
    <w:rsid w:val="20C70E45"/>
    <w:rsid w:val="219520E1"/>
    <w:rsid w:val="219F1A13"/>
    <w:rsid w:val="222F19D4"/>
    <w:rsid w:val="22306519"/>
    <w:rsid w:val="225D264A"/>
    <w:rsid w:val="226A0F39"/>
    <w:rsid w:val="227B2C2B"/>
    <w:rsid w:val="22B67EF9"/>
    <w:rsid w:val="22B7318A"/>
    <w:rsid w:val="22EC7395"/>
    <w:rsid w:val="23453EB9"/>
    <w:rsid w:val="2352537B"/>
    <w:rsid w:val="2363641D"/>
    <w:rsid w:val="23C705B8"/>
    <w:rsid w:val="23F0154D"/>
    <w:rsid w:val="23FF693D"/>
    <w:rsid w:val="247F2784"/>
    <w:rsid w:val="24E002CE"/>
    <w:rsid w:val="25BC7531"/>
    <w:rsid w:val="25F737BB"/>
    <w:rsid w:val="2615222F"/>
    <w:rsid w:val="26BE0272"/>
    <w:rsid w:val="26E7219B"/>
    <w:rsid w:val="26FE5460"/>
    <w:rsid w:val="272F0331"/>
    <w:rsid w:val="27414303"/>
    <w:rsid w:val="279A192B"/>
    <w:rsid w:val="27F121C3"/>
    <w:rsid w:val="28094329"/>
    <w:rsid w:val="28194210"/>
    <w:rsid w:val="2832166A"/>
    <w:rsid w:val="285D5CD7"/>
    <w:rsid w:val="28602008"/>
    <w:rsid w:val="28BA555A"/>
    <w:rsid w:val="29195797"/>
    <w:rsid w:val="29621161"/>
    <w:rsid w:val="29643C16"/>
    <w:rsid w:val="2A015DB1"/>
    <w:rsid w:val="2A9457F8"/>
    <w:rsid w:val="2ACA7271"/>
    <w:rsid w:val="2AE10B6C"/>
    <w:rsid w:val="2B09765C"/>
    <w:rsid w:val="2B47509C"/>
    <w:rsid w:val="2B593B19"/>
    <w:rsid w:val="2BAD74A5"/>
    <w:rsid w:val="2BD83787"/>
    <w:rsid w:val="2BF95EE9"/>
    <w:rsid w:val="2C3F01CC"/>
    <w:rsid w:val="2C575CA3"/>
    <w:rsid w:val="2C9270FB"/>
    <w:rsid w:val="2C9D0B46"/>
    <w:rsid w:val="2D90385C"/>
    <w:rsid w:val="2D990C76"/>
    <w:rsid w:val="2DCE7E40"/>
    <w:rsid w:val="2E08435B"/>
    <w:rsid w:val="2E252540"/>
    <w:rsid w:val="2E7E4481"/>
    <w:rsid w:val="2F1D1BC3"/>
    <w:rsid w:val="2F7824D5"/>
    <w:rsid w:val="30023395"/>
    <w:rsid w:val="30556006"/>
    <w:rsid w:val="306E64DA"/>
    <w:rsid w:val="307559F1"/>
    <w:rsid w:val="30996A91"/>
    <w:rsid w:val="310C2984"/>
    <w:rsid w:val="310F7237"/>
    <w:rsid w:val="3147322B"/>
    <w:rsid w:val="32304363"/>
    <w:rsid w:val="32B219D0"/>
    <w:rsid w:val="32BB6459"/>
    <w:rsid w:val="32C96A46"/>
    <w:rsid w:val="33A20CD0"/>
    <w:rsid w:val="349C279D"/>
    <w:rsid w:val="34D531F6"/>
    <w:rsid w:val="353D7DAF"/>
    <w:rsid w:val="35A07FFB"/>
    <w:rsid w:val="360F4D31"/>
    <w:rsid w:val="361B7D48"/>
    <w:rsid w:val="36970A74"/>
    <w:rsid w:val="36ED1050"/>
    <w:rsid w:val="373D6AB5"/>
    <w:rsid w:val="37771619"/>
    <w:rsid w:val="37E80C32"/>
    <w:rsid w:val="37EE774B"/>
    <w:rsid w:val="387949C0"/>
    <w:rsid w:val="38AF3D70"/>
    <w:rsid w:val="38BC3A25"/>
    <w:rsid w:val="38FC3810"/>
    <w:rsid w:val="39386684"/>
    <w:rsid w:val="393E0985"/>
    <w:rsid w:val="39D50F34"/>
    <w:rsid w:val="3A684F28"/>
    <w:rsid w:val="3A7B1AAB"/>
    <w:rsid w:val="3A7D16D9"/>
    <w:rsid w:val="3AEB6F00"/>
    <w:rsid w:val="3B2679A2"/>
    <w:rsid w:val="3B34143F"/>
    <w:rsid w:val="3B536372"/>
    <w:rsid w:val="3C502C07"/>
    <w:rsid w:val="3D191FB3"/>
    <w:rsid w:val="3D2C6EDC"/>
    <w:rsid w:val="3D72032E"/>
    <w:rsid w:val="3D752B41"/>
    <w:rsid w:val="3D770DFD"/>
    <w:rsid w:val="3D7B135A"/>
    <w:rsid w:val="3D867DBD"/>
    <w:rsid w:val="3E0D2EAA"/>
    <w:rsid w:val="3E3A0DDB"/>
    <w:rsid w:val="3E414351"/>
    <w:rsid w:val="3E8631FA"/>
    <w:rsid w:val="3EAA034E"/>
    <w:rsid w:val="3EF52476"/>
    <w:rsid w:val="3F086A1C"/>
    <w:rsid w:val="3FA12EA8"/>
    <w:rsid w:val="406A7484"/>
    <w:rsid w:val="40D572B9"/>
    <w:rsid w:val="41092BA3"/>
    <w:rsid w:val="41272BF6"/>
    <w:rsid w:val="41BE5B95"/>
    <w:rsid w:val="41CA2828"/>
    <w:rsid w:val="42012456"/>
    <w:rsid w:val="42BD4F4A"/>
    <w:rsid w:val="42CD0A4C"/>
    <w:rsid w:val="437E6B4B"/>
    <w:rsid w:val="4388387A"/>
    <w:rsid w:val="43D7253B"/>
    <w:rsid w:val="442A2D95"/>
    <w:rsid w:val="44406034"/>
    <w:rsid w:val="44AE37EC"/>
    <w:rsid w:val="44B20A90"/>
    <w:rsid w:val="457B465B"/>
    <w:rsid w:val="4626358F"/>
    <w:rsid w:val="46AE5BDF"/>
    <w:rsid w:val="475F3CAC"/>
    <w:rsid w:val="48053980"/>
    <w:rsid w:val="4845406E"/>
    <w:rsid w:val="485B5424"/>
    <w:rsid w:val="49010EE3"/>
    <w:rsid w:val="490F23A4"/>
    <w:rsid w:val="494B31CF"/>
    <w:rsid w:val="49877A78"/>
    <w:rsid w:val="4A1623FA"/>
    <w:rsid w:val="4A775339"/>
    <w:rsid w:val="4AB97E56"/>
    <w:rsid w:val="4AD04197"/>
    <w:rsid w:val="4B563B90"/>
    <w:rsid w:val="4B77071F"/>
    <w:rsid w:val="4B8825D0"/>
    <w:rsid w:val="4C25677A"/>
    <w:rsid w:val="4C4F56FE"/>
    <w:rsid w:val="4DA80917"/>
    <w:rsid w:val="4DDF4160"/>
    <w:rsid w:val="4EDC5E43"/>
    <w:rsid w:val="4F397EB0"/>
    <w:rsid w:val="4FF4375D"/>
    <w:rsid w:val="503A334B"/>
    <w:rsid w:val="504D1D42"/>
    <w:rsid w:val="5070000E"/>
    <w:rsid w:val="50883028"/>
    <w:rsid w:val="50AC27EC"/>
    <w:rsid w:val="50B657FB"/>
    <w:rsid w:val="50D202CF"/>
    <w:rsid w:val="518B53D9"/>
    <w:rsid w:val="519E79C8"/>
    <w:rsid w:val="51A62B6A"/>
    <w:rsid w:val="52064368"/>
    <w:rsid w:val="52AD2438"/>
    <w:rsid w:val="52E70B8D"/>
    <w:rsid w:val="532865A1"/>
    <w:rsid w:val="53F31BF2"/>
    <w:rsid w:val="54214B81"/>
    <w:rsid w:val="545D38AC"/>
    <w:rsid w:val="54B83361"/>
    <w:rsid w:val="54E805A8"/>
    <w:rsid w:val="556C72C0"/>
    <w:rsid w:val="559B7073"/>
    <w:rsid w:val="56663073"/>
    <w:rsid w:val="567153C7"/>
    <w:rsid w:val="5684060C"/>
    <w:rsid w:val="56B95F76"/>
    <w:rsid w:val="56F37672"/>
    <w:rsid w:val="57124D61"/>
    <w:rsid w:val="573969AD"/>
    <w:rsid w:val="575D6432"/>
    <w:rsid w:val="57615DFC"/>
    <w:rsid w:val="57641AC6"/>
    <w:rsid w:val="57AE2A46"/>
    <w:rsid w:val="57F22F4C"/>
    <w:rsid w:val="598450EF"/>
    <w:rsid w:val="59A27657"/>
    <w:rsid w:val="59B81828"/>
    <w:rsid w:val="59D87773"/>
    <w:rsid w:val="5A017791"/>
    <w:rsid w:val="5AC5476C"/>
    <w:rsid w:val="5B466BA4"/>
    <w:rsid w:val="5B606160"/>
    <w:rsid w:val="5BA413E1"/>
    <w:rsid w:val="5C200246"/>
    <w:rsid w:val="5C434309"/>
    <w:rsid w:val="5CC23668"/>
    <w:rsid w:val="5CE16602"/>
    <w:rsid w:val="5D023357"/>
    <w:rsid w:val="5D1D726E"/>
    <w:rsid w:val="5D5C351C"/>
    <w:rsid w:val="5D92774C"/>
    <w:rsid w:val="5DBA6CD8"/>
    <w:rsid w:val="5E016249"/>
    <w:rsid w:val="5E0A46DE"/>
    <w:rsid w:val="5E225183"/>
    <w:rsid w:val="5E512C3F"/>
    <w:rsid w:val="5E6B3288"/>
    <w:rsid w:val="5E6E4AAA"/>
    <w:rsid w:val="5E772C07"/>
    <w:rsid w:val="5EB24B73"/>
    <w:rsid w:val="602B3A6D"/>
    <w:rsid w:val="60840DAA"/>
    <w:rsid w:val="60981E7D"/>
    <w:rsid w:val="60C51233"/>
    <w:rsid w:val="612707FC"/>
    <w:rsid w:val="61423EE8"/>
    <w:rsid w:val="62510F27"/>
    <w:rsid w:val="62E73D7E"/>
    <w:rsid w:val="633C45E5"/>
    <w:rsid w:val="641D4A41"/>
    <w:rsid w:val="643E30F9"/>
    <w:rsid w:val="645F2880"/>
    <w:rsid w:val="64F2532E"/>
    <w:rsid w:val="653C7AED"/>
    <w:rsid w:val="658E1FDF"/>
    <w:rsid w:val="65EF3F2C"/>
    <w:rsid w:val="65FB18BE"/>
    <w:rsid w:val="664D5FDE"/>
    <w:rsid w:val="66544A02"/>
    <w:rsid w:val="66CF4F01"/>
    <w:rsid w:val="681C75A9"/>
    <w:rsid w:val="683217AD"/>
    <w:rsid w:val="6853730E"/>
    <w:rsid w:val="688A34F6"/>
    <w:rsid w:val="688B2F1A"/>
    <w:rsid w:val="68B14D23"/>
    <w:rsid w:val="69205B01"/>
    <w:rsid w:val="692751EA"/>
    <w:rsid w:val="69F173E2"/>
    <w:rsid w:val="6A150768"/>
    <w:rsid w:val="6A786997"/>
    <w:rsid w:val="6AEF70B3"/>
    <w:rsid w:val="6AF26E43"/>
    <w:rsid w:val="6B422AD7"/>
    <w:rsid w:val="6B6D2DAD"/>
    <w:rsid w:val="6B8A684B"/>
    <w:rsid w:val="6B960F3A"/>
    <w:rsid w:val="6BBE2B6F"/>
    <w:rsid w:val="6BD45F03"/>
    <w:rsid w:val="6C006DBC"/>
    <w:rsid w:val="6C715BF6"/>
    <w:rsid w:val="6C833039"/>
    <w:rsid w:val="6CDB7193"/>
    <w:rsid w:val="6D026BD0"/>
    <w:rsid w:val="6D8B790B"/>
    <w:rsid w:val="6D921E74"/>
    <w:rsid w:val="6DD74537"/>
    <w:rsid w:val="6DE946A4"/>
    <w:rsid w:val="6F675FE5"/>
    <w:rsid w:val="6FE57A65"/>
    <w:rsid w:val="7079289B"/>
    <w:rsid w:val="70A217A1"/>
    <w:rsid w:val="71A91057"/>
    <w:rsid w:val="71B50F02"/>
    <w:rsid w:val="71E054C4"/>
    <w:rsid w:val="71F53CEE"/>
    <w:rsid w:val="72404A40"/>
    <w:rsid w:val="72525CED"/>
    <w:rsid w:val="72AD5F33"/>
    <w:rsid w:val="72F42637"/>
    <w:rsid w:val="73644CDF"/>
    <w:rsid w:val="73AF1180"/>
    <w:rsid w:val="73B903A5"/>
    <w:rsid w:val="73D8017A"/>
    <w:rsid w:val="74FC4DFA"/>
    <w:rsid w:val="75152DBC"/>
    <w:rsid w:val="75262552"/>
    <w:rsid w:val="757211F0"/>
    <w:rsid w:val="760159F6"/>
    <w:rsid w:val="76236A11"/>
    <w:rsid w:val="76301B4C"/>
    <w:rsid w:val="7703554E"/>
    <w:rsid w:val="77BD3239"/>
    <w:rsid w:val="77C96414"/>
    <w:rsid w:val="77D24384"/>
    <w:rsid w:val="77DE2D42"/>
    <w:rsid w:val="77EA45B4"/>
    <w:rsid w:val="7834299B"/>
    <w:rsid w:val="783C160C"/>
    <w:rsid w:val="78607980"/>
    <w:rsid w:val="78FE550C"/>
    <w:rsid w:val="7A8E7B57"/>
    <w:rsid w:val="7C3861A3"/>
    <w:rsid w:val="7C4421B1"/>
    <w:rsid w:val="7D025423"/>
    <w:rsid w:val="7DD71913"/>
    <w:rsid w:val="7E9B3B60"/>
    <w:rsid w:val="7F162DC0"/>
    <w:rsid w:val="7F6F5F6C"/>
    <w:rsid w:val="7F941F0C"/>
    <w:rsid w:val="7FCF1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name="footnote reference"/>
    <w:lsdException w:uiPriority="99" w:name="annotation reference"/>
    <w:lsdException w:qFormat="1"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0"/>
    <w:pPr>
      <w:keepNext/>
      <w:keepLines/>
      <w:numPr>
        <w:ilvl w:val="0"/>
        <w:numId w:val="1"/>
      </w:numPr>
      <w:spacing w:before="340" w:after="330"/>
      <w:jc w:val="center"/>
      <w:outlineLvl w:val="0"/>
    </w:pPr>
    <w:rPr>
      <w:rFonts w:ascii="Times New Roman" w:hAnsi="Times New Roman" w:eastAsia="黑体"/>
      <w:b/>
      <w:bCs/>
      <w:kern w:val="44"/>
      <w:sz w:val="30"/>
      <w:szCs w:val="32"/>
    </w:rPr>
  </w:style>
  <w:style w:type="paragraph" w:styleId="3">
    <w:name w:val="heading 2"/>
    <w:basedOn w:val="1"/>
    <w:next w:val="1"/>
    <w:link w:val="48"/>
    <w:qFormat/>
    <w:uiPriority w:val="0"/>
    <w:pPr>
      <w:keepNext/>
      <w:keepLines/>
      <w:adjustRightInd w:val="0"/>
      <w:spacing w:before="260" w:after="260"/>
      <w:outlineLvl w:val="1"/>
    </w:pPr>
    <w:rPr>
      <w:rFonts w:ascii="宋体" w:hAnsi="宋体" w:eastAsia="黑体"/>
      <w:b/>
      <w:bCs/>
      <w:sz w:val="24"/>
      <w:szCs w:val="24"/>
    </w:rPr>
  </w:style>
  <w:style w:type="paragraph" w:styleId="4">
    <w:name w:val="heading 3"/>
    <w:basedOn w:val="1"/>
    <w:next w:val="1"/>
    <w:link w:val="49"/>
    <w:qFormat/>
    <w:uiPriority w:val="0"/>
    <w:pPr>
      <w:keepNext/>
      <w:keepLines/>
      <w:spacing w:before="260" w:after="260"/>
      <w:outlineLvl w:val="2"/>
    </w:pPr>
    <w:rPr>
      <w:rFonts w:ascii="Times New Roman" w:hAnsi="Times New Roman" w:eastAsia="黑体"/>
      <w:bCs/>
      <w:sz w:val="24"/>
      <w:szCs w:val="24"/>
    </w:rPr>
  </w:style>
  <w:style w:type="paragraph" w:styleId="5">
    <w:name w:val="heading 4"/>
    <w:basedOn w:val="1"/>
    <w:next w:val="1"/>
    <w:link w:val="50"/>
    <w:qFormat/>
    <w:uiPriority w:val="0"/>
    <w:pPr>
      <w:keepNext/>
      <w:keepLines/>
      <w:numPr>
        <w:ilvl w:val="3"/>
        <w:numId w:val="1"/>
      </w:numPr>
      <w:spacing w:before="280" w:after="290"/>
      <w:outlineLvl w:val="3"/>
    </w:pPr>
    <w:rPr>
      <w:rFonts w:ascii="宋体" w:hAnsi="宋体"/>
      <w:bCs/>
      <w:szCs w:val="24"/>
    </w:rPr>
  </w:style>
  <w:style w:type="paragraph" w:styleId="6">
    <w:name w:val="heading 5"/>
    <w:basedOn w:val="1"/>
    <w:next w:val="1"/>
    <w:link w:val="51"/>
    <w:qFormat/>
    <w:uiPriority w:val="0"/>
    <w:pPr>
      <w:keepNext/>
      <w:keepLines/>
      <w:numPr>
        <w:ilvl w:val="4"/>
        <w:numId w:val="1"/>
      </w:numPr>
      <w:spacing w:before="280" w:after="290" w:line="376" w:lineRule="auto"/>
      <w:outlineLvl w:val="4"/>
    </w:pPr>
    <w:rPr>
      <w:rFonts w:ascii="Times New Roman" w:hAnsi="Times New Roman"/>
      <w:bCs/>
      <w:szCs w:val="24"/>
    </w:rPr>
  </w:style>
  <w:style w:type="paragraph" w:styleId="7">
    <w:name w:val="heading 6"/>
    <w:basedOn w:val="1"/>
    <w:next w:val="1"/>
    <w:link w:val="52"/>
    <w:qFormat/>
    <w:uiPriority w:val="0"/>
    <w:pPr>
      <w:keepNext/>
      <w:keepLines/>
      <w:numPr>
        <w:ilvl w:val="5"/>
        <w:numId w:val="1"/>
      </w:numPr>
      <w:spacing w:before="240" w:after="64" w:line="320" w:lineRule="auto"/>
      <w:outlineLvl w:val="5"/>
    </w:pPr>
    <w:rPr>
      <w:rFonts w:ascii="宋体" w:hAnsi="宋体"/>
      <w:bCs/>
      <w:szCs w:val="24"/>
    </w:rPr>
  </w:style>
  <w:style w:type="paragraph" w:styleId="8">
    <w:name w:val="heading 7"/>
    <w:basedOn w:val="1"/>
    <w:next w:val="1"/>
    <w:link w:val="53"/>
    <w:qFormat/>
    <w:uiPriority w:val="0"/>
    <w:pPr>
      <w:keepNext/>
      <w:keepLines/>
      <w:numPr>
        <w:ilvl w:val="6"/>
        <w:numId w:val="1"/>
      </w:numPr>
      <w:spacing w:before="240" w:after="64" w:line="320" w:lineRule="auto"/>
      <w:outlineLvl w:val="6"/>
    </w:pPr>
    <w:rPr>
      <w:rFonts w:ascii="Times New Roman" w:hAnsi="Times New Roman"/>
      <w:bCs/>
      <w:szCs w:val="24"/>
    </w:rPr>
  </w:style>
  <w:style w:type="paragraph" w:styleId="9">
    <w:name w:val="heading 8"/>
    <w:basedOn w:val="1"/>
    <w:next w:val="1"/>
    <w:link w:val="54"/>
    <w:qFormat/>
    <w:uiPriority w:val="0"/>
    <w:pPr>
      <w:keepNext/>
      <w:keepLines/>
      <w:numPr>
        <w:ilvl w:val="7"/>
        <w:numId w:val="1"/>
      </w:numPr>
      <w:spacing w:before="240" w:after="64" w:line="320" w:lineRule="auto"/>
      <w:outlineLvl w:val="7"/>
    </w:pPr>
    <w:rPr>
      <w:rFonts w:ascii="宋体" w:hAnsi="宋体"/>
      <w:szCs w:val="24"/>
    </w:rPr>
  </w:style>
  <w:style w:type="paragraph" w:styleId="10">
    <w:name w:val="heading 9"/>
    <w:basedOn w:val="1"/>
    <w:next w:val="1"/>
    <w:link w:val="55"/>
    <w:qFormat/>
    <w:uiPriority w:val="0"/>
    <w:pPr>
      <w:keepNext/>
      <w:keepLines/>
      <w:numPr>
        <w:ilvl w:val="8"/>
        <w:numId w:val="1"/>
      </w:numPr>
      <w:spacing w:before="240" w:after="64" w:line="320" w:lineRule="auto"/>
      <w:outlineLvl w:val="8"/>
    </w:pPr>
    <w:rPr>
      <w:rFonts w:ascii="宋体" w:hAnsi="宋体"/>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050"/>
      <w:jc w:val="left"/>
    </w:pPr>
    <w:rPr>
      <w:rFonts w:ascii="Times New Roman" w:hAnsi="Times New Roman"/>
      <w:sz w:val="20"/>
      <w:szCs w:val="20"/>
    </w:rPr>
  </w:style>
  <w:style w:type="paragraph" w:styleId="12">
    <w:name w:val="Normal Indent"/>
    <w:basedOn w:val="1"/>
    <w:qFormat/>
    <w:uiPriority w:val="0"/>
    <w:pPr>
      <w:ind w:firstLine="420"/>
    </w:pPr>
    <w:rPr>
      <w:rFonts w:ascii="Times New Roman" w:hAnsi="Times New Roman"/>
      <w:szCs w:val="20"/>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112"/>
    <w:unhideWhenUsed/>
    <w:qFormat/>
    <w:uiPriority w:val="0"/>
    <w:pPr>
      <w:spacing w:line="480" w:lineRule="exact"/>
      <w:ind w:firstLine="200" w:firstLineChars="200"/>
    </w:pPr>
    <w:rPr>
      <w:rFonts w:ascii="宋体"/>
      <w:sz w:val="18"/>
      <w:szCs w:val="18"/>
    </w:rPr>
  </w:style>
  <w:style w:type="paragraph" w:styleId="15">
    <w:name w:val="Body Text"/>
    <w:basedOn w:val="1"/>
    <w:link w:val="61"/>
    <w:qFormat/>
    <w:uiPriority w:val="0"/>
    <w:pPr>
      <w:spacing w:after="120"/>
    </w:pPr>
    <w:rPr>
      <w:rFonts w:ascii="Times New Roman" w:hAnsi="Times New Roman"/>
      <w:szCs w:val="24"/>
    </w:rPr>
  </w:style>
  <w:style w:type="paragraph" w:styleId="16">
    <w:name w:val="Body Text Indent"/>
    <w:basedOn w:val="1"/>
    <w:link w:val="113"/>
    <w:unhideWhenUsed/>
    <w:qFormat/>
    <w:uiPriority w:val="99"/>
    <w:pPr>
      <w:spacing w:after="120"/>
      <w:ind w:left="420" w:leftChars="200"/>
    </w:pPr>
  </w:style>
  <w:style w:type="paragraph" w:styleId="17">
    <w:name w:val="toc 5"/>
    <w:basedOn w:val="1"/>
    <w:next w:val="1"/>
    <w:unhideWhenUsed/>
    <w:qFormat/>
    <w:uiPriority w:val="39"/>
    <w:pPr>
      <w:ind w:left="630"/>
      <w:jc w:val="left"/>
    </w:pPr>
    <w:rPr>
      <w:rFonts w:ascii="Times New Roman" w:hAnsi="Times New Roman"/>
      <w:sz w:val="20"/>
      <w:szCs w:val="20"/>
    </w:rPr>
  </w:style>
  <w:style w:type="paragraph" w:styleId="18">
    <w:name w:val="toc 3"/>
    <w:basedOn w:val="1"/>
    <w:next w:val="1"/>
    <w:unhideWhenUsed/>
    <w:qFormat/>
    <w:uiPriority w:val="39"/>
    <w:pPr>
      <w:ind w:left="210"/>
      <w:jc w:val="left"/>
    </w:pPr>
    <w:rPr>
      <w:rFonts w:ascii="Times New Roman" w:hAnsi="Times New Roman"/>
      <w:sz w:val="20"/>
      <w:szCs w:val="20"/>
    </w:rPr>
  </w:style>
  <w:style w:type="paragraph" w:styleId="19">
    <w:name w:val="Plain Text"/>
    <w:basedOn w:val="1"/>
    <w:link w:val="56"/>
    <w:qFormat/>
    <w:uiPriority w:val="0"/>
    <w:rPr>
      <w:rFonts w:ascii="宋体" w:hAnsi="Courier New" w:cs="隶书"/>
      <w:szCs w:val="21"/>
    </w:rPr>
  </w:style>
  <w:style w:type="paragraph" w:styleId="20">
    <w:name w:val="toc 8"/>
    <w:basedOn w:val="1"/>
    <w:next w:val="1"/>
    <w:unhideWhenUsed/>
    <w:qFormat/>
    <w:uiPriority w:val="39"/>
    <w:pPr>
      <w:ind w:left="1260"/>
      <w:jc w:val="left"/>
    </w:pPr>
    <w:rPr>
      <w:rFonts w:ascii="Times New Roman" w:hAnsi="Times New Roman"/>
      <w:sz w:val="20"/>
      <w:szCs w:val="20"/>
    </w:rPr>
  </w:style>
  <w:style w:type="paragraph" w:styleId="21">
    <w:name w:val="Date"/>
    <w:basedOn w:val="1"/>
    <w:next w:val="1"/>
    <w:link w:val="68"/>
    <w:unhideWhenUsed/>
    <w:qFormat/>
    <w:uiPriority w:val="0"/>
    <w:pPr>
      <w:ind w:left="100" w:leftChars="2500"/>
    </w:pPr>
  </w:style>
  <w:style w:type="paragraph" w:styleId="22">
    <w:name w:val="endnote text"/>
    <w:basedOn w:val="1"/>
    <w:link w:val="111"/>
    <w:qFormat/>
    <w:uiPriority w:val="0"/>
    <w:pPr>
      <w:snapToGrid w:val="0"/>
      <w:jc w:val="left"/>
    </w:pPr>
    <w:rPr>
      <w:rFonts w:ascii="Times New Roman" w:hAnsi="Times New Roman"/>
      <w:szCs w:val="24"/>
    </w:rPr>
  </w:style>
  <w:style w:type="paragraph" w:styleId="23">
    <w:name w:val="Balloon Text"/>
    <w:basedOn w:val="1"/>
    <w:link w:val="65"/>
    <w:qFormat/>
    <w:uiPriority w:val="0"/>
    <w:rPr>
      <w:rFonts w:ascii="Times New Roman" w:hAnsi="Times New Roman"/>
      <w:sz w:val="18"/>
      <w:szCs w:val="18"/>
    </w:rPr>
  </w:style>
  <w:style w:type="paragraph" w:styleId="24">
    <w:name w:val="footer"/>
    <w:basedOn w:val="1"/>
    <w:link w:val="59"/>
    <w:qFormat/>
    <w:uiPriority w:val="99"/>
    <w:pPr>
      <w:tabs>
        <w:tab w:val="center" w:pos="4153"/>
        <w:tab w:val="right" w:pos="8306"/>
      </w:tabs>
      <w:snapToGrid w:val="0"/>
      <w:ind w:firstLine="200" w:firstLineChars="200"/>
      <w:jc w:val="left"/>
    </w:pPr>
    <w:rPr>
      <w:rFonts w:ascii="Times New Roman" w:hAnsi="Times New Roman"/>
      <w:sz w:val="18"/>
      <w:szCs w:val="18"/>
    </w:rPr>
  </w:style>
  <w:style w:type="paragraph" w:styleId="25">
    <w:name w:val="header"/>
    <w:basedOn w:val="1"/>
    <w:link w:val="60"/>
    <w:qFormat/>
    <w:uiPriority w:val="0"/>
    <w:pPr>
      <w:pBdr>
        <w:bottom w:val="single" w:color="auto" w:sz="6" w:space="21"/>
      </w:pBdr>
      <w:tabs>
        <w:tab w:val="center" w:pos="4153"/>
        <w:tab w:val="right" w:pos="8306"/>
      </w:tabs>
      <w:snapToGrid w:val="0"/>
      <w:ind w:firstLine="360" w:firstLineChars="200"/>
    </w:pPr>
    <w:rPr>
      <w:rFonts w:ascii="Times New Roman" w:hAnsi="Times New Roman"/>
      <w:sz w:val="18"/>
      <w:szCs w:val="18"/>
    </w:rPr>
  </w:style>
  <w:style w:type="paragraph" w:styleId="26">
    <w:name w:val="toc 1"/>
    <w:basedOn w:val="1"/>
    <w:next w:val="1"/>
    <w:qFormat/>
    <w:uiPriority w:val="39"/>
    <w:pPr>
      <w:spacing w:before="360"/>
      <w:jc w:val="left"/>
    </w:pPr>
    <w:rPr>
      <w:rFonts w:ascii="Arial" w:hAnsi="Arial" w:eastAsia="黑体" w:cs="Arial"/>
      <w:bCs/>
      <w:caps/>
      <w:sz w:val="28"/>
      <w:szCs w:val="24"/>
    </w:rPr>
  </w:style>
  <w:style w:type="paragraph" w:styleId="27">
    <w:name w:val="toc 4"/>
    <w:basedOn w:val="1"/>
    <w:next w:val="1"/>
    <w:unhideWhenUsed/>
    <w:qFormat/>
    <w:uiPriority w:val="39"/>
    <w:pPr>
      <w:ind w:left="420"/>
      <w:jc w:val="left"/>
    </w:pPr>
    <w:rPr>
      <w:rFonts w:ascii="Times New Roman" w:hAnsi="Times New Roman"/>
      <w:sz w:val="20"/>
      <w:szCs w:val="20"/>
    </w:rPr>
  </w:style>
  <w:style w:type="paragraph" w:styleId="28">
    <w:name w:val="footnote text"/>
    <w:basedOn w:val="1"/>
    <w:link w:val="109"/>
    <w:semiHidden/>
    <w:qFormat/>
    <w:uiPriority w:val="0"/>
    <w:pPr>
      <w:snapToGrid w:val="0"/>
      <w:jc w:val="left"/>
    </w:pPr>
    <w:rPr>
      <w:rFonts w:ascii="Times New Roman" w:hAnsi="Times New Roman"/>
      <w:sz w:val="18"/>
      <w:szCs w:val="18"/>
    </w:rPr>
  </w:style>
  <w:style w:type="paragraph" w:styleId="29">
    <w:name w:val="toc 6"/>
    <w:basedOn w:val="1"/>
    <w:next w:val="1"/>
    <w:unhideWhenUsed/>
    <w:qFormat/>
    <w:uiPriority w:val="39"/>
    <w:pPr>
      <w:ind w:left="840"/>
      <w:jc w:val="left"/>
    </w:pPr>
    <w:rPr>
      <w:rFonts w:ascii="Times New Roman" w:hAnsi="Times New Roman"/>
      <w:sz w:val="20"/>
      <w:szCs w:val="20"/>
    </w:rPr>
  </w:style>
  <w:style w:type="paragraph" w:styleId="30">
    <w:name w:val="Body Text Indent 3"/>
    <w:basedOn w:val="1"/>
    <w:qFormat/>
    <w:uiPriority w:val="0"/>
    <w:pPr>
      <w:spacing w:after="120"/>
      <w:ind w:left="420" w:leftChars="200"/>
    </w:pPr>
    <w:rPr>
      <w:sz w:val="16"/>
      <w:szCs w:val="16"/>
    </w:rPr>
  </w:style>
  <w:style w:type="paragraph" w:styleId="31">
    <w:name w:val="table of figures"/>
    <w:basedOn w:val="1"/>
    <w:next w:val="1"/>
    <w:qFormat/>
    <w:uiPriority w:val="99"/>
    <w:pPr>
      <w:ind w:left="420" w:hanging="420"/>
      <w:jc w:val="left"/>
    </w:pPr>
    <w:rPr>
      <w:smallCaps/>
      <w:sz w:val="20"/>
      <w:szCs w:val="20"/>
    </w:rPr>
  </w:style>
  <w:style w:type="paragraph" w:styleId="32">
    <w:name w:val="toc 2"/>
    <w:basedOn w:val="1"/>
    <w:next w:val="1"/>
    <w:unhideWhenUsed/>
    <w:qFormat/>
    <w:uiPriority w:val="39"/>
    <w:pPr>
      <w:spacing w:before="240"/>
      <w:ind w:firstLine="150" w:firstLineChars="150"/>
      <w:jc w:val="left"/>
    </w:pPr>
    <w:rPr>
      <w:rFonts w:ascii="Times New Roman" w:hAnsi="Times New Roman"/>
      <w:bCs/>
      <w:sz w:val="24"/>
      <w:szCs w:val="20"/>
    </w:rPr>
  </w:style>
  <w:style w:type="paragraph" w:styleId="33">
    <w:name w:val="toc 9"/>
    <w:basedOn w:val="1"/>
    <w:next w:val="1"/>
    <w:unhideWhenUsed/>
    <w:qFormat/>
    <w:uiPriority w:val="39"/>
    <w:pPr>
      <w:ind w:left="1470"/>
      <w:jc w:val="left"/>
    </w:pPr>
    <w:rPr>
      <w:rFonts w:ascii="Times New Roman" w:hAnsi="Times New Roman"/>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Title"/>
    <w:basedOn w:val="1"/>
    <w:next w:val="1"/>
    <w:link w:val="67"/>
    <w:qFormat/>
    <w:uiPriority w:val="0"/>
    <w:pPr>
      <w:spacing w:before="240" w:after="60"/>
      <w:jc w:val="center"/>
      <w:outlineLvl w:val="0"/>
    </w:pPr>
    <w:rPr>
      <w:rFonts w:ascii="Cambria" w:hAnsi="Cambria"/>
      <w:b/>
      <w:bCs/>
      <w:sz w:val="32"/>
      <w:szCs w:val="32"/>
    </w:rPr>
  </w:style>
  <w:style w:type="paragraph" w:styleId="36">
    <w:name w:val="Body Text First Indent"/>
    <w:basedOn w:val="15"/>
    <w:link w:val="62"/>
    <w:qFormat/>
    <w:uiPriority w:val="0"/>
    <w:pPr>
      <w:spacing w:line="400" w:lineRule="exact"/>
      <w:ind w:firstLine="420" w:firstLineChars="100"/>
    </w:pPr>
    <w:rPr>
      <w:sz w:val="28"/>
    </w:rPr>
  </w:style>
  <w:style w:type="table" w:styleId="38">
    <w:name w:val="Table Grid"/>
    <w:basedOn w:val="3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b/>
      <w:bCs/>
    </w:rPr>
  </w:style>
  <w:style w:type="character" w:styleId="41">
    <w:name w:val="endnote reference"/>
    <w:basedOn w:val="39"/>
    <w:qFormat/>
    <w:uiPriority w:val="0"/>
    <w:rPr>
      <w:vertAlign w:val="superscript"/>
    </w:rPr>
  </w:style>
  <w:style w:type="character" w:styleId="42">
    <w:name w:val="page number"/>
    <w:basedOn w:val="39"/>
    <w:qFormat/>
    <w:uiPriority w:val="0"/>
  </w:style>
  <w:style w:type="character" w:styleId="43">
    <w:name w:val="FollowedHyperlink"/>
    <w:basedOn w:val="39"/>
    <w:unhideWhenUsed/>
    <w:qFormat/>
    <w:uiPriority w:val="99"/>
    <w:rPr>
      <w:color w:val="800080"/>
      <w:u w:val="single"/>
    </w:rPr>
  </w:style>
  <w:style w:type="character" w:styleId="44">
    <w:name w:val="line number"/>
    <w:basedOn w:val="39"/>
    <w:unhideWhenUsed/>
    <w:qFormat/>
    <w:uiPriority w:val="0"/>
  </w:style>
  <w:style w:type="character" w:styleId="45">
    <w:name w:val="Hyperlink"/>
    <w:basedOn w:val="39"/>
    <w:qFormat/>
    <w:uiPriority w:val="99"/>
    <w:rPr>
      <w:color w:val="0000FF"/>
      <w:u w:val="single"/>
    </w:rPr>
  </w:style>
  <w:style w:type="character" w:styleId="46">
    <w:name w:val="footnote reference"/>
    <w:basedOn w:val="39"/>
    <w:semiHidden/>
    <w:qFormat/>
    <w:uiPriority w:val="0"/>
    <w:rPr>
      <w:sz w:val="24"/>
      <w:vertAlign w:val="superscript"/>
    </w:rPr>
  </w:style>
  <w:style w:type="character" w:customStyle="1" w:styleId="47">
    <w:name w:val="标题 1 Char"/>
    <w:basedOn w:val="39"/>
    <w:link w:val="2"/>
    <w:qFormat/>
    <w:uiPriority w:val="0"/>
    <w:rPr>
      <w:rFonts w:ascii="Times New Roman" w:hAnsi="Times New Roman" w:eastAsia="黑体"/>
      <w:b/>
      <w:bCs/>
      <w:kern w:val="44"/>
      <w:sz w:val="30"/>
      <w:szCs w:val="32"/>
    </w:rPr>
  </w:style>
  <w:style w:type="character" w:customStyle="1" w:styleId="48">
    <w:name w:val="标题 2 Char"/>
    <w:basedOn w:val="39"/>
    <w:link w:val="3"/>
    <w:qFormat/>
    <w:uiPriority w:val="0"/>
    <w:rPr>
      <w:rFonts w:ascii="宋体" w:hAnsi="宋体" w:eastAsia="黑体" w:cs="Times New Roman"/>
      <w:b/>
      <w:bCs/>
      <w:sz w:val="24"/>
      <w:szCs w:val="24"/>
    </w:rPr>
  </w:style>
  <w:style w:type="character" w:customStyle="1" w:styleId="49">
    <w:name w:val="标题 3 Char"/>
    <w:basedOn w:val="39"/>
    <w:link w:val="4"/>
    <w:qFormat/>
    <w:uiPriority w:val="0"/>
    <w:rPr>
      <w:rFonts w:ascii="Times New Roman" w:hAnsi="Times New Roman" w:eastAsia="黑体" w:cs="Times New Roman"/>
      <w:bCs/>
      <w:sz w:val="24"/>
      <w:szCs w:val="24"/>
    </w:rPr>
  </w:style>
  <w:style w:type="character" w:customStyle="1" w:styleId="50">
    <w:name w:val="标题 4 Char"/>
    <w:basedOn w:val="39"/>
    <w:link w:val="5"/>
    <w:qFormat/>
    <w:uiPriority w:val="0"/>
    <w:rPr>
      <w:rFonts w:ascii="宋体" w:hAnsi="宋体"/>
      <w:bCs/>
      <w:kern w:val="2"/>
      <w:sz w:val="21"/>
      <w:szCs w:val="24"/>
    </w:rPr>
  </w:style>
  <w:style w:type="character" w:customStyle="1" w:styleId="51">
    <w:name w:val="标题 5 Char"/>
    <w:basedOn w:val="39"/>
    <w:link w:val="6"/>
    <w:qFormat/>
    <w:uiPriority w:val="0"/>
    <w:rPr>
      <w:rFonts w:ascii="Times New Roman" w:hAnsi="Times New Roman"/>
      <w:bCs/>
      <w:kern w:val="2"/>
      <w:sz w:val="21"/>
      <w:szCs w:val="24"/>
    </w:rPr>
  </w:style>
  <w:style w:type="character" w:customStyle="1" w:styleId="52">
    <w:name w:val="标题 6 Char"/>
    <w:basedOn w:val="39"/>
    <w:link w:val="7"/>
    <w:qFormat/>
    <w:uiPriority w:val="0"/>
    <w:rPr>
      <w:rFonts w:ascii="宋体" w:hAnsi="宋体"/>
      <w:bCs/>
      <w:kern w:val="2"/>
      <w:sz w:val="21"/>
      <w:szCs w:val="24"/>
    </w:rPr>
  </w:style>
  <w:style w:type="character" w:customStyle="1" w:styleId="53">
    <w:name w:val="标题 7 Char"/>
    <w:basedOn w:val="39"/>
    <w:link w:val="8"/>
    <w:qFormat/>
    <w:uiPriority w:val="0"/>
    <w:rPr>
      <w:rFonts w:ascii="Times New Roman" w:hAnsi="Times New Roman"/>
      <w:bCs/>
      <w:kern w:val="2"/>
      <w:sz w:val="21"/>
      <w:szCs w:val="24"/>
    </w:rPr>
  </w:style>
  <w:style w:type="character" w:customStyle="1" w:styleId="54">
    <w:name w:val="标题 8 Char"/>
    <w:basedOn w:val="39"/>
    <w:link w:val="9"/>
    <w:qFormat/>
    <w:uiPriority w:val="0"/>
    <w:rPr>
      <w:rFonts w:ascii="宋体" w:hAnsi="宋体"/>
      <w:kern w:val="2"/>
      <w:sz w:val="21"/>
      <w:szCs w:val="24"/>
    </w:rPr>
  </w:style>
  <w:style w:type="character" w:customStyle="1" w:styleId="55">
    <w:name w:val="标题 9 Char"/>
    <w:basedOn w:val="39"/>
    <w:link w:val="10"/>
    <w:qFormat/>
    <w:uiPriority w:val="0"/>
    <w:rPr>
      <w:rFonts w:ascii="宋体" w:hAnsi="宋体"/>
      <w:kern w:val="2"/>
      <w:sz w:val="21"/>
      <w:szCs w:val="21"/>
    </w:rPr>
  </w:style>
  <w:style w:type="character" w:customStyle="1" w:styleId="56">
    <w:name w:val="纯文本 Char1"/>
    <w:basedOn w:val="39"/>
    <w:link w:val="19"/>
    <w:qFormat/>
    <w:uiPriority w:val="0"/>
    <w:rPr>
      <w:rFonts w:ascii="宋体" w:hAnsi="Courier New" w:eastAsia="宋体" w:cs="隶书"/>
      <w:szCs w:val="21"/>
    </w:rPr>
  </w:style>
  <w:style w:type="paragraph" w:customStyle="1" w:styleId="57">
    <w:name w:val="Char Char Char Char Char Char Char Char Char Char Char Char Char Char Char Char"/>
    <w:basedOn w:val="1"/>
    <w:qFormat/>
    <w:uiPriority w:val="0"/>
    <w:pPr>
      <w:spacing w:line="360" w:lineRule="auto"/>
      <w:ind w:firstLine="200" w:firstLineChars="200"/>
    </w:pPr>
    <w:rPr>
      <w:rFonts w:ascii="仿宋_GB2312" w:hAnsi="宋体" w:eastAsia="仿宋_GB2312"/>
      <w:bCs/>
      <w:kern w:val="0"/>
      <w:sz w:val="28"/>
      <w:szCs w:val="28"/>
    </w:rPr>
  </w:style>
  <w:style w:type="paragraph" w:customStyle="1" w:styleId="58">
    <w:name w:val="样式 黑体 小一 左 首行缩进:  2 字符"/>
    <w:basedOn w:val="1"/>
    <w:qFormat/>
    <w:uiPriority w:val="0"/>
    <w:pPr>
      <w:spacing w:line="324" w:lineRule="auto"/>
      <w:ind w:firstLine="960" w:firstLineChars="200"/>
      <w:jc w:val="right"/>
    </w:pPr>
    <w:rPr>
      <w:rFonts w:ascii="黑体" w:hAnsi="黑体" w:eastAsia="黑体" w:cs="宋体"/>
      <w:sz w:val="48"/>
      <w:szCs w:val="20"/>
    </w:rPr>
  </w:style>
  <w:style w:type="character" w:customStyle="1" w:styleId="59">
    <w:name w:val="页脚 Char"/>
    <w:basedOn w:val="39"/>
    <w:link w:val="24"/>
    <w:qFormat/>
    <w:uiPriority w:val="99"/>
    <w:rPr>
      <w:rFonts w:ascii="Times New Roman" w:hAnsi="Times New Roman" w:eastAsia="宋体" w:cs="Times New Roman"/>
      <w:sz w:val="18"/>
      <w:szCs w:val="18"/>
    </w:rPr>
  </w:style>
  <w:style w:type="character" w:customStyle="1" w:styleId="60">
    <w:name w:val="页眉 Char"/>
    <w:basedOn w:val="39"/>
    <w:link w:val="25"/>
    <w:qFormat/>
    <w:uiPriority w:val="0"/>
    <w:rPr>
      <w:rFonts w:ascii="Times New Roman" w:hAnsi="Times New Roman"/>
      <w:kern w:val="2"/>
      <w:sz w:val="18"/>
      <w:szCs w:val="18"/>
    </w:rPr>
  </w:style>
  <w:style w:type="character" w:customStyle="1" w:styleId="61">
    <w:name w:val="正文文本 Char"/>
    <w:basedOn w:val="39"/>
    <w:link w:val="15"/>
    <w:qFormat/>
    <w:uiPriority w:val="0"/>
    <w:rPr>
      <w:rFonts w:ascii="Times New Roman" w:hAnsi="Times New Roman" w:eastAsia="宋体" w:cs="Times New Roman"/>
      <w:szCs w:val="24"/>
    </w:rPr>
  </w:style>
  <w:style w:type="character" w:customStyle="1" w:styleId="62">
    <w:name w:val="正文首行缩进 Char"/>
    <w:basedOn w:val="61"/>
    <w:link w:val="36"/>
    <w:qFormat/>
    <w:uiPriority w:val="0"/>
    <w:rPr>
      <w:rFonts w:ascii="Times New Roman" w:hAnsi="Times New Roman" w:eastAsia="宋体" w:cs="Times New Roman"/>
      <w:sz w:val="28"/>
      <w:szCs w:val="24"/>
    </w:rPr>
  </w:style>
  <w:style w:type="paragraph" w:styleId="63">
    <w:name w:val="No Spacing"/>
    <w:link w:val="64"/>
    <w:qFormat/>
    <w:uiPriority w:val="1"/>
    <w:rPr>
      <w:rFonts w:ascii="Calibri" w:hAnsi="Calibri" w:eastAsia="宋体" w:cs="Times New Roman"/>
      <w:sz w:val="22"/>
      <w:szCs w:val="22"/>
      <w:lang w:val="en-US" w:eastAsia="zh-CN" w:bidi="ar-SA"/>
    </w:rPr>
  </w:style>
  <w:style w:type="character" w:customStyle="1" w:styleId="64">
    <w:name w:val="无间隔 Char"/>
    <w:basedOn w:val="39"/>
    <w:link w:val="63"/>
    <w:qFormat/>
    <w:uiPriority w:val="1"/>
    <w:rPr>
      <w:sz w:val="22"/>
      <w:szCs w:val="22"/>
      <w:lang w:val="en-US" w:eastAsia="zh-CN" w:bidi="ar-SA"/>
    </w:rPr>
  </w:style>
  <w:style w:type="character" w:customStyle="1" w:styleId="65">
    <w:name w:val="批注框文本 Char"/>
    <w:basedOn w:val="39"/>
    <w:link w:val="23"/>
    <w:qFormat/>
    <w:uiPriority w:val="0"/>
    <w:rPr>
      <w:rFonts w:ascii="Times New Roman" w:hAnsi="Times New Roman" w:eastAsia="宋体" w:cs="Times New Roman"/>
      <w:sz w:val="18"/>
      <w:szCs w:val="18"/>
    </w:rPr>
  </w:style>
  <w:style w:type="paragraph" w:customStyle="1" w:styleId="66">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szCs w:val="28"/>
    </w:rPr>
  </w:style>
  <w:style w:type="character" w:customStyle="1" w:styleId="67">
    <w:name w:val="标题 Char"/>
    <w:basedOn w:val="39"/>
    <w:link w:val="35"/>
    <w:qFormat/>
    <w:uiPriority w:val="0"/>
    <w:rPr>
      <w:rFonts w:ascii="Cambria" w:hAnsi="Cambria" w:eastAsia="宋体" w:cs="Times New Roman"/>
      <w:b/>
      <w:bCs/>
      <w:sz w:val="32"/>
      <w:szCs w:val="32"/>
    </w:rPr>
  </w:style>
  <w:style w:type="character" w:customStyle="1" w:styleId="68">
    <w:name w:val="日期 Char"/>
    <w:basedOn w:val="39"/>
    <w:link w:val="21"/>
    <w:qFormat/>
    <w:uiPriority w:val="0"/>
    <w:rPr>
      <w:kern w:val="2"/>
      <w:sz w:val="21"/>
      <w:szCs w:val="22"/>
    </w:rPr>
  </w:style>
  <w:style w:type="paragraph" w:styleId="69">
    <w:name w:val="List Paragraph"/>
    <w:basedOn w:val="1"/>
    <w:qFormat/>
    <w:uiPriority w:val="34"/>
    <w:pPr>
      <w:spacing w:line="480" w:lineRule="exact"/>
      <w:ind w:firstLine="420" w:firstLineChars="200"/>
    </w:pPr>
  </w:style>
  <w:style w:type="character" w:customStyle="1" w:styleId="70">
    <w:name w:val="文本文字 Char Char"/>
    <w:basedOn w:val="39"/>
    <w:qFormat/>
    <w:uiPriority w:val="0"/>
    <w:rPr>
      <w:rFonts w:ascii="宋体" w:hAnsi="Courier New" w:cs="Courier New"/>
      <w:kern w:val="2"/>
      <w:sz w:val="21"/>
      <w:szCs w:val="21"/>
    </w:rPr>
  </w:style>
  <w:style w:type="paragraph" w:customStyle="1" w:styleId="71">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xl63"/>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77">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78">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5">
    <w:name w:val="xl7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73"/>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8">
    <w:name w:val="表"/>
    <w:qFormat/>
    <w:uiPriority w:val="0"/>
    <w:pPr>
      <w:adjustRightInd w:val="0"/>
      <w:snapToGrid w:val="0"/>
      <w:jc w:val="center"/>
    </w:pPr>
    <w:rPr>
      <w:rFonts w:ascii="Times New Roman" w:hAnsi="Times New Roman" w:eastAsia="楷体_GB2312" w:cs="Times New Roman"/>
      <w:sz w:val="24"/>
      <w:lang w:val="en-US" w:eastAsia="zh-CN" w:bidi="ar-SA"/>
    </w:rPr>
  </w:style>
  <w:style w:type="paragraph" w:customStyle="1" w:styleId="89">
    <w:name w:val="Char1"/>
    <w:basedOn w:val="1"/>
    <w:qFormat/>
    <w:uiPriority w:val="0"/>
    <w:pPr>
      <w:widowControl/>
      <w:jc w:val="left"/>
    </w:pPr>
    <w:rPr>
      <w:rFonts w:ascii="宋体" w:hAnsi="宋体" w:cs="宋体"/>
      <w:kern w:val="0"/>
      <w:sz w:val="24"/>
      <w:szCs w:val="24"/>
    </w:rPr>
  </w:style>
  <w:style w:type="paragraph" w:customStyle="1" w:styleId="90">
    <w:name w:val="font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A5A5A5"/>
      <w:spacing w:before="100" w:beforeAutospacing="1" w:after="100" w:afterAutospacing="1"/>
      <w:jc w:val="left"/>
      <w:textAlignment w:val="top"/>
    </w:pPr>
    <w:rPr>
      <w:rFonts w:ascii="宋体" w:hAnsi="宋体" w:cs="宋体"/>
      <w:kern w:val="0"/>
      <w:sz w:val="24"/>
      <w:szCs w:val="24"/>
    </w:rPr>
  </w:style>
  <w:style w:type="paragraph" w:customStyle="1" w:styleId="9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D8D8D8"/>
      <w:spacing w:before="100" w:beforeAutospacing="1" w:after="100" w:afterAutospacing="1"/>
      <w:jc w:val="left"/>
      <w:textAlignment w:val="top"/>
    </w:pPr>
    <w:rPr>
      <w:rFonts w:ascii="宋体" w:hAnsi="宋体" w:cs="宋体"/>
      <w:kern w:val="0"/>
      <w:sz w:val="24"/>
      <w:szCs w:val="24"/>
    </w:rPr>
  </w:style>
  <w:style w:type="paragraph" w:customStyle="1" w:styleId="93">
    <w:name w:val="xl77"/>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94">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kern w:val="0"/>
      <w:sz w:val="24"/>
      <w:szCs w:val="24"/>
    </w:rPr>
  </w:style>
  <w:style w:type="paragraph" w:customStyle="1" w:styleId="95">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D8D8D8"/>
      <w:spacing w:before="100" w:beforeAutospacing="1" w:after="100" w:afterAutospacing="1"/>
      <w:jc w:val="left"/>
      <w:textAlignment w:val="top"/>
    </w:pPr>
    <w:rPr>
      <w:rFonts w:ascii="宋体" w:hAnsi="宋体" w:cs="宋体"/>
      <w:kern w:val="0"/>
      <w:sz w:val="24"/>
      <w:szCs w:val="24"/>
    </w:rPr>
  </w:style>
  <w:style w:type="paragraph" w:customStyle="1" w:styleId="96">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宋体" w:hAnsi="宋体" w:cs="宋体"/>
      <w:kern w:val="0"/>
      <w:sz w:val="24"/>
      <w:szCs w:val="24"/>
    </w:rPr>
  </w:style>
  <w:style w:type="paragraph" w:customStyle="1" w:styleId="97">
    <w:name w:val="xl82"/>
    <w:basedOn w:val="1"/>
    <w:qFormat/>
    <w:uiPriority w:val="0"/>
    <w:pPr>
      <w:widowControl/>
      <w:pBdr>
        <w:top w:val="single" w:color="auto" w:sz="8" w:space="0"/>
        <w:bottom w:val="single" w:color="auto" w:sz="8" w:space="0"/>
      </w:pBdr>
      <w:spacing w:before="100" w:beforeAutospacing="1" w:after="100" w:afterAutospacing="1"/>
      <w:jc w:val="left"/>
      <w:textAlignment w:val="top"/>
    </w:pPr>
    <w:rPr>
      <w:rFonts w:ascii="宋体" w:hAnsi="宋体" w:cs="宋体"/>
      <w:kern w:val="0"/>
      <w:sz w:val="24"/>
      <w:szCs w:val="24"/>
    </w:rPr>
  </w:style>
  <w:style w:type="paragraph" w:customStyle="1" w:styleId="98">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kern w:val="0"/>
      <w:sz w:val="24"/>
      <w:szCs w:val="24"/>
    </w:rPr>
  </w:style>
  <w:style w:type="paragraph" w:customStyle="1" w:styleId="99">
    <w:name w:val="xl84"/>
    <w:basedOn w:val="1"/>
    <w:qFormat/>
    <w:uiPriority w:val="0"/>
    <w:pPr>
      <w:widowControl/>
      <w:pBdr>
        <w:top w:val="single" w:color="auto" w:sz="8" w:space="0"/>
        <w:left w:val="single" w:color="auto" w:sz="8" w:space="0"/>
        <w:bottom w:val="single" w:color="auto" w:sz="8" w:space="0"/>
        <w:right w:val="single" w:color="auto" w:sz="8" w:space="0"/>
      </w:pBdr>
      <w:shd w:val="clear" w:color="000000" w:fill="A5A5A5"/>
      <w:spacing w:before="100" w:beforeAutospacing="1" w:after="100" w:afterAutospacing="1"/>
      <w:jc w:val="left"/>
      <w:textAlignment w:val="top"/>
    </w:pPr>
    <w:rPr>
      <w:rFonts w:ascii="宋体" w:hAnsi="宋体" w:cs="宋体"/>
      <w:kern w:val="0"/>
      <w:sz w:val="24"/>
      <w:szCs w:val="24"/>
    </w:rPr>
  </w:style>
  <w:style w:type="paragraph" w:customStyle="1" w:styleId="100">
    <w:name w:val="xl85"/>
    <w:basedOn w:val="1"/>
    <w:qFormat/>
    <w:uiPriority w:val="0"/>
    <w:pPr>
      <w:widowControl/>
      <w:pBdr>
        <w:top w:val="single" w:color="auto" w:sz="8" w:space="0"/>
        <w:left w:val="single" w:color="auto" w:sz="8" w:space="0"/>
        <w:bottom w:val="single" w:color="auto" w:sz="8" w:space="0"/>
        <w:right w:val="single" w:color="auto" w:sz="8" w:space="0"/>
      </w:pBdr>
      <w:shd w:val="clear" w:color="000000" w:fill="A5A5A5"/>
      <w:spacing w:before="100" w:beforeAutospacing="1" w:after="100" w:afterAutospacing="1"/>
      <w:jc w:val="left"/>
      <w:textAlignment w:val="top"/>
    </w:pPr>
    <w:rPr>
      <w:rFonts w:ascii="宋体" w:hAnsi="宋体" w:cs="宋体"/>
      <w:kern w:val="0"/>
      <w:sz w:val="24"/>
      <w:szCs w:val="24"/>
    </w:rPr>
  </w:style>
  <w:style w:type="paragraph" w:customStyle="1" w:styleId="101">
    <w:name w:val="xl86"/>
    <w:basedOn w:val="1"/>
    <w:qFormat/>
    <w:uiPriority w:val="0"/>
    <w:pPr>
      <w:widowControl/>
      <w:pBdr>
        <w:top w:val="single" w:color="auto" w:sz="8" w:space="0"/>
        <w:left w:val="single" w:color="auto" w:sz="8" w:space="0"/>
        <w:bottom w:val="single" w:color="auto" w:sz="8" w:space="0"/>
      </w:pBdr>
      <w:shd w:val="clear" w:color="000000" w:fill="D8D8D8"/>
      <w:spacing w:before="100" w:beforeAutospacing="1" w:after="100" w:afterAutospacing="1"/>
      <w:jc w:val="left"/>
      <w:textAlignment w:val="top"/>
    </w:pPr>
    <w:rPr>
      <w:rFonts w:ascii="宋体" w:hAnsi="宋体" w:cs="宋体"/>
      <w:kern w:val="0"/>
      <w:sz w:val="24"/>
      <w:szCs w:val="24"/>
    </w:rPr>
  </w:style>
  <w:style w:type="paragraph" w:customStyle="1" w:styleId="102">
    <w:name w:val="xl87"/>
    <w:basedOn w:val="1"/>
    <w:qFormat/>
    <w:uiPriority w:val="0"/>
    <w:pPr>
      <w:widowControl/>
      <w:pBdr>
        <w:top w:val="single" w:color="auto" w:sz="8" w:space="0"/>
        <w:bottom w:val="single" w:color="auto" w:sz="8" w:space="0"/>
      </w:pBdr>
      <w:shd w:val="clear" w:color="000000" w:fill="D8D8D8"/>
      <w:spacing w:before="100" w:beforeAutospacing="1" w:after="100" w:afterAutospacing="1"/>
      <w:jc w:val="left"/>
      <w:textAlignment w:val="top"/>
    </w:pPr>
    <w:rPr>
      <w:rFonts w:ascii="宋体" w:hAnsi="宋体" w:cs="宋体"/>
      <w:kern w:val="0"/>
      <w:sz w:val="24"/>
      <w:szCs w:val="24"/>
    </w:rPr>
  </w:style>
  <w:style w:type="paragraph" w:customStyle="1" w:styleId="103">
    <w:name w:val="xl88"/>
    <w:basedOn w:val="1"/>
    <w:qFormat/>
    <w:uiPriority w:val="0"/>
    <w:pPr>
      <w:widowControl/>
      <w:pBdr>
        <w:top w:val="single" w:color="auto" w:sz="8" w:space="0"/>
        <w:bottom w:val="single" w:color="auto" w:sz="8" w:space="0"/>
        <w:right w:val="single" w:color="auto" w:sz="8" w:space="0"/>
      </w:pBdr>
      <w:shd w:val="clear" w:color="000000" w:fill="D8D8D8"/>
      <w:spacing w:before="100" w:beforeAutospacing="1" w:after="100" w:afterAutospacing="1"/>
      <w:jc w:val="left"/>
      <w:textAlignment w:val="top"/>
    </w:pPr>
    <w:rPr>
      <w:rFonts w:ascii="宋体" w:hAnsi="宋体" w:cs="宋体"/>
      <w:kern w:val="0"/>
      <w:sz w:val="24"/>
      <w:szCs w:val="24"/>
    </w:rPr>
  </w:style>
  <w:style w:type="character" w:customStyle="1" w:styleId="104">
    <w:name w:val="纯文本 Char"/>
    <w:basedOn w:val="39"/>
    <w:qFormat/>
    <w:uiPriority w:val="0"/>
    <w:rPr>
      <w:rFonts w:ascii="宋体" w:hAnsi="Courier New" w:eastAsia="宋体"/>
      <w:kern w:val="2"/>
      <w:sz w:val="21"/>
      <w:lang w:val="en-US" w:eastAsia="zh-CN" w:bidi="ar-SA"/>
    </w:rPr>
  </w:style>
  <w:style w:type="character" w:customStyle="1" w:styleId="105">
    <w:name w:val="style41"/>
    <w:basedOn w:val="39"/>
    <w:qFormat/>
    <w:uiPriority w:val="0"/>
    <w:rPr>
      <w:sz w:val="42"/>
      <w:szCs w:val="42"/>
    </w:rPr>
  </w:style>
  <w:style w:type="character" w:customStyle="1" w:styleId="106">
    <w:name w:val="style11"/>
    <w:basedOn w:val="39"/>
    <w:qFormat/>
    <w:uiPriority w:val="0"/>
    <w:rPr>
      <w:b/>
      <w:bCs/>
      <w:sz w:val="28"/>
      <w:szCs w:val="28"/>
    </w:rPr>
  </w:style>
  <w:style w:type="paragraph" w:customStyle="1" w:styleId="107">
    <w:name w:val="表格"/>
    <w:qFormat/>
    <w:uiPriority w:val="0"/>
    <w:pPr>
      <w:spacing w:line="240" w:lineRule="atLeast"/>
      <w:jc w:val="center"/>
    </w:pPr>
    <w:rPr>
      <w:rFonts w:ascii="Times New Roman" w:hAnsi="Times New Roman" w:eastAsia="宋体" w:cs="Times New Roman"/>
      <w:sz w:val="21"/>
      <w:lang w:val="en-US" w:eastAsia="zh-CN" w:bidi="ar-SA"/>
    </w:rPr>
  </w:style>
  <w:style w:type="paragraph" w:customStyle="1" w:styleId="108">
    <w:name w:val="表题 Char Char"/>
    <w:basedOn w:val="1"/>
    <w:qFormat/>
    <w:uiPriority w:val="0"/>
    <w:pPr>
      <w:spacing w:before="100"/>
      <w:jc w:val="center"/>
    </w:pPr>
    <w:rPr>
      <w:rFonts w:ascii="Times New Roman" w:hAnsi="Times New Roman"/>
      <w:szCs w:val="21"/>
    </w:rPr>
  </w:style>
  <w:style w:type="character" w:customStyle="1" w:styleId="109">
    <w:name w:val="脚注文本 Char"/>
    <w:basedOn w:val="39"/>
    <w:link w:val="28"/>
    <w:semiHidden/>
    <w:qFormat/>
    <w:uiPriority w:val="0"/>
    <w:rPr>
      <w:rFonts w:ascii="Times New Roman" w:hAnsi="Times New Roman"/>
      <w:kern w:val="2"/>
      <w:sz w:val="18"/>
      <w:szCs w:val="18"/>
    </w:rPr>
  </w:style>
  <w:style w:type="paragraph" w:customStyle="1" w:styleId="110">
    <w:name w:val="图片"/>
    <w:basedOn w:val="1"/>
    <w:qFormat/>
    <w:uiPriority w:val="0"/>
    <w:pPr>
      <w:jc w:val="center"/>
    </w:pPr>
    <w:rPr>
      <w:rFonts w:ascii="Times New Roman" w:hAnsi="Times New Roman"/>
      <w:szCs w:val="24"/>
    </w:rPr>
  </w:style>
  <w:style w:type="character" w:customStyle="1" w:styleId="111">
    <w:name w:val="尾注文本 Char"/>
    <w:basedOn w:val="39"/>
    <w:link w:val="22"/>
    <w:qFormat/>
    <w:uiPriority w:val="0"/>
    <w:rPr>
      <w:rFonts w:ascii="Times New Roman" w:hAnsi="Times New Roman"/>
      <w:kern w:val="2"/>
      <w:sz w:val="21"/>
      <w:szCs w:val="24"/>
    </w:rPr>
  </w:style>
  <w:style w:type="character" w:customStyle="1" w:styleId="112">
    <w:name w:val="文档结构图 Char"/>
    <w:basedOn w:val="39"/>
    <w:link w:val="14"/>
    <w:semiHidden/>
    <w:qFormat/>
    <w:uiPriority w:val="0"/>
    <w:rPr>
      <w:rFonts w:ascii="宋体"/>
      <w:kern w:val="2"/>
      <w:sz w:val="18"/>
      <w:szCs w:val="18"/>
    </w:rPr>
  </w:style>
  <w:style w:type="character" w:customStyle="1" w:styleId="113">
    <w:name w:val="正文文本缩进 Char"/>
    <w:basedOn w:val="39"/>
    <w:link w:val="16"/>
    <w:semiHidden/>
    <w:qFormat/>
    <w:uiPriority w:val="99"/>
    <w:rPr>
      <w:kern w:val="2"/>
      <w:sz w:val="21"/>
      <w:szCs w:val="22"/>
    </w:rPr>
  </w:style>
  <w:style w:type="paragraph" w:customStyle="1" w:styleId="114">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样式1"/>
    <w:basedOn w:val="1"/>
    <w:qFormat/>
    <w:uiPriority w:val="0"/>
    <w:pPr>
      <w:numPr>
        <w:ilvl w:val="0"/>
        <w:numId w:val="2"/>
      </w:numPr>
      <w:spacing w:line="520" w:lineRule="exact"/>
      <w:ind w:firstLine="0"/>
      <w:jc w:val="left"/>
    </w:pPr>
    <w:rPr>
      <w:rFonts w:ascii="宋体" w:hAnsi="宋体"/>
      <w:color w:val="000000"/>
    </w:rPr>
  </w:style>
  <w:style w:type="character" w:customStyle="1" w:styleId="116">
    <w:name w:val="xiexie-正文 Char"/>
    <w:basedOn w:val="39"/>
    <w:link w:val="117"/>
    <w:qFormat/>
    <w:uiPriority w:val="0"/>
    <w:rPr>
      <w:rFonts w:hint="default" w:ascii="Times New Roman" w:hAnsi="Times New Roman" w:eastAsia="Times New Roman" w:cs="Times New Roman"/>
      <w:kern w:val="2"/>
      <w:sz w:val="24"/>
      <w:szCs w:val="22"/>
    </w:rPr>
  </w:style>
  <w:style w:type="paragraph" w:customStyle="1" w:styleId="117">
    <w:name w:val="xiexie-正文"/>
    <w:basedOn w:val="1"/>
    <w:link w:val="116"/>
    <w:qFormat/>
    <w:uiPriority w:val="0"/>
    <w:pPr>
      <w:spacing w:line="440" w:lineRule="exact"/>
      <w:ind w:firstLine="200" w:firstLineChars="200"/>
    </w:pPr>
    <w:rPr>
      <w:rFonts w:ascii="Times New Roman" w:hAnsi="Times New Roman" w:eastAsia="Times New Roman"/>
      <w:sz w:val="24"/>
    </w:rPr>
  </w:style>
  <w:style w:type="character" w:customStyle="1" w:styleId="118">
    <w:name w:val="font01"/>
    <w:basedOn w:val="39"/>
    <w:qFormat/>
    <w:uiPriority w:val="0"/>
    <w:rPr>
      <w:rFonts w:hint="eastAsia" w:ascii="微软雅黑" w:hAnsi="微软雅黑" w:eastAsia="微软雅黑" w:cs="微软雅黑"/>
      <w:color w:val="000000"/>
      <w:sz w:val="24"/>
      <w:szCs w:val="24"/>
      <w:u w:val="none"/>
    </w:rPr>
  </w:style>
  <w:style w:type="character" w:customStyle="1" w:styleId="119">
    <w:name w:val="font11"/>
    <w:basedOn w:val="39"/>
    <w:qFormat/>
    <w:uiPriority w:val="0"/>
    <w:rPr>
      <w:rFonts w:hint="eastAsia" w:ascii="微软雅黑" w:hAnsi="微软雅黑" w:eastAsia="微软雅黑" w:cs="微软雅黑"/>
      <w:color w:val="000000"/>
      <w:sz w:val="22"/>
      <w:szCs w:val="22"/>
      <w:u w:val="none"/>
    </w:rPr>
  </w:style>
  <w:style w:type="character" w:customStyle="1" w:styleId="120">
    <w:name w:val="font51"/>
    <w:basedOn w:val="39"/>
    <w:qFormat/>
    <w:uiPriority w:val="0"/>
    <w:rPr>
      <w:rFonts w:hint="default" w:ascii="方正仿宋_GBK" w:hAnsi="方正仿宋_GBK" w:eastAsia="方正仿宋_GBK" w:cs="方正仿宋_GBK"/>
      <w:color w:val="000000"/>
      <w:sz w:val="21"/>
      <w:szCs w:val="21"/>
      <w:u w:val="none"/>
    </w:rPr>
  </w:style>
  <w:style w:type="character" w:customStyle="1" w:styleId="121">
    <w:name w:val="font41"/>
    <w:basedOn w:val="39"/>
    <w:qFormat/>
    <w:uiPriority w:val="0"/>
    <w:rPr>
      <w:rFonts w:hint="default" w:ascii="Times New Roman" w:hAnsi="Times New Roman" w:cs="Times New Roman"/>
      <w:color w:val="000000"/>
      <w:sz w:val="21"/>
      <w:szCs w:val="21"/>
      <w:u w:val="none"/>
    </w:rPr>
  </w:style>
  <w:style w:type="character" w:customStyle="1" w:styleId="122">
    <w:name w:val="font21"/>
    <w:basedOn w:val="39"/>
    <w:qFormat/>
    <w:uiPriority w:val="0"/>
    <w:rPr>
      <w:rFonts w:hint="eastAsia" w:ascii="黑体" w:hAnsi="宋体" w:eastAsia="黑体" w:cs="黑体"/>
      <w:color w:val="FF0000"/>
      <w:sz w:val="22"/>
      <w:szCs w:val="22"/>
      <w:u w:val="none"/>
    </w:rPr>
  </w:style>
  <w:style w:type="character" w:customStyle="1" w:styleId="123">
    <w:name w:val="font31"/>
    <w:basedOn w:val="39"/>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EC0E5-82B4-40E1-9D56-3960DF7016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5237</Words>
  <Characters>29856</Characters>
  <Lines>248</Lines>
  <Paragraphs>70</Paragraphs>
  <TotalTime>93</TotalTime>
  <ScaleCrop>false</ScaleCrop>
  <LinksUpToDate>false</LinksUpToDate>
  <CharactersWithSpaces>35023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2018-07-02T09:23:00Z</dcterms:created>
  <dc:creator>liuhyt</dc:creator>
  <cp:lastModifiedBy>杨倩怡</cp:lastModifiedBy>
  <dcterms:modified xsi:type="dcterms:W3CDTF">2023-12-07T01:50:14Z</dcterms:modified>
  <dc:title>文本目录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