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spacing w:line="57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重庆市渝北区</w:t>
      </w:r>
      <w:r>
        <w:rPr>
          <w:rFonts w:hint="eastAsia" w:ascii="方正小标宋_GBK" w:eastAsia="方正小标宋_GBK"/>
          <w:sz w:val="44"/>
          <w:szCs w:val="44"/>
          <w:lang w:eastAsia="zh-CN"/>
        </w:rPr>
        <w:t>兴隆镇人民政府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eastAsia" w:ascii="方正小标宋_GBK" w:eastAsia="方正小标宋_GBK"/>
          <w:sz w:val="44"/>
          <w:szCs w:val="44"/>
          <w:lang w:eastAsia="zh-CN"/>
        </w:rPr>
        <w:t>关于废止有关文件</w:t>
      </w:r>
      <w:r>
        <w:rPr>
          <w:rFonts w:hint="eastAsia" w:ascii="方正小标宋_GBK" w:eastAsia="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eastAsia" w:ascii="Times New Roman" w:hAnsi="Times New Roman" w:cs="Times New Roman"/>
          <w:lang w:eastAsia="zh-CN"/>
        </w:rPr>
        <w:t>兴隆</w:t>
      </w:r>
      <w:r>
        <w:rPr>
          <w:rFonts w:hint="default" w:ascii="Times New Roman" w:hAnsi="Times New Roman" w:cs="Times New Roman"/>
        </w:rPr>
        <w:t>府发〔202</w:t>
      </w:r>
      <w:r>
        <w:rPr>
          <w:rFonts w:hint="eastAsia" w:ascii="Times New Roman" w:hAnsi="Times New Roman" w:cs="Times New Roman"/>
          <w:lang w:val="en-US" w:eastAsia="zh-CN"/>
        </w:rPr>
        <w:t>3</w:t>
      </w:r>
      <w:r>
        <w:rPr>
          <w:rFonts w:hint="default" w:ascii="Times New Roman" w:hAnsi="Times New Roman" w:cs="Times New Roman"/>
        </w:rPr>
        <w:t>〕</w:t>
      </w:r>
      <w:r>
        <w:rPr>
          <w:rFonts w:hint="eastAsia" w:ascii="Times New Roman" w:hAnsi="Times New Roman" w:cs="Times New Roman"/>
          <w:lang w:val="en-US" w:eastAsia="zh-CN"/>
        </w:rPr>
        <w:t>52</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Cs w:val="32"/>
        </w:rPr>
      </w:pPr>
    </w:p>
    <w:p>
      <w:pPr>
        <w:spacing w:line="570" w:lineRule="exact"/>
        <w:rPr>
          <w:rFonts w:hint="eastAsia" w:ascii="方正仿宋_GBK" w:eastAsia="方正仿宋_GBK"/>
          <w:sz w:val="32"/>
          <w:szCs w:val="32"/>
        </w:rPr>
      </w:pPr>
      <w:r>
        <w:rPr>
          <w:rFonts w:hint="eastAsia" w:ascii="方正仿宋_GBK" w:eastAsia="方正仿宋_GBK" w:cs="Times New Roman"/>
          <w:sz w:val="32"/>
          <w:szCs w:val="32"/>
          <w:lang w:eastAsia="zh-CN"/>
        </w:rPr>
        <w:t>各社区村（居）、镇属各有关部门、镇域各有关</w:t>
      </w:r>
      <w:bookmarkStart w:id="0" w:name="_GoBack"/>
      <w:bookmarkEnd w:id="0"/>
      <w:r>
        <w:rPr>
          <w:rFonts w:hint="eastAsia" w:ascii="方正仿宋_GBK" w:eastAsia="方正仿宋_GBK" w:cs="Times New Roman"/>
          <w:sz w:val="32"/>
          <w:szCs w:val="32"/>
          <w:lang w:eastAsia="zh-CN"/>
        </w:rPr>
        <w:t>单位</w:t>
      </w:r>
      <w:r>
        <w:rPr>
          <w:rFonts w:hint="eastAsia" w:ascii="方正仿宋_GBK" w:eastAsia="方正仿宋_GBK"/>
          <w:sz w:val="32"/>
          <w:szCs w:val="32"/>
        </w:rPr>
        <w:t>：</w:t>
      </w:r>
    </w:p>
    <w:p>
      <w:pPr>
        <w:spacing w:line="570" w:lineRule="exact"/>
        <w:ind w:firstLine="640" w:firstLineChars="200"/>
        <w:rPr>
          <w:rFonts w:hint="eastAsia" w:ascii="方正仿宋_GBK" w:eastAsia="方正仿宋_GBK" w:cs="Times New Roman"/>
          <w:sz w:val="32"/>
          <w:szCs w:val="32"/>
          <w:lang w:eastAsia="zh-CN"/>
        </w:rPr>
      </w:pPr>
      <w:r>
        <w:rPr>
          <w:rFonts w:hint="eastAsia" w:ascii="方正仿宋_GBK" w:eastAsia="方正仿宋_GBK"/>
          <w:sz w:val="32"/>
          <w:szCs w:val="32"/>
        </w:rPr>
        <w:t>为</w:t>
      </w:r>
      <w:r>
        <w:rPr>
          <w:rFonts w:hint="eastAsia" w:ascii="方正仿宋_GBK" w:eastAsia="方正仿宋_GBK"/>
          <w:sz w:val="32"/>
          <w:szCs w:val="32"/>
          <w:lang w:eastAsia="zh-CN"/>
        </w:rPr>
        <w:t>切实加强规范性文件的管理工作，确保规范性文件的合法性、规范性和准确性</w:t>
      </w:r>
      <w:r>
        <w:rPr>
          <w:rFonts w:hint="eastAsia" w:ascii="方正仿宋_GBK" w:eastAsia="方正仿宋_GBK"/>
          <w:sz w:val="32"/>
          <w:szCs w:val="32"/>
        </w:rPr>
        <w:t>。</w:t>
      </w:r>
      <w:r>
        <w:rPr>
          <w:rFonts w:hint="eastAsia" w:ascii="方正仿宋_GBK" w:eastAsia="方正仿宋_GBK"/>
          <w:sz w:val="32"/>
          <w:szCs w:val="32"/>
          <w:lang w:eastAsia="zh-CN"/>
        </w:rPr>
        <w:t>根据《重庆市规范性文件管理办法》（重庆市人民政府令第</w:t>
      </w:r>
      <w:r>
        <w:rPr>
          <w:rFonts w:hint="eastAsia" w:ascii="方正仿宋_GBK" w:eastAsia="方正仿宋_GBK"/>
          <w:sz w:val="32"/>
          <w:szCs w:val="32"/>
          <w:lang w:val="en-US" w:eastAsia="zh-CN"/>
        </w:rPr>
        <w:t>329号</w:t>
      </w:r>
      <w:r>
        <w:rPr>
          <w:rFonts w:hint="eastAsia" w:ascii="方正仿宋_GBK" w:eastAsia="方正仿宋_GBK"/>
          <w:sz w:val="32"/>
          <w:szCs w:val="32"/>
          <w:lang w:eastAsia="zh-CN"/>
        </w:rPr>
        <w:t>）、《重庆市人民政府办公厅关于清理政府规章和规范性文件的通知》有关规定，鉴于</w:t>
      </w:r>
      <w:r>
        <w:rPr>
          <w:rFonts w:hint="eastAsia" w:ascii="方正仿宋_GBK" w:eastAsia="方正仿宋_GBK"/>
          <w:sz w:val="32"/>
          <w:szCs w:val="32"/>
          <w:lang w:val="en-US" w:eastAsia="zh-CN"/>
        </w:rPr>
        <w:t>2020年7月17日印发的</w:t>
      </w:r>
      <w:r>
        <w:rPr>
          <w:rFonts w:hint="default" w:ascii="方正仿宋_GBK" w:eastAsia="方正仿宋_GBK" w:cs="Times New Roman"/>
          <w:sz w:val="32"/>
          <w:szCs w:val="32"/>
          <w:lang w:eastAsia="zh-CN"/>
        </w:rPr>
        <w:t>《重庆市渝北区兴隆镇人民政府关于印发兴隆镇小型供水工程相关管理制度的通知》</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2021年5月21日印发的</w:t>
      </w:r>
      <w:r>
        <w:rPr>
          <w:rFonts w:hint="default" w:ascii="方正仿宋_GBK" w:eastAsia="方正仿宋_GBK" w:cs="Times New Roman"/>
          <w:sz w:val="32"/>
          <w:szCs w:val="32"/>
          <w:lang w:eastAsia="zh-CN"/>
        </w:rPr>
        <w:t>《重庆市渝北区兴隆镇人民政府关于规范村级集体经济组织管理制度的通知》</w:t>
      </w:r>
      <w:r>
        <w:rPr>
          <w:rFonts w:hint="eastAsia" w:ascii="方正仿宋_GBK" w:eastAsia="方正仿宋_GBK" w:cs="Times New Roman"/>
          <w:sz w:val="32"/>
          <w:szCs w:val="32"/>
          <w:lang w:eastAsia="zh-CN"/>
        </w:rPr>
        <w:t>适用期已过，决定对《</w:t>
      </w:r>
      <w:r>
        <w:rPr>
          <w:rFonts w:hint="default" w:ascii="方正仿宋_GBK" w:eastAsia="方正仿宋_GBK" w:cs="Times New Roman"/>
          <w:sz w:val="32"/>
          <w:szCs w:val="32"/>
          <w:lang w:eastAsia="zh-CN"/>
        </w:rPr>
        <w:t>重庆市渝北区兴隆镇人民政府关于印发兴隆镇小型供水工程相关管理制度的通知</w:t>
      </w:r>
      <w:r>
        <w:rPr>
          <w:rFonts w:hint="eastAsia" w:ascii="方正仿宋_GBK" w:eastAsia="方正仿宋_GBK" w:cs="Times New Roman"/>
          <w:sz w:val="32"/>
          <w:szCs w:val="32"/>
          <w:lang w:eastAsia="zh-CN"/>
        </w:rPr>
        <w:t>》</w:t>
      </w:r>
      <w:r>
        <w:rPr>
          <w:rFonts w:hint="default" w:ascii="方正仿宋_GBK" w:eastAsia="方正仿宋_GBK" w:cs="Times New Roman"/>
          <w:sz w:val="32"/>
          <w:szCs w:val="32"/>
          <w:lang w:eastAsia="zh-CN"/>
        </w:rPr>
        <w:t>（兴隆府发〔2020〕60号）</w:t>
      </w:r>
      <w:r>
        <w:rPr>
          <w:rFonts w:hint="eastAsia" w:ascii="方正仿宋_GBK" w:eastAsia="方正仿宋_GBK" w:cs="Times New Roman"/>
          <w:sz w:val="32"/>
          <w:szCs w:val="32"/>
          <w:lang w:eastAsia="zh-CN"/>
        </w:rPr>
        <w:t>、</w:t>
      </w:r>
      <w:r>
        <w:rPr>
          <w:rFonts w:hint="default" w:ascii="方正仿宋_GBK" w:eastAsia="方正仿宋_GBK" w:cs="Times New Roman"/>
          <w:sz w:val="32"/>
          <w:szCs w:val="32"/>
          <w:lang w:eastAsia="zh-CN"/>
        </w:rPr>
        <w:t>《重庆市渝北区兴隆镇人民政府关于规范村级集体经济组织管理制度的通知》（兴隆府发〔2021〕71号）</w:t>
      </w:r>
      <w:r>
        <w:rPr>
          <w:rFonts w:hint="eastAsia" w:ascii="方正仿宋_GBK" w:eastAsia="方正仿宋_GBK" w:cs="Times New Roman"/>
          <w:sz w:val="32"/>
          <w:szCs w:val="32"/>
          <w:lang w:eastAsia="zh-CN"/>
        </w:rPr>
        <w:t>予以废止。</w:t>
      </w:r>
    </w:p>
    <w:p>
      <w:pPr>
        <w:keepNext w:val="0"/>
        <w:keepLines w:val="0"/>
        <w:pageBreakBefore w:val="0"/>
        <w:widowControl w:val="0"/>
        <w:kinsoku/>
        <w:wordWrap/>
        <w:overflowPunct/>
        <w:topLinePunct w:val="0"/>
        <w:autoSpaceDE/>
        <w:autoSpaceDN/>
        <w:bidi w:val="0"/>
        <w:adjustRightInd/>
        <w:snapToGrid/>
        <w:spacing w:line="600" w:lineRule="exact"/>
        <w:ind w:firstLine="4256" w:firstLineChars="1330"/>
        <w:jc w:val="lef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56" w:firstLineChars="1330"/>
        <w:jc w:val="left"/>
        <w:textAlignment w:val="auto"/>
        <w:rPr>
          <w:rFonts w:hint="default" w:ascii="Times New Roman" w:hAnsi="Times New Roman" w:eastAsia="方正仿宋_GBK" w:cs="Times New Roman"/>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640" w:rightChars="200" w:firstLine="64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640" w:rightChars="200" w:firstLine="640" w:firstLineChars="20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重庆市渝北区</w:t>
      </w:r>
      <w:r>
        <w:rPr>
          <w:rFonts w:hint="eastAsia" w:ascii="Times New Roman" w:hAnsi="Times New Roman" w:cs="Times New Roman"/>
          <w:lang w:eastAsia="zh-CN"/>
        </w:rPr>
        <w:t>兴隆镇</w:t>
      </w:r>
      <w:r>
        <w:rPr>
          <w:rFonts w:hint="default" w:ascii="Times New Roman" w:hAnsi="Times New Roman" w:eastAsia="方正仿宋_GBK" w:cs="Times New Roman"/>
        </w:rPr>
        <w:t>人民政府</w:t>
      </w:r>
    </w:p>
    <w:p>
      <w:pPr>
        <w:keepNext w:val="0"/>
        <w:keepLines w:val="0"/>
        <w:pageBreakBefore w:val="0"/>
        <w:widowControl w:val="0"/>
        <w:kinsoku/>
        <w:wordWrap/>
        <w:overflowPunct/>
        <w:topLinePunct w:val="0"/>
        <w:autoSpaceDE/>
        <w:autoSpaceDN/>
        <w:bidi w:val="0"/>
        <w:adjustRightInd/>
        <w:snapToGrid/>
        <w:spacing w:line="600" w:lineRule="exact"/>
        <w:ind w:right="1008" w:rightChars="315"/>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eastAsia" w:ascii="Times New Roman" w:hAnsi="Times New Roman" w:cs="Times New Roman"/>
          <w:lang w:val="en-US" w:eastAsia="zh-CN"/>
        </w:rPr>
        <w:t>3</w:t>
      </w:r>
      <w:r>
        <w:rPr>
          <w:rFonts w:hint="default" w:ascii="Times New Roman" w:hAnsi="Times New Roman" w:eastAsia="方正仿宋_GBK" w:cs="Times New Roman"/>
        </w:rPr>
        <w:t>年</w:t>
      </w:r>
      <w:r>
        <w:rPr>
          <w:rFonts w:hint="eastAsia" w:ascii="Times New Roman" w:hAnsi="Times New Roman" w:cs="Times New Roman"/>
          <w:lang w:val="en-US" w:eastAsia="zh-CN"/>
        </w:rPr>
        <w:t>5</w:t>
      </w:r>
      <w:r>
        <w:rPr>
          <w:rFonts w:hint="default" w:ascii="Times New Roman" w:hAnsi="Times New Roman" w:eastAsia="方正仿宋_GBK" w:cs="Times New Roman"/>
        </w:rPr>
        <w:t>月3</w:t>
      </w:r>
      <w:r>
        <w:rPr>
          <w:rFonts w:hint="eastAsia" w:ascii="Times New Roman" w:hAnsi="Times New Roman" w:cs="Times New Roman"/>
          <w:lang w:val="en-US" w:eastAsia="zh-CN"/>
        </w:rPr>
        <w:t>0</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（此件公开发布）</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重庆市渝北区兴隆镇人民政府办公室发布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渝北区兴隆镇人民政府行政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GQ5YWQzZmRkZTgzOTIxOTlkNjEwYzU5ODgyM2QifQ=="/>
  </w:docVars>
  <w:rsids>
    <w:rsidRoot w:val="00172A27"/>
    <w:rsid w:val="019E71BD"/>
    <w:rsid w:val="04B679C3"/>
    <w:rsid w:val="05F07036"/>
    <w:rsid w:val="06E00104"/>
    <w:rsid w:val="080F63D8"/>
    <w:rsid w:val="09341458"/>
    <w:rsid w:val="098254C2"/>
    <w:rsid w:val="0A766EDE"/>
    <w:rsid w:val="0AD64BE8"/>
    <w:rsid w:val="0B0912D7"/>
    <w:rsid w:val="0E025194"/>
    <w:rsid w:val="116E2416"/>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C2B34F5"/>
    <w:rsid w:val="5DC34279"/>
    <w:rsid w:val="5FCD688E"/>
    <w:rsid w:val="5FF9BDAA"/>
    <w:rsid w:val="604238E5"/>
    <w:rsid w:val="608816D1"/>
    <w:rsid w:val="60EF4E7F"/>
    <w:rsid w:val="648B0A32"/>
    <w:rsid w:val="665233C1"/>
    <w:rsid w:val="66DB1F08"/>
    <w:rsid w:val="66F05C75"/>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384</Words>
  <Characters>410</Characters>
  <Lines>1</Lines>
  <Paragraphs>1</Paragraphs>
  <TotalTime>5</TotalTime>
  <ScaleCrop>false</ScaleCrop>
  <LinksUpToDate>false</LinksUpToDate>
  <CharactersWithSpaces>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sol</cp:lastModifiedBy>
  <cp:lastPrinted>2022-05-11T08:46:00Z</cp:lastPrinted>
  <dcterms:modified xsi:type="dcterms:W3CDTF">2023-05-31T06:31:14Z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37C65AB8A8514BC48FC97866303F1DFC</vt:lpwstr>
  </property>
</Properties>
</file>