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  <w:tab w:val="center" w:pos="4482"/>
        </w:tabs>
        <w:spacing w:line="579" w:lineRule="exact"/>
        <w:jc w:val="left"/>
        <w:rPr>
          <w:rFonts w:hint="eastAsia" w:ascii="方正小标宋_GBK" w:eastAsia="方正小标宋_GBK" w:hAnsiTheme="minorHAnsi" w:cstheme="minorBidi"/>
          <w:sz w:val="44"/>
          <w:szCs w:val="44"/>
          <w:lang w:eastAsia="zh-CN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  <w:lang w:eastAsia="zh-CN"/>
        </w:rPr>
        <w:tab/>
      </w:r>
    </w:p>
    <w:p>
      <w:pPr>
        <w:tabs>
          <w:tab w:val="left" w:pos="615"/>
          <w:tab w:val="center" w:pos="4482"/>
        </w:tabs>
        <w:spacing w:line="579" w:lineRule="exact"/>
        <w:jc w:val="left"/>
        <w:rPr>
          <w:rFonts w:hint="eastAsia" w:ascii="方正小标宋_GBK" w:eastAsia="方正小标宋_GBK" w:hAnsiTheme="minorHAnsi" w:cstheme="minorBidi"/>
          <w:sz w:val="44"/>
          <w:szCs w:val="44"/>
          <w:lang w:eastAsia="zh-CN"/>
        </w:rPr>
      </w:pPr>
    </w:p>
    <w:p>
      <w:pPr>
        <w:tabs>
          <w:tab w:val="left" w:pos="615"/>
          <w:tab w:val="center" w:pos="4482"/>
        </w:tabs>
        <w:spacing w:line="579" w:lineRule="exact"/>
        <w:jc w:val="left"/>
        <w:rPr>
          <w:rFonts w:hint="eastAsia" w:ascii="方正小标宋_GBK" w:eastAsia="方正小标宋_GBK" w:hAnsiTheme="minorHAnsi" w:cstheme="minorBidi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王家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发〔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000000"/>
          <w:sz w:val="32"/>
          <w:szCs w:val="20"/>
        </w:rPr>
        <w:t>号</w:t>
      </w:r>
    </w:p>
    <w:p>
      <w:pPr>
        <w:tabs>
          <w:tab w:val="left" w:pos="615"/>
          <w:tab w:val="center" w:pos="4482"/>
        </w:tabs>
        <w:spacing w:line="579" w:lineRule="exact"/>
        <w:jc w:val="left"/>
        <w:rPr>
          <w:rFonts w:hint="eastAsia" w:ascii="方正小标宋_GBK" w:eastAsia="方正小标宋_GBK" w:hAnsiTheme="minorHAnsi" w:cstheme="minorBidi"/>
          <w:sz w:val="44"/>
          <w:szCs w:val="44"/>
          <w:lang w:eastAsia="zh-CN"/>
        </w:rPr>
      </w:pPr>
    </w:p>
    <w:p>
      <w:pPr>
        <w:tabs>
          <w:tab w:val="left" w:pos="615"/>
          <w:tab w:val="center" w:pos="4482"/>
        </w:tabs>
        <w:spacing w:line="579" w:lineRule="exact"/>
        <w:jc w:val="left"/>
        <w:rPr>
          <w:rFonts w:hint="eastAsia" w:ascii="方正小标宋_GBK" w:eastAsia="方正小标宋_GBK" w:hAnsiTheme="minorHAnsi" w:cstheme="minorBidi"/>
          <w:sz w:val="44"/>
          <w:szCs w:val="44"/>
          <w:lang w:eastAsia="zh-CN"/>
        </w:rPr>
      </w:pPr>
    </w:p>
    <w:p>
      <w:pPr>
        <w:tabs>
          <w:tab w:val="left" w:pos="615"/>
          <w:tab w:val="center" w:pos="4482"/>
        </w:tabs>
        <w:spacing w:line="579" w:lineRule="exact"/>
        <w:jc w:val="left"/>
        <w:rPr>
          <w:rFonts w:hint="eastAsia" w:ascii="方正小标宋_GBK" w:eastAsia="方正小标宋_GBK" w:hAnsiTheme="minorHAnsi" w:cstheme="minorBidi"/>
          <w:sz w:val="44"/>
          <w:szCs w:val="44"/>
          <w:lang w:eastAsia="zh-CN"/>
        </w:rPr>
      </w:pPr>
    </w:p>
    <w:p>
      <w:pPr>
        <w:tabs>
          <w:tab w:val="left" w:pos="615"/>
          <w:tab w:val="center" w:pos="4482"/>
        </w:tabs>
        <w:spacing w:line="579" w:lineRule="exact"/>
        <w:jc w:val="left"/>
        <w:rPr>
          <w:rFonts w:ascii="方正小标宋_GBK" w:eastAsia="方正小标宋_GBK" w:hAnsiTheme="minorHAnsi" w:cstheme="minorBidi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  <w:lang w:eastAsia="zh-CN"/>
        </w:rPr>
        <w:tab/>
      </w:r>
      <w:r>
        <w:rPr>
          <w:rFonts w:hint="eastAsia" w:ascii="方正小标宋_GBK" w:eastAsia="方正小标宋_GBK" w:hAnsiTheme="minorHAnsi" w:cstheme="minorBidi"/>
          <w:sz w:val="44"/>
          <w:szCs w:val="44"/>
        </w:rPr>
        <w:t>重庆市渝北区人民政府</w:t>
      </w:r>
      <w:r>
        <w:rPr>
          <w:rFonts w:hint="eastAsia" w:ascii="方正小标宋_GBK" w:eastAsia="方正小标宋_GBK" w:hAnsiTheme="minorHAnsi" w:cstheme="minorBidi"/>
          <w:sz w:val="44"/>
          <w:szCs w:val="44"/>
          <w:lang w:eastAsia="zh-CN"/>
        </w:rPr>
        <w:t>王家</w:t>
      </w:r>
      <w:r>
        <w:rPr>
          <w:rFonts w:hint="eastAsia" w:ascii="方正小标宋_GBK" w:eastAsia="方正小标宋_GBK" w:hAnsiTheme="minorHAnsi" w:cstheme="minorBidi"/>
          <w:sz w:val="44"/>
          <w:szCs w:val="44"/>
        </w:rPr>
        <w:t>街道办事处</w:t>
      </w:r>
    </w:p>
    <w:p>
      <w:pPr>
        <w:spacing w:line="579" w:lineRule="exact"/>
        <w:jc w:val="center"/>
        <w:rPr>
          <w:rFonts w:ascii="方正小标宋_GBK" w:eastAsia="方正小标宋_GBK" w:hAnsiTheme="minorHAnsi" w:cstheme="minorBidi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</w:rPr>
        <w:t>关于开展安全生产与自然灾害风险隐患</w:t>
      </w:r>
    </w:p>
    <w:p>
      <w:pPr>
        <w:spacing w:line="579" w:lineRule="exact"/>
        <w:jc w:val="center"/>
        <w:rPr>
          <w:rFonts w:ascii="方正仿宋_GBK" w:cstheme="minorBidi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</w:rPr>
        <w:t>拉网式排查整治行动的紧急通知</w:t>
      </w:r>
    </w:p>
    <w:p>
      <w:pPr>
        <w:spacing w:line="579" w:lineRule="exact"/>
        <w:rPr>
          <w:rFonts w:ascii="Times New Roman" w:hAnsi="Times New Roman" w:cstheme="minorBidi"/>
          <w:sz w:val="32"/>
          <w:szCs w:val="32"/>
        </w:rPr>
      </w:pPr>
    </w:p>
    <w:p>
      <w:pPr>
        <w:spacing w:line="579" w:lineRule="exact"/>
        <w:rPr>
          <w:rFonts w:ascii="Times New Roman" w:hAnsi="Times New Roman" w:eastAsia="方正楷体_GBK" w:cstheme="minorBidi"/>
          <w:sz w:val="32"/>
          <w:szCs w:val="32"/>
        </w:rPr>
      </w:pPr>
      <w:r>
        <w:rPr>
          <w:rFonts w:hint="eastAsia" w:ascii="Times New Roman" w:hAnsi="Times New Roman" w:eastAsia="方正楷体_GBK" w:cstheme="minorBidi"/>
          <w:sz w:val="32"/>
          <w:szCs w:val="32"/>
          <w:lang w:eastAsia="zh-CN"/>
        </w:rPr>
        <w:t>各村（居）委会，各</w:t>
      </w:r>
      <w:r>
        <w:rPr>
          <w:rFonts w:hint="eastAsia" w:ascii="Times New Roman" w:hAnsi="Times New Roman" w:eastAsia="方正楷体_GBK" w:cstheme="minorBidi"/>
          <w:sz w:val="32"/>
          <w:szCs w:val="32"/>
        </w:rPr>
        <w:t>安委会、减灾委成员单位：</w:t>
      </w:r>
    </w:p>
    <w:p>
      <w:pPr>
        <w:spacing w:line="579" w:lineRule="exact"/>
        <w:ind w:firstLine="640" w:firstLineChars="200"/>
        <w:rPr>
          <w:rFonts w:ascii="Times New Roman" w:hAnsi="Times New Roman" w:cs="方正仿宋_GBK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为深刻吸取近期全市事故教训，确保2022年春节、</w:t>
      </w:r>
      <w:bookmarkStart w:id="0" w:name="_GoBack"/>
      <w:bookmarkEnd w:id="0"/>
      <w:r>
        <w:rPr>
          <w:rFonts w:hint="eastAsia" w:ascii="Times New Roman" w:hAnsi="Times New Roman"/>
          <w:sz w:val="32"/>
          <w:szCs w:val="32"/>
          <w:lang w:eastAsia="zh-CN"/>
        </w:rPr>
        <w:t>全国两会期间</w:t>
      </w:r>
      <w:r>
        <w:rPr>
          <w:rFonts w:hint="eastAsia" w:ascii="Times New Roman" w:hAnsi="Times New Roman"/>
          <w:sz w:val="32"/>
          <w:szCs w:val="32"/>
        </w:rPr>
        <w:t>安全生产与自然灾害防治</w:t>
      </w:r>
      <w:r>
        <w:rPr>
          <w:rFonts w:hint="eastAsia" w:ascii="Times New Roman" w:hAnsi="Times New Roman"/>
          <w:sz w:val="32"/>
          <w:szCs w:val="32"/>
          <w:lang w:eastAsia="zh-CN"/>
        </w:rPr>
        <w:t>领域</w:t>
      </w:r>
      <w:r>
        <w:rPr>
          <w:rFonts w:hint="eastAsia" w:ascii="Times New Roman" w:hAnsi="Times New Roman"/>
          <w:sz w:val="32"/>
          <w:szCs w:val="32"/>
        </w:rPr>
        <w:t>安全无事故，根据各级领导指示要求</w:t>
      </w:r>
      <w:r>
        <w:rPr>
          <w:rFonts w:hint="eastAsia" w:ascii="Times New Roman" w:hAnsi="Times New Roman"/>
          <w:sz w:val="32"/>
          <w:szCs w:val="32"/>
          <w:lang w:eastAsia="zh-CN"/>
        </w:rPr>
        <w:t>，决定</w:t>
      </w:r>
      <w:r>
        <w:rPr>
          <w:rFonts w:hint="eastAsia" w:ascii="Times New Roman" w:hAnsi="Times New Roman"/>
          <w:sz w:val="32"/>
          <w:szCs w:val="32"/>
        </w:rPr>
        <w:t>从即日起持续开展安全隐患拉网式大排查大整治</w:t>
      </w:r>
      <w:r>
        <w:rPr>
          <w:rFonts w:hint="eastAsia" w:ascii="Times New Roman" w:hAnsi="Times New Roman"/>
          <w:sz w:val="32"/>
          <w:szCs w:val="32"/>
          <w:lang w:eastAsia="zh-CN"/>
        </w:rPr>
        <w:t>大执法</w:t>
      </w:r>
      <w:r>
        <w:rPr>
          <w:rFonts w:hint="eastAsia" w:ascii="Times New Roman" w:hAnsi="Times New Roman"/>
          <w:sz w:val="32"/>
          <w:szCs w:val="32"/>
        </w:rPr>
        <w:t>行动</w:t>
      </w:r>
      <w:r>
        <w:rPr>
          <w:rFonts w:hint="eastAsia" w:ascii="Times New Roman" w:hAnsi="Times New Roman" w:cs="方正仿宋_GBK"/>
          <w:sz w:val="32"/>
          <w:szCs w:val="32"/>
        </w:rPr>
        <w:t>。具体通知如下：</w:t>
      </w:r>
    </w:p>
    <w:p>
      <w:pPr>
        <w:spacing w:line="579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一、总体要求</w:t>
      </w:r>
    </w:p>
    <w:p>
      <w:pPr>
        <w:spacing w:line="579" w:lineRule="exact"/>
        <w:ind w:firstLine="640" w:firstLineChars="200"/>
        <w:rPr>
          <w:rFonts w:ascii="Times New Roman" w:hAnsi="Times New Roman" w:cs="方正仿宋_GBK"/>
          <w:sz w:val="32"/>
          <w:szCs w:val="32"/>
        </w:rPr>
      </w:pPr>
      <w:r>
        <w:rPr>
          <w:rFonts w:hint="eastAsia" w:ascii="Times New Roman" w:hAnsi="Times New Roman" w:cs="方正仿宋_GBK"/>
          <w:sz w:val="32"/>
          <w:szCs w:val="32"/>
        </w:rPr>
        <w:t>坚持“人民至上、生命至上”原则，按照“全面、彻底、不留死角盲区和漏洞”的目标，举一反三，认真开展隐患排查治理，坚决杜绝隐患演变成事故，确保人民生命财产安全。</w:t>
      </w:r>
    </w:p>
    <w:p>
      <w:pPr>
        <w:spacing w:line="579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二、排查重点</w:t>
      </w:r>
    </w:p>
    <w:p>
      <w:pPr>
        <w:spacing w:line="579" w:lineRule="exact"/>
        <w:ind w:firstLine="640" w:firstLineChars="200"/>
        <w:rPr>
          <w:rFonts w:ascii="Times New Roman" w:hAnsi="Times New Roman" w:cs="方正仿宋_GBK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各类</w:t>
      </w:r>
      <w:r>
        <w:rPr>
          <w:rFonts w:hint="eastAsia" w:ascii="Times New Roman" w:hAnsi="Times New Roman"/>
          <w:sz w:val="32"/>
          <w:szCs w:val="32"/>
        </w:rPr>
        <w:t>燃气</w:t>
      </w:r>
      <w:r>
        <w:rPr>
          <w:rFonts w:hint="eastAsia" w:ascii="Times New Roman" w:hAnsi="Times New Roman"/>
          <w:sz w:val="32"/>
          <w:szCs w:val="32"/>
          <w:lang w:eastAsia="zh-CN"/>
        </w:rPr>
        <w:t>（油）</w:t>
      </w:r>
      <w:r>
        <w:rPr>
          <w:rFonts w:hint="eastAsia" w:ascii="Times New Roman" w:hAnsi="Times New Roman"/>
          <w:sz w:val="32"/>
          <w:szCs w:val="32"/>
        </w:rPr>
        <w:t>、电力、危化品、</w:t>
      </w:r>
      <w:r>
        <w:rPr>
          <w:rFonts w:hint="eastAsia" w:ascii="Times New Roman" w:hAnsi="Times New Roman"/>
          <w:sz w:val="32"/>
          <w:szCs w:val="32"/>
          <w:lang w:eastAsia="zh-CN"/>
        </w:rPr>
        <w:t>工商贸、</w:t>
      </w:r>
      <w:r>
        <w:rPr>
          <w:rFonts w:hint="eastAsia" w:ascii="Times New Roman" w:hAnsi="Times New Roman"/>
          <w:sz w:val="32"/>
          <w:szCs w:val="32"/>
        </w:rPr>
        <w:t>建筑施工、</w:t>
      </w:r>
      <w:r>
        <w:rPr>
          <w:rFonts w:hint="eastAsia" w:ascii="Times New Roman" w:hAnsi="Times New Roman"/>
          <w:sz w:val="32"/>
          <w:szCs w:val="32"/>
          <w:lang w:eastAsia="zh-CN"/>
        </w:rPr>
        <w:t>森林防火</w:t>
      </w:r>
      <w:r>
        <w:rPr>
          <w:rFonts w:hint="eastAsia" w:ascii="Times New Roman" w:hAnsi="Times New Roman"/>
          <w:sz w:val="32"/>
          <w:szCs w:val="32"/>
        </w:rPr>
        <w:t>、消防、老旧建筑、特种设备、春运交通、</w:t>
      </w:r>
      <w:r>
        <w:rPr>
          <w:rFonts w:hint="eastAsia" w:ascii="Times New Roman" w:hAnsi="Times New Roman" w:cs="方正仿宋_GBK"/>
          <w:sz w:val="32"/>
          <w:szCs w:val="32"/>
        </w:rPr>
        <w:t>地质灾害等行业领域。</w:t>
      </w:r>
    </w:p>
    <w:p>
      <w:pPr>
        <w:spacing w:line="579" w:lineRule="exact"/>
        <w:ind w:left="632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三、组织实施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方正楷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（一）工作方式。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各成员单位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按照属事属地原则落实排查治理工作</w:t>
      </w:r>
      <w:r>
        <w:rPr>
          <w:rFonts w:hint="eastAsia" w:ascii="Times New Roman" w:hAnsi="Times New Roman" w:cs="方正仿宋_GBK"/>
          <w:sz w:val="32"/>
          <w:szCs w:val="32"/>
        </w:rPr>
        <w:t>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主管科室、单位带专家、属地村（居）排查重点部位，村（居）按属地全面排查。</w:t>
      </w:r>
    </w:p>
    <w:p>
      <w:pPr>
        <w:spacing w:line="579" w:lineRule="exact"/>
        <w:ind w:firstLine="640" w:firstLineChars="200"/>
        <w:rPr>
          <w:rFonts w:ascii="Times New Roman" w:hAnsi="Times New Roman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（二）实施主体</w:t>
      </w:r>
      <w:r>
        <w:rPr>
          <w:rFonts w:hint="eastAsia" w:ascii="Times New Roman" w:hAnsi="Times New Roman" w:cs="方正仿宋_GBK"/>
          <w:sz w:val="32"/>
          <w:szCs w:val="32"/>
        </w:rPr>
        <w:t>。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街道各成员单位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组建各自行业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领域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的隐患排查专班，开展街道辖区范围内隐患排查治理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督促各行业企业、单位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落实主体责任并立即开展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隐患自查自改。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街道各行业主管科室、单位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要充分发挥行业牵头作用，开展所属重点监管对象的隐患排查治理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燃气、电力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、通讯、教育等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行业由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街道相关科室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协调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区主管单位或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当事公司制定专项方案并组织实施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各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村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（居）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要以网格为单位全覆盖开展隐患排查，</w:t>
      </w:r>
      <w:r>
        <w:rPr>
          <w:rFonts w:hint="eastAsia" w:ascii="Times New Roman" w:hAnsi="Times New Roman"/>
          <w:sz w:val="32"/>
          <w:szCs w:val="32"/>
          <w:lang w:eastAsia="zh-CN"/>
        </w:rPr>
        <w:t>营造</w:t>
      </w:r>
      <w:r>
        <w:rPr>
          <w:rFonts w:hint="eastAsia" w:ascii="Times New Roman" w:hAnsi="Times New Roman"/>
          <w:sz w:val="32"/>
          <w:szCs w:val="32"/>
        </w:rPr>
        <w:t>浓厚安全宣传氛围。</w:t>
      </w:r>
    </w:p>
    <w:p>
      <w:pPr>
        <w:spacing w:line="579" w:lineRule="exact"/>
        <w:ind w:firstLine="640" w:firstLineChars="200"/>
        <w:rPr>
          <w:rFonts w:ascii="Times New Roman" w:hAnsi="Times New Roman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（三）每日报告。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街道各成员单位</w:t>
      </w:r>
      <w:r>
        <w:rPr>
          <w:rFonts w:hint="eastAsia" w:ascii="Times New Roman" w:hAnsi="Times New Roman" w:cs="方正仿宋_GBK"/>
          <w:sz w:val="32"/>
          <w:szCs w:val="32"/>
        </w:rPr>
        <w:t>从</w:t>
      </w:r>
      <w:r>
        <w:rPr>
          <w:rFonts w:hint="eastAsia" w:ascii="Times New Roman" w:hAnsi="Times New Roman" w:cs="方正楷体_GBK"/>
          <w:color w:val="000000"/>
          <w:kern w:val="0"/>
          <w:sz w:val="32"/>
          <w:szCs w:val="32"/>
        </w:rPr>
        <w:t>1月8日起</w:t>
      </w:r>
      <w:r>
        <w:rPr>
          <w:rFonts w:hint="eastAsia" w:ascii="Times New Roman" w:hAnsi="Times New Roman" w:cs="方正仿宋_GBK"/>
          <w:sz w:val="32"/>
          <w:szCs w:val="32"/>
        </w:rPr>
        <w:t>每日16时前将本辖区本行业隐患排查整治情况（附件）报街道安委办（截止报告时间另行通知），安委办汇总后每日报街道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主要</w:t>
      </w:r>
      <w:r>
        <w:rPr>
          <w:rFonts w:hint="eastAsia" w:ascii="Times New Roman" w:hAnsi="Times New Roman" w:cs="方正仿宋_GBK"/>
          <w:sz w:val="32"/>
          <w:szCs w:val="32"/>
        </w:rPr>
        <w:t>领导。对检查不严肃、报告不如实、整治不坚决的，街道纪工委将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严肃</w:t>
      </w:r>
      <w:r>
        <w:rPr>
          <w:rFonts w:hint="eastAsia" w:ascii="Times New Roman" w:hAnsi="Times New Roman" w:cs="方正仿宋_GBK"/>
          <w:sz w:val="32"/>
          <w:szCs w:val="32"/>
        </w:rPr>
        <w:t>追究责任。</w:t>
      </w:r>
    </w:p>
    <w:p>
      <w:pPr>
        <w:spacing w:line="579" w:lineRule="exact"/>
        <w:ind w:firstLine="636"/>
        <w:rPr>
          <w:rFonts w:ascii="Times New Roman" w:hAnsi="Times New Roman" w:cstheme="minorBidi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方正楷体_GBK" w:cstheme="minorBidi"/>
          <w:sz w:val="32"/>
          <w:szCs w:val="32"/>
        </w:rPr>
        <w:t>强化措施。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街道各成员单位</w:t>
      </w:r>
      <w:r>
        <w:rPr>
          <w:rFonts w:hint="eastAsia" w:ascii="Times New Roman" w:hAnsi="Times New Roman" w:cstheme="minorBidi"/>
          <w:sz w:val="32"/>
          <w:szCs w:val="32"/>
        </w:rPr>
        <w:t>要针对重点行业领域，落实专家参与检查，严格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督促生产经营单位</w:t>
      </w:r>
      <w:r>
        <w:rPr>
          <w:rFonts w:hint="eastAsia" w:ascii="Times New Roman" w:hAnsi="Times New Roman" w:cstheme="minorBidi"/>
          <w:sz w:val="32"/>
          <w:szCs w:val="32"/>
        </w:rPr>
        <w:t>落实“日周月”安全隐患排查制度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。</w:t>
      </w:r>
      <w:r>
        <w:rPr>
          <w:rFonts w:hint="eastAsia" w:ascii="Times New Roman" w:hAnsi="Times New Roman" w:cstheme="minorBidi"/>
          <w:sz w:val="32"/>
          <w:szCs w:val="32"/>
        </w:rPr>
        <w:t>对排查出的隐患，按照“定人、定责、定目标、定时间、定任务、定标准”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的方式</w:t>
      </w:r>
      <w:r>
        <w:rPr>
          <w:rFonts w:hint="eastAsia" w:ascii="Times New Roman" w:hAnsi="Times New Roman" w:cstheme="minorBidi"/>
          <w:sz w:val="32"/>
          <w:szCs w:val="32"/>
        </w:rPr>
        <w:t>制定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整改</w:t>
      </w:r>
      <w:r>
        <w:rPr>
          <w:rFonts w:hint="eastAsia" w:ascii="Times New Roman" w:hAnsi="Times New Roman" w:cstheme="minorBidi"/>
          <w:sz w:val="32"/>
          <w:szCs w:val="32"/>
        </w:rPr>
        <w:t>措施，逐项按期落实整治验收销号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。</w:t>
      </w:r>
      <w:r>
        <w:rPr>
          <w:rFonts w:hint="eastAsia" w:ascii="Times New Roman" w:hAnsi="Times New Roman" w:cstheme="minorBidi"/>
          <w:sz w:val="32"/>
          <w:szCs w:val="32"/>
        </w:rPr>
        <w:t>对未按期完成整治的难点问题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，</w:t>
      </w:r>
      <w:r>
        <w:rPr>
          <w:rFonts w:hint="eastAsia" w:ascii="Times New Roman" w:hAnsi="Times New Roman" w:cstheme="minorBidi"/>
          <w:sz w:val="32"/>
          <w:szCs w:val="32"/>
        </w:rPr>
        <w:t>要及时报请区级行业主管部门给予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帮助</w:t>
      </w:r>
      <w:r>
        <w:rPr>
          <w:rFonts w:hint="eastAsia" w:ascii="Times New Roman" w:hAnsi="Times New Roman" w:cstheme="minorBidi"/>
          <w:sz w:val="32"/>
          <w:szCs w:val="32"/>
        </w:rPr>
        <w:t>支持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。因主观原因整改不到位的，按程序给予行政处罚。</w:t>
      </w:r>
    </w:p>
    <w:p>
      <w:pPr>
        <w:spacing w:line="579" w:lineRule="exact"/>
        <w:ind w:firstLine="636"/>
        <w:rPr>
          <w:rFonts w:ascii="Times New Roman" w:hAnsi="Times New Roman" w:cstheme="minorBidi"/>
          <w:sz w:val="32"/>
          <w:szCs w:val="32"/>
        </w:rPr>
      </w:pPr>
      <w:r>
        <w:rPr>
          <w:rFonts w:hint="eastAsia" w:ascii="Times New Roman" w:hAnsi="Times New Roman" w:eastAsia="方正楷体_GBK" w:cstheme="minorBidi"/>
          <w:sz w:val="32"/>
          <w:szCs w:val="32"/>
        </w:rPr>
        <w:t>（五）加强督查。</w:t>
      </w:r>
      <w:r>
        <w:rPr>
          <w:rFonts w:hint="eastAsia" w:ascii="Times New Roman" w:hAnsi="Times New Roman" w:cstheme="minorBidi"/>
          <w:sz w:val="32"/>
          <w:szCs w:val="32"/>
        </w:rPr>
        <w:t>街道安委会、减灾委将联合纪工委，成立督查组，采取“四不两直”的方式对各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成员</w:t>
      </w:r>
      <w:r>
        <w:rPr>
          <w:rFonts w:hint="eastAsia" w:ascii="Times New Roman" w:hAnsi="Times New Roman" w:cstheme="minorBidi"/>
          <w:sz w:val="32"/>
          <w:szCs w:val="32"/>
        </w:rPr>
        <w:t>单位工作开展情况进行督查检查，每周将督查情况报街道主要领导。</w:t>
      </w:r>
    </w:p>
    <w:p>
      <w:pPr>
        <w:spacing w:line="579" w:lineRule="exact"/>
        <w:ind w:firstLine="636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联系人及电话：</w:t>
      </w:r>
      <w:r>
        <w:rPr>
          <w:rFonts w:hint="eastAsia" w:ascii="Times New Roman" w:hAnsi="Times New Roman"/>
          <w:sz w:val="32"/>
          <w:lang w:eastAsia="zh-CN"/>
        </w:rPr>
        <w:t>张超</w:t>
      </w:r>
      <w:r>
        <w:rPr>
          <w:rFonts w:hint="eastAsia" w:ascii="Times New Roman" w:hAnsi="Times New Roman"/>
          <w:sz w:val="32"/>
        </w:rPr>
        <w:t>，</w:t>
      </w:r>
      <w:r>
        <w:rPr>
          <w:rFonts w:hint="eastAsia" w:ascii="Times New Roman" w:hAnsi="Times New Roman"/>
          <w:sz w:val="32"/>
          <w:lang w:val="en-US" w:eastAsia="zh-CN"/>
        </w:rPr>
        <w:t>67179795</w:t>
      </w:r>
      <w:r>
        <w:rPr>
          <w:rFonts w:hint="eastAsia" w:ascii="Times New Roman" w:hAnsi="Times New Roman"/>
          <w:sz w:val="32"/>
        </w:rPr>
        <w:t>。</w:t>
      </w:r>
    </w:p>
    <w:p>
      <w:pPr>
        <w:spacing w:line="579" w:lineRule="exact"/>
        <w:ind w:firstLine="608" w:firstLineChars="200"/>
        <w:rPr>
          <w:rFonts w:ascii="Times New Roman" w:hAnsi="Times New Roman" w:cs="方正仿宋_GBK"/>
          <w:w w:val="95"/>
          <w:sz w:val="32"/>
          <w:szCs w:val="32"/>
        </w:rPr>
      </w:pPr>
    </w:p>
    <w:p>
      <w:pPr>
        <w:spacing w:line="240" w:lineRule="auto"/>
        <w:ind w:firstLine="640" w:firstLineChars="200"/>
        <w:jc w:val="left"/>
        <w:rPr>
          <w:rFonts w:hint="eastAsia" w:ascii="Times New Roman" w:hAnsi="Times New Roman" w:cstheme="minorBidi"/>
          <w:sz w:val="32"/>
          <w:szCs w:val="32"/>
        </w:rPr>
      </w:pPr>
      <w:r>
        <w:rPr>
          <w:rFonts w:hint="eastAsia" w:ascii="Times New Roman" w:hAnsi="Times New Roman" w:cstheme="minorBidi"/>
          <w:sz w:val="32"/>
          <w:szCs w:val="32"/>
        </w:rPr>
        <w:t>附件：</w:t>
      </w:r>
      <w:r>
        <w:rPr>
          <w:rFonts w:hint="eastAsia" w:ascii="Times New Roman" w:hAnsi="Times New Roman" w:cstheme="minorBidi"/>
          <w:sz w:val="32"/>
          <w:szCs w:val="32"/>
          <w:lang w:eastAsia="zh-CN"/>
        </w:rPr>
        <w:t>王家</w:t>
      </w:r>
      <w:r>
        <w:rPr>
          <w:rFonts w:hint="eastAsia" w:ascii="Times New Roman" w:hAnsi="Times New Roman" w:cstheme="minorBidi"/>
          <w:sz w:val="32"/>
          <w:szCs w:val="32"/>
        </w:rPr>
        <w:t xml:space="preserve">街道安全生产与自然灾害风险隐患统计表         </w:t>
      </w:r>
    </w:p>
    <w:p>
      <w:pPr>
        <w:spacing w:line="579" w:lineRule="exact"/>
        <w:ind w:firstLine="636"/>
        <w:rPr>
          <w:rFonts w:hint="eastAsia" w:ascii="Times New Roman" w:hAnsi="Times New Roman" w:cstheme="minorBidi"/>
          <w:sz w:val="32"/>
          <w:szCs w:val="32"/>
        </w:rPr>
      </w:pPr>
      <w:r>
        <w:rPr>
          <w:rFonts w:hint="eastAsia" w:ascii="Times New Roman" w:hAnsi="Times New Roman" w:cstheme="minorBidi"/>
          <w:sz w:val="32"/>
          <w:szCs w:val="32"/>
        </w:rPr>
        <w:t xml:space="preserve">   </w:t>
      </w:r>
    </w:p>
    <w:p>
      <w:pPr>
        <w:spacing w:line="579" w:lineRule="exact"/>
        <w:rPr>
          <w:rFonts w:ascii="Times New Roman" w:hAnsi="Times New Roman"/>
          <w:sz w:val="32"/>
        </w:rPr>
      </w:pPr>
    </w:p>
    <w:p>
      <w:pPr>
        <w:spacing w:line="579" w:lineRule="exact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rFonts w:hint="eastAsia" w:ascii="Times New Roman" w:hAnsi="Times New Roman"/>
          <w:spacing w:val="-20"/>
          <w:sz w:val="32"/>
          <w:szCs w:val="32"/>
        </w:rPr>
        <w:t xml:space="preserve">                       重庆市渝北区人民政府</w:t>
      </w:r>
      <w:r>
        <w:rPr>
          <w:rFonts w:hint="eastAsia" w:ascii="Times New Roman" w:hAnsi="Times New Roman"/>
          <w:spacing w:val="-20"/>
          <w:sz w:val="32"/>
          <w:szCs w:val="32"/>
          <w:lang w:eastAsia="zh-CN"/>
        </w:rPr>
        <w:t>王家</w:t>
      </w:r>
      <w:r>
        <w:rPr>
          <w:rFonts w:hint="eastAsia" w:ascii="Times New Roman" w:hAnsi="Times New Roman"/>
          <w:spacing w:val="-20"/>
          <w:sz w:val="32"/>
          <w:szCs w:val="32"/>
        </w:rPr>
        <w:t>街道办事处</w:t>
      </w:r>
    </w:p>
    <w:p>
      <w:pPr>
        <w:spacing w:line="579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                  2022年1月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/>
          <w:sz w:val="32"/>
          <w:szCs w:val="32"/>
        </w:rPr>
        <w:t>日</w:t>
      </w:r>
    </w:p>
    <w:p>
      <w:pPr>
        <w:rPr>
          <w:rFonts w:ascii="Times New Roman" w:hAnsi="Times New Roman"/>
          <w:sz w:val="32"/>
        </w:rPr>
      </w:pPr>
    </w:p>
    <w:p/>
    <w:p/>
    <w:p/>
    <w:p/>
    <w:p/>
    <w:p/>
    <w:p>
      <w:p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cols w:space="425" w:num="1"/>
          <w:docGrid w:type="lines" w:linePitch="435" w:charSpace="0"/>
        </w:sectPr>
      </w:pPr>
    </w:p>
    <w:p>
      <w:pPr>
        <w:rPr>
          <w:rFonts w:hint="eastAsia" w:asciiTheme="majorEastAsia" w:hAnsiTheme="majorEastAsia" w:eastAsiaTheme="majorEastAsia" w:cstheme="majorEastAsia"/>
          <w:b/>
          <w:bCs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eastAsia="zh-CN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王家</w:t>
      </w:r>
      <w:r>
        <w:rPr>
          <w:rFonts w:hint="eastAsia" w:ascii="方正小标宋_GBK" w:eastAsia="方正小标宋_GBK"/>
          <w:sz w:val="44"/>
          <w:szCs w:val="44"/>
        </w:rPr>
        <w:t>街道安全生产与自然灾害风险隐患统计表</w:t>
      </w:r>
    </w:p>
    <w:p>
      <w:pPr>
        <w:widowControl/>
        <w:spacing w:line="600" w:lineRule="exact"/>
        <w:jc w:val="left"/>
        <w:rPr>
          <w:rFonts w:ascii="方正仿宋_GBK"/>
          <w:sz w:val="28"/>
          <w:szCs w:val="21"/>
        </w:rPr>
      </w:pPr>
      <w:r>
        <w:rPr>
          <w:rFonts w:hint="eastAsia" w:ascii="方正仿宋_GBK"/>
          <w:sz w:val="28"/>
          <w:szCs w:val="21"/>
          <w:lang w:eastAsia="zh-CN"/>
        </w:rPr>
        <w:t>填报单位</w:t>
      </w:r>
      <w:r>
        <w:rPr>
          <w:rFonts w:hint="eastAsia" w:ascii="方正仿宋_GBK"/>
          <w:sz w:val="28"/>
          <w:szCs w:val="21"/>
        </w:rPr>
        <w:t>：                  填报人：         联系电话：          填报时间：   年  月  日</w:t>
      </w:r>
    </w:p>
    <w:tbl>
      <w:tblPr>
        <w:tblStyle w:val="7"/>
        <w:tblW w:w="1356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560"/>
        <w:gridCol w:w="1019"/>
        <w:gridCol w:w="1125"/>
        <w:gridCol w:w="1260"/>
        <w:gridCol w:w="3030"/>
        <w:gridCol w:w="1978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  <w:lang w:eastAsia="zh-CN"/>
              </w:rPr>
              <w:t>被检查</w:t>
            </w:r>
            <w:r>
              <w:rPr>
                <w:rFonts w:hint="eastAsia" w:ascii="方正黑体_GBK" w:hAnsi="黑体" w:eastAsia="方正黑体_GBK"/>
                <w:sz w:val="24"/>
              </w:rPr>
              <w:t>单位名称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单位</w:t>
            </w:r>
            <w:r>
              <w:rPr>
                <w:rFonts w:hint="eastAsia" w:ascii="方正黑体_GBK" w:eastAsia="方正黑体_GBK"/>
                <w:sz w:val="24"/>
                <w:szCs w:val="21"/>
              </w:rPr>
              <w:t>地址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sz w:val="24"/>
                <w:szCs w:val="21"/>
              </w:rPr>
            </w:pPr>
            <w:r>
              <w:rPr>
                <w:rFonts w:hint="eastAsia" w:ascii="方正黑体_GBK" w:eastAsia="方正黑体_GBK"/>
                <w:sz w:val="24"/>
                <w:szCs w:val="21"/>
              </w:rPr>
              <w:t>负责人姓名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sz w:val="24"/>
                <w:szCs w:val="21"/>
              </w:rPr>
            </w:pPr>
            <w:r>
              <w:rPr>
                <w:rFonts w:hint="eastAsia" w:ascii="方正黑体_GBK" w:eastAsia="方正黑体_GBK"/>
                <w:sz w:val="24"/>
                <w:szCs w:val="21"/>
              </w:rPr>
              <w:t>负责人电话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风险类别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  <w:szCs w:val="21"/>
              </w:rPr>
              <w:t>存在隐患或风险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  <w:szCs w:val="21"/>
              </w:rPr>
              <w:t>整改措施及时限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sz w:val="24"/>
                <w:szCs w:val="21"/>
              </w:rPr>
            </w:pPr>
            <w:r>
              <w:rPr>
                <w:rFonts w:hint="eastAsia" w:ascii="方正黑体_GBK" w:eastAsia="方正黑体_GBK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ascii="方正黑体_GBK" w:hAnsi="黑体" w:eastAsia="方正黑体_GBK"/>
          <w:sz w:val="24"/>
        </w:rPr>
      </w:pPr>
      <w:r>
        <w:rPr>
          <w:rFonts w:hint="eastAsia" w:ascii="方正黑体_GBK" w:hAnsi="黑体" w:eastAsia="方正黑体_GBK"/>
          <w:sz w:val="24"/>
        </w:rPr>
        <w:t>填表说明：1.按照隐患分类（燃气、电力、危化、道路交通、建筑施工、装饰装修、工商贸、特种设备、水域、文化娱乐、消防、老旧建筑、地质灾害</w:t>
      </w:r>
      <w:r>
        <w:rPr>
          <w:rFonts w:hint="eastAsia" w:ascii="方正黑体_GBK" w:hAnsi="黑体" w:eastAsia="方正黑体_GBK"/>
          <w:sz w:val="24"/>
          <w:lang w:eastAsia="zh-CN"/>
        </w:rPr>
        <w:t>等</w:t>
      </w:r>
      <w:r>
        <w:rPr>
          <w:rFonts w:hint="eastAsia" w:ascii="方正黑体_GBK" w:hAnsi="黑体" w:eastAsia="方正黑体_GBK"/>
          <w:sz w:val="24"/>
        </w:rPr>
        <w:t>）如实填报隐患；</w:t>
      </w:r>
    </w:p>
    <w:p>
      <w:pPr>
        <w:spacing w:line="400" w:lineRule="exact"/>
        <w:ind w:firstLine="1200" w:firstLineChars="500"/>
        <w:rPr>
          <w:rFonts w:ascii="方正黑体_GBK" w:hAnsi="黑体" w:eastAsia="方正黑体_GBK"/>
          <w:sz w:val="24"/>
        </w:rPr>
      </w:pPr>
      <w:r>
        <w:rPr>
          <w:rFonts w:hint="eastAsia" w:ascii="方正黑体_GBK" w:hAnsi="黑体" w:eastAsia="方正黑体_GBK"/>
          <w:sz w:val="24"/>
        </w:rPr>
        <w:t>2.详实填报存在隐患和整改措施及时限；</w:t>
      </w:r>
    </w:p>
    <w:p>
      <w:pPr>
        <w:spacing w:line="400" w:lineRule="exact"/>
        <w:ind w:left="1168" w:leftChars="365"/>
        <w:rPr>
          <w:rFonts w:hint="eastAsia" w:ascii="方正黑体_GBK" w:hAnsi="黑体" w:eastAsia="方正黑体_GBK"/>
          <w:sz w:val="24"/>
          <w:lang w:eastAsia="zh-CN"/>
        </w:rPr>
      </w:pPr>
      <w:r>
        <w:rPr>
          <w:rFonts w:hint="eastAsia" w:ascii="方正黑体_GBK" w:hAnsi="黑体" w:eastAsia="方正黑体_GBK"/>
          <w:sz w:val="24"/>
        </w:rPr>
        <w:t>3.“风险”及“存在隐患”可填写多条</w:t>
      </w:r>
      <w:r>
        <w:rPr>
          <w:rFonts w:hint="eastAsia" w:ascii="方正黑体_GBK" w:hAnsi="黑体" w:eastAsia="方正黑体_GBK"/>
          <w:sz w:val="24"/>
          <w:lang w:eastAsia="zh-CN"/>
        </w:rPr>
        <w:t>。</w:t>
      </w:r>
    </w:p>
    <w:p>
      <w:pPr>
        <w:rPr>
          <w:rFonts w:hint="eastAsia" w:ascii="方正黑体_GBK" w:hAnsi="黑体" w:eastAsia="方正黑体_GBK"/>
          <w:sz w:val="24"/>
        </w:rPr>
        <w:sectPr>
          <w:pgSz w:w="16838" w:h="11906" w:orient="landscape"/>
          <w:pgMar w:top="1531" w:right="2098" w:bottom="1531" w:left="1985" w:header="851" w:footer="992" w:gutter="0"/>
          <w:cols w:space="425" w:num="1"/>
          <w:docGrid w:type="lines" w:linePitch="435" w:charSpace="0"/>
        </w:sectPr>
      </w:pPr>
      <w:r>
        <w:rPr>
          <w:rFonts w:hint="eastAsia" w:ascii="方正黑体_GBK" w:hAnsi="黑体" w:eastAsia="方正黑体_GBK"/>
          <w:sz w:val="24"/>
        </w:rPr>
        <w:br w:type="page"/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（此页无正文）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tbl>
      <w:tblPr>
        <w:tblStyle w:val="7"/>
        <w:tblpPr w:vertAnchor="page" w:horzAnchor="page" w:tblpX="1549" w:tblpY="14064"/>
        <w:tblW w:w="8844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4" w:type="dxa"/>
            <w:shd w:val="clear" w:color="auto" w:fill="auto"/>
          </w:tcPr>
          <w:p>
            <w:pPr>
              <w:spacing w:line="579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渝北区王家街道办事处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党政办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202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日印发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640"/>
      <w:jc w:val="right"/>
      <w:rPr>
        <w:rFonts w:asciiTheme="minorEastAsia" w:hAnsiTheme="minorEastAsia" w:eastAsiaTheme="minorEastAsia"/>
        <w:sz w:val="32"/>
        <w:szCs w:val="32"/>
      </w:rPr>
    </w:pPr>
    <w:r>
      <w:rPr>
        <w:rFonts w:asciiTheme="minorEastAsia" w:hAnsiTheme="minorEastAsia" w:eastAsiaTheme="minorEastAsia"/>
        <w:sz w:val="32"/>
        <w:szCs w:val="32"/>
      </w:rPr>
      <w:t>—</w:t>
    </w:r>
    <w:r>
      <w:rPr>
        <w:rFonts w:asciiTheme="minorEastAsia" w:hAnsiTheme="minorEastAsia" w:eastAsiaTheme="minorEastAsia"/>
        <w:sz w:val="32"/>
        <w:szCs w:val="32"/>
      </w:rPr>
      <w:fldChar w:fldCharType="begin"/>
    </w:r>
    <w:r>
      <w:rPr>
        <w:rFonts w:asciiTheme="minorEastAsia" w:hAnsiTheme="minorEastAsia" w:eastAsiaTheme="minorEastAsia"/>
        <w:sz w:val="32"/>
        <w:szCs w:val="32"/>
      </w:rPr>
      <w:instrText xml:space="preserve"> PAGE  \* MERGEFORMAT </w:instrText>
    </w:r>
    <w:r>
      <w:rPr>
        <w:rFonts w:asciiTheme="minorEastAsia" w:hAnsiTheme="minorEastAsia" w:eastAsiaTheme="minorEastAsia"/>
        <w:sz w:val="32"/>
        <w:szCs w:val="32"/>
      </w:rPr>
      <w:fldChar w:fldCharType="separate"/>
    </w:r>
    <w:r>
      <w:rPr>
        <w:rFonts w:asciiTheme="minorEastAsia" w:hAnsiTheme="minorEastAsia" w:eastAsiaTheme="minorEastAsia"/>
        <w:sz w:val="32"/>
        <w:szCs w:val="32"/>
      </w:rPr>
      <w:t>3</w:t>
    </w:r>
    <w:r>
      <w:rPr>
        <w:rFonts w:asciiTheme="minorEastAsia" w:hAnsiTheme="minorEastAsia" w:eastAsiaTheme="minorEastAsia"/>
        <w:sz w:val="32"/>
        <w:szCs w:val="32"/>
      </w:rPr>
      <w:fldChar w:fldCharType="end"/>
    </w:r>
    <w:r>
      <w:rPr>
        <w:rFonts w:asciiTheme="minorEastAsia" w:hAnsiTheme="minorEastAsia" w:eastAsiaTheme="minorEastAsia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32"/>
        <w:szCs w:val="32"/>
      </w:rPr>
    </w:pPr>
    <w:r>
      <w:rPr>
        <w:rFonts w:asciiTheme="minorEastAsia" w:hAnsiTheme="minorEastAsia" w:eastAsiaTheme="minorEastAsia"/>
        <w:sz w:val="32"/>
        <w:szCs w:val="32"/>
      </w:rPr>
      <w:t xml:space="preserve">— </w:t>
    </w:r>
    <w:r>
      <w:rPr>
        <w:rFonts w:asciiTheme="minorEastAsia" w:hAnsiTheme="minorEastAsia" w:eastAsiaTheme="minorEastAsia"/>
        <w:sz w:val="32"/>
        <w:szCs w:val="32"/>
      </w:rPr>
      <w:fldChar w:fldCharType="begin"/>
    </w:r>
    <w:r>
      <w:rPr>
        <w:rFonts w:asciiTheme="minorEastAsia" w:hAnsiTheme="minorEastAsia" w:eastAsiaTheme="minorEastAsia"/>
        <w:sz w:val="32"/>
        <w:szCs w:val="32"/>
      </w:rPr>
      <w:instrText xml:space="preserve"> PAGE  \* MERGEFORMAT </w:instrText>
    </w:r>
    <w:r>
      <w:rPr>
        <w:rFonts w:asciiTheme="minorEastAsia" w:hAnsiTheme="minorEastAsia" w:eastAsiaTheme="minorEastAsia"/>
        <w:sz w:val="32"/>
        <w:szCs w:val="32"/>
      </w:rPr>
      <w:fldChar w:fldCharType="separate"/>
    </w:r>
    <w:r>
      <w:rPr>
        <w:rFonts w:asciiTheme="minorEastAsia" w:hAnsiTheme="minorEastAsia" w:eastAsiaTheme="minorEastAsia"/>
        <w:sz w:val="32"/>
        <w:szCs w:val="32"/>
      </w:rPr>
      <w:t>2</w:t>
    </w:r>
    <w:r>
      <w:rPr>
        <w:rFonts w:asciiTheme="minorEastAsia" w:hAnsiTheme="minorEastAsia" w:eastAsiaTheme="minorEastAsia"/>
        <w:sz w:val="32"/>
        <w:szCs w:val="32"/>
      </w:rPr>
      <w:fldChar w:fldCharType="end"/>
    </w:r>
    <w:r>
      <w:rPr>
        <w:rFonts w:asciiTheme="minorEastAsia" w:hAnsiTheme="minorEastAsia" w:eastAsiaTheme="minorEastAsia"/>
        <w:sz w:val="32"/>
        <w:szCs w:val="3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BB1"/>
    <w:rsid w:val="00004FBC"/>
    <w:rsid w:val="00023802"/>
    <w:rsid w:val="0002388A"/>
    <w:rsid w:val="00025DB6"/>
    <w:rsid w:val="00097A13"/>
    <w:rsid w:val="000B596C"/>
    <w:rsid w:val="000B7606"/>
    <w:rsid w:val="000F48CB"/>
    <w:rsid w:val="00157654"/>
    <w:rsid w:val="001633B8"/>
    <w:rsid w:val="0019324F"/>
    <w:rsid w:val="001A0B9C"/>
    <w:rsid w:val="002245FE"/>
    <w:rsid w:val="00232001"/>
    <w:rsid w:val="002466ED"/>
    <w:rsid w:val="002601A3"/>
    <w:rsid w:val="0026250E"/>
    <w:rsid w:val="00265D6A"/>
    <w:rsid w:val="0027044D"/>
    <w:rsid w:val="00270F83"/>
    <w:rsid w:val="0028352A"/>
    <w:rsid w:val="002871FE"/>
    <w:rsid w:val="002B02C2"/>
    <w:rsid w:val="002D4C78"/>
    <w:rsid w:val="002E67D8"/>
    <w:rsid w:val="00310146"/>
    <w:rsid w:val="00321F4E"/>
    <w:rsid w:val="00381B1B"/>
    <w:rsid w:val="003A78CF"/>
    <w:rsid w:val="003C02DC"/>
    <w:rsid w:val="003D055B"/>
    <w:rsid w:val="00426B91"/>
    <w:rsid w:val="004713DE"/>
    <w:rsid w:val="004821C0"/>
    <w:rsid w:val="00484A05"/>
    <w:rsid w:val="0048602A"/>
    <w:rsid w:val="0049647C"/>
    <w:rsid w:val="004C4BB1"/>
    <w:rsid w:val="004F68EC"/>
    <w:rsid w:val="00506DC5"/>
    <w:rsid w:val="00515A2D"/>
    <w:rsid w:val="005166D7"/>
    <w:rsid w:val="00531277"/>
    <w:rsid w:val="00531865"/>
    <w:rsid w:val="00561129"/>
    <w:rsid w:val="00573DB8"/>
    <w:rsid w:val="0058749C"/>
    <w:rsid w:val="005D0C97"/>
    <w:rsid w:val="0060459C"/>
    <w:rsid w:val="0061473E"/>
    <w:rsid w:val="00637C45"/>
    <w:rsid w:val="00654D75"/>
    <w:rsid w:val="006A5968"/>
    <w:rsid w:val="006A5D92"/>
    <w:rsid w:val="006D76F8"/>
    <w:rsid w:val="0073581D"/>
    <w:rsid w:val="00753736"/>
    <w:rsid w:val="00755925"/>
    <w:rsid w:val="00760DD3"/>
    <w:rsid w:val="00770F7C"/>
    <w:rsid w:val="00774EA4"/>
    <w:rsid w:val="007760F6"/>
    <w:rsid w:val="00780410"/>
    <w:rsid w:val="00787640"/>
    <w:rsid w:val="0079248E"/>
    <w:rsid w:val="00796563"/>
    <w:rsid w:val="007B4277"/>
    <w:rsid w:val="007D2830"/>
    <w:rsid w:val="007E213C"/>
    <w:rsid w:val="00811A3C"/>
    <w:rsid w:val="008203A8"/>
    <w:rsid w:val="008242AA"/>
    <w:rsid w:val="00861DF1"/>
    <w:rsid w:val="00863CEC"/>
    <w:rsid w:val="00880BF2"/>
    <w:rsid w:val="008853E9"/>
    <w:rsid w:val="00892DE9"/>
    <w:rsid w:val="008C0204"/>
    <w:rsid w:val="009046F0"/>
    <w:rsid w:val="00907CF7"/>
    <w:rsid w:val="009221C9"/>
    <w:rsid w:val="009877F9"/>
    <w:rsid w:val="00987B34"/>
    <w:rsid w:val="00997FE1"/>
    <w:rsid w:val="00A5447E"/>
    <w:rsid w:val="00A74946"/>
    <w:rsid w:val="00A870CE"/>
    <w:rsid w:val="00A94CF0"/>
    <w:rsid w:val="00AA044A"/>
    <w:rsid w:val="00AB52E0"/>
    <w:rsid w:val="00B04CA4"/>
    <w:rsid w:val="00B12655"/>
    <w:rsid w:val="00B1378F"/>
    <w:rsid w:val="00B15B0F"/>
    <w:rsid w:val="00B9357B"/>
    <w:rsid w:val="00B94148"/>
    <w:rsid w:val="00BA3D4F"/>
    <w:rsid w:val="00C138D1"/>
    <w:rsid w:val="00C26D7F"/>
    <w:rsid w:val="00C307C3"/>
    <w:rsid w:val="00C63915"/>
    <w:rsid w:val="00C91AEE"/>
    <w:rsid w:val="00CF3774"/>
    <w:rsid w:val="00CF67C2"/>
    <w:rsid w:val="00D12D54"/>
    <w:rsid w:val="00D25E7C"/>
    <w:rsid w:val="00D36BEE"/>
    <w:rsid w:val="00D969FC"/>
    <w:rsid w:val="00DA092B"/>
    <w:rsid w:val="00DC125B"/>
    <w:rsid w:val="00DD0909"/>
    <w:rsid w:val="00DE1A71"/>
    <w:rsid w:val="00DE5592"/>
    <w:rsid w:val="00E35C6C"/>
    <w:rsid w:val="00E4313C"/>
    <w:rsid w:val="00E71E38"/>
    <w:rsid w:val="00EA14F9"/>
    <w:rsid w:val="00EB3A64"/>
    <w:rsid w:val="00ED3CE7"/>
    <w:rsid w:val="00EE067B"/>
    <w:rsid w:val="00EE3ECF"/>
    <w:rsid w:val="00F02386"/>
    <w:rsid w:val="00F06041"/>
    <w:rsid w:val="00F32FE9"/>
    <w:rsid w:val="00F65968"/>
    <w:rsid w:val="00FA6054"/>
    <w:rsid w:val="00FB36B1"/>
    <w:rsid w:val="15EB36FE"/>
    <w:rsid w:val="2E3237C9"/>
    <w:rsid w:val="350F4E25"/>
    <w:rsid w:val="3715347E"/>
    <w:rsid w:val="39172EFB"/>
    <w:rsid w:val="40DD52FC"/>
    <w:rsid w:val="4A2475B1"/>
    <w:rsid w:val="540B3FE6"/>
    <w:rsid w:val="59B6535F"/>
    <w:rsid w:val="5B753A85"/>
    <w:rsid w:val="61311B0E"/>
    <w:rsid w:val="7AB964E5"/>
    <w:rsid w:val="F7FF9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9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信息标题 Char"/>
    <w:basedOn w:val="8"/>
    <w:link w:val="2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方正仿宋_GBK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方正仿宋_GBK" w:cs="Times New Roman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367</Words>
  <Characters>2097</Characters>
  <Lines>17</Lines>
  <Paragraphs>4</Paragraphs>
  <TotalTime>1</TotalTime>
  <ScaleCrop>false</ScaleCrop>
  <LinksUpToDate>false</LinksUpToDate>
  <CharactersWithSpaces>2460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2021-07-01T17:15:00Z</dcterms:created>
  <dc:creator>123</dc:creator>
  <cp:lastModifiedBy>杨倩怡</cp:lastModifiedBy>
  <cp:lastPrinted>2022-01-29T11:03:00Z</cp:lastPrinted>
  <dcterms:modified xsi:type="dcterms:W3CDTF">2025-04-18T02:15:28Z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9B43C263E1EA4CEA88FADF5F467BD3AB</vt:lpwstr>
  </property>
</Properties>
</file>