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hd w:val="clear" w:color="auto" w:fill="auto"/>
        <w:tabs>
          <w:tab w:val="left" w:pos="5040"/>
        </w:tabs>
        <w:adjustRightInd w:val="0"/>
        <w:snapToGrid w:val="0"/>
        <w:spacing w:before="0" w:after="0" w:line="720" w:lineRule="exact"/>
        <w:jc w:val="center"/>
        <w:rPr>
          <w:rFonts w:ascii="Times New Roman" w:hAnsi="Times New Roman" w:eastAsia="方正小标宋_GBK" w:cs="Times New Roman"/>
          <w:spacing w:val="0"/>
          <w:sz w:val="44"/>
          <w:szCs w:val="44"/>
        </w:rPr>
      </w:pPr>
      <w:r>
        <w:rPr>
          <w:rFonts w:ascii="Times New Roman" w:hAnsi="Times New Roman" w:eastAsia="方正小标宋_GBK" w:cs="Times New Roman"/>
          <w:spacing w:val="0"/>
          <w:sz w:val="44"/>
          <w:szCs w:val="44"/>
        </w:rPr>
        <w:t>重庆市</w:t>
      </w:r>
      <w:r>
        <w:rPr>
          <w:rFonts w:hint="eastAsia" w:ascii="Times New Roman" w:hAnsi="Times New Roman" w:eastAsia="方正小标宋_GBK" w:cs="Times New Roman"/>
          <w:spacing w:val="0"/>
          <w:sz w:val="44"/>
          <w:szCs w:val="44"/>
        </w:rPr>
        <w:t>渝北区</w:t>
      </w:r>
      <w:r>
        <w:rPr>
          <w:rFonts w:hint="eastAsia" w:ascii="Times New Roman" w:hAnsi="Times New Roman" w:eastAsia="方正小标宋_GBK" w:cs="Times New Roman"/>
          <w:spacing w:val="0"/>
          <w:sz w:val="44"/>
          <w:szCs w:val="44"/>
          <w:lang w:eastAsia="zh-CN"/>
        </w:rPr>
        <w:t>统景镇</w:t>
      </w:r>
      <w:r>
        <w:rPr>
          <w:rFonts w:hint="eastAsia" w:ascii="Times New Roman" w:hAnsi="Times New Roman" w:eastAsia="方正小标宋_GBK" w:cs="Times New Roman"/>
          <w:spacing w:val="0"/>
          <w:sz w:val="44"/>
          <w:szCs w:val="44"/>
        </w:rPr>
        <w:t>财政预决算领域</w:t>
      </w:r>
      <w:r>
        <w:rPr>
          <w:rFonts w:ascii="Times New Roman" w:hAnsi="Times New Roman" w:eastAsia="方正小标宋_GBK" w:cs="Times New Roman"/>
          <w:spacing w:val="0"/>
          <w:sz w:val="44"/>
          <w:szCs w:val="44"/>
        </w:rPr>
        <w:t>政务公开标准目录</w:t>
      </w:r>
    </w:p>
    <w:p>
      <w:pPr>
        <w:pStyle w:val="12"/>
        <w:shd w:val="clear" w:color="auto" w:fill="auto"/>
        <w:spacing w:before="0" w:after="0" w:line="240" w:lineRule="exact"/>
        <w:jc w:val="center"/>
        <w:rPr>
          <w:rFonts w:ascii="Times New Roman" w:hAnsi="Times New Roman" w:eastAsia="方正小标宋_GBK" w:cs="Times New Roman"/>
          <w:spacing w:val="0"/>
          <w:sz w:val="44"/>
          <w:szCs w:val="44"/>
        </w:rPr>
      </w:pPr>
    </w:p>
    <w:tbl>
      <w:tblPr>
        <w:tblStyle w:val="4"/>
        <w:tblW w:w="157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425"/>
        <w:gridCol w:w="425"/>
        <w:gridCol w:w="8080"/>
        <w:gridCol w:w="1276"/>
        <w:gridCol w:w="425"/>
        <w:gridCol w:w="709"/>
        <w:gridCol w:w="850"/>
        <w:gridCol w:w="425"/>
        <w:gridCol w:w="426"/>
        <w:gridCol w:w="425"/>
        <w:gridCol w:w="425"/>
        <w:gridCol w:w="425"/>
        <w:gridCol w:w="426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  <w:tblHeader/>
          <w:jc w:val="center"/>
        </w:trPr>
        <w:tc>
          <w:tcPr>
            <w:tcW w:w="421" w:type="dxa"/>
            <w:vMerge w:val="restart"/>
            <w:vAlign w:val="center"/>
          </w:tcPr>
          <w:p>
            <w:pPr>
              <w:pStyle w:val="12"/>
              <w:shd w:val="clear" w:color="auto" w:fill="auto"/>
              <w:spacing w:before="0" w:after="0" w:line="220" w:lineRule="exact"/>
              <w:jc w:val="center"/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</w:pPr>
            <w:r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  <w:t>序号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pStyle w:val="12"/>
              <w:shd w:val="clear" w:color="auto" w:fill="auto"/>
              <w:spacing w:before="0" w:after="0" w:line="220" w:lineRule="exact"/>
              <w:ind w:left="-107" w:leftChars="-51"/>
              <w:jc w:val="center"/>
              <w:rPr>
                <w:rFonts w:ascii="Times New Roman" w:hAnsi="Times New Roman" w:eastAsia="方正黑体_GBK" w:cs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eastAsia="方正黑体_GBK" w:cs="Times New Roman"/>
                <w:spacing w:val="-10"/>
                <w:sz w:val="18"/>
                <w:szCs w:val="18"/>
              </w:rPr>
              <w:t>公开事项</w:t>
            </w:r>
          </w:p>
        </w:tc>
        <w:tc>
          <w:tcPr>
            <w:tcW w:w="8080" w:type="dxa"/>
            <w:vMerge w:val="restart"/>
            <w:vAlign w:val="center"/>
          </w:tcPr>
          <w:p>
            <w:pPr>
              <w:pStyle w:val="12"/>
              <w:shd w:val="clear" w:color="auto" w:fill="auto"/>
              <w:spacing w:before="0" w:after="0" w:line="220" w:lineRule="exact"/>
              <w:jc w:val="center"/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</w:pPr>
            <w:r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  <w:t>公开内容</w:t>
            </w:r>
          </w:p>
          <w:p>
            <w:pPr>
              <w:pStyle w:val="12"/>
              <w:shd w:val="clear" w:color="auto" w:fill="auto"/>
              <w:spacing w:before="0" w:after="0" w:line="220" w:lineRule="exact"/>
              <w:jc w:val="center"/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</w:pPr>
            <w:r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  <w:t>（要素）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pStyle w:val="12"/>
              <w:shd w:val="clear" w:color="auto" w:fill="auto"/>
              <w:spacing w:before="0" w:after="0" w:line="220" w:lineRule="exact"/>
              <w:jc w:val="center"/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</w:pPr>
            <w:r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  <w:t>公开依据</w:t>
            </w:r>
          </w:p>
        </w:tc>
        <w:tc>
          <w:tcPr>
            <w:tcW w:w="425" w:type="dxa"/>
            <w:vMerge w:val="restart"/>
            <w:vAlign w:val="center"/>
          </w:tcPr>
          <w:p>
            <w:pPr>
              <w:pStyle w:val="12"/>
              <w:shd w:val="clear" w:color="auto" w:fill="auto"/>
              <w:spacing w:before="0" w:after="0" w:line="220" w:lineRule="exact"/>
              <w:jc w:val="center"/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</w:pPr>
            <w:r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  <w:t>公开时限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pStyle w:val="12"/>
              <w:shd w:val="clear" w:color="auto" w:fill="auto"/>
              <w:spacing w:before="0" w:after="0" w:line="220" w:lineRule="exact"/>
              <w:jc w:val="center"/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</w:pPr>
            <w:r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  <w:t>公开</w:t>
            </w:r>
          </w:p>
          <w:p>
            <w:pPr>
              <w:pStyle w:val="12"/>
              <w:shd w:val="clear" w:color="auto" w:fill="auto"/>
              <w:spacing w:before="0" w:after="0" w:line="220" w:lineRule="exact"/>
              <w:jc w:val="center"/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</w:pPr>
            <w:r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  <w:t>主体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pStyle w:val="12"/>
              <w:shd w:val="clear" w:color="auto" w:fill="auto"/>
              <w:spacing w:before="0" w:after="0" w:line="220" w:lineRule="exact"/>
              <w:jc w:val="center"/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</w:pPr>
            <w:r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  <w:t>公开渠道和载体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pStyle w:val="12"/>
              <w:shd w:val="clear" w:color="auto" w:fill="auto"/>
              <w:spacing w:before="0" w:after="0" w:line="220" w:lineRule="exact"/>
              <w:ind w:left="-107" w:leftChars="-51" w:right="-107" w:rightChars="-51"/>
              <w:jc w:val="center"/>
              <w:rPr>
                <w:rFonts w:ascii="Times New Roman" w:hAnsi="Times New Roman" w:eastAsia="方正黑体_GBK" w:cs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eastAsia="方正黑体_GBK" w:cs="Times New Roman"/>
                <w:spacing w:val="-10"/>
                <w:sz w:val="18"/>
                <w:szCs w:val="18"/>
              </w:rPr>
              <w:t>公开对象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pStyle w:val="12"/>
              <w:shd w:val="clear" w:color="auto" w:fill="auto"/>
              <w:spacing w:before="0" w:after="0" w:line="220" w:lineRule="exact"/>
              <w:ind w:left="-107" w:leftChars="-51" w:right="-107" w:rightChars="-51"/>
              <w:jc w:val="center"/>
              <w:rPr>
                <w:rFonts w:ascii="Times New Roman" w:hAnsi="Times New Roman" w:eastAsia="方正黑体_GBK" w:cs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eastAsia="方正黑体_GBK" w:cs="Times New Roman"/>
                <w:spacing w:val="-10"/>
                <w:sz w:val="18"/>
                <w:szCs w:val="18"/>
              </w:rPr>
              <w:t>公开方式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pStyle w:val="12"/>
              <w:shd w:val="clear" w:color="auto" w:fill="auto"/>
              <w:spacing w:before="0" w:after="0" w:line="220" w:lineRule="exact"/>
              <w:ind w:left="-107" w:leftChars="-51" w:right="-107" w:rightChars="-51"/>
              <w:jc w:val="center"/>
              <w:rPr>
                <w:rFonts w:ascii="Times New Roman" w:hAnsi="Times New Roman" w:eastAsia="方正黑体_GBK" w:cs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eastAsia="方正黑体_GBK" w:cs="Times New Roman"/>
                <w:spacing w:val="-10"/>
                <w:sz w:val="18"/>
                <w:szCs w:val="18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1" w:hRule="atLeast"/>
          <w:tblHeader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20" w:lineRule="exact"/>
              <w:jc w:val="center"/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>
            <w:pPr>
              <w:pStyle w:val="12"/>
              <w:shd w:val="clear" w:color="auto" w:fill="auto"/>
              <w:spacing w:before="0" w:after="0" w:line="220" w:lineRule="exact"/>
              <w:jc w:val="center"/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</w:pPr>
            <w:r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  <w:t>一级事项</w:t>
            </w:r>
          </w:p>
        </w:tc>
        <w:tc>
          <w:tcPr>
            <w:tcW w:w="425" w:type="dxa"/>
            <w:vAlign w:val="center"/>
          </w:tcPr>
          <w:p>
            <w:pPr>
              <w:pStyle w:val="12"/>
              <w:shd w:val="clear" w:color="auto" w:fill="auto"/>
              <w:spacing w:before="0" w:after="0" w:line="220" w:lineRule="exact"/>
              <w:jc w:val="center"/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</w:pPr>
            <w:r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  <w:t>二级事项</w:t>
            </w:r>
          </w:p>
        </w:tc>
        <w:tc>
          <w:tcPr>
            <w:tcW w:w="8080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20" w:lineRule="exact"/>
              <w:jc w:val="center"/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20" w:lineRule="exact"/>
              <w:jc w:val="center"/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20" w:lineRule="exact"/>
              <w:jc w:val="center"/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20" w:lineRule="exact"/>
              <w:jc w:val="center"/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20" w:lineRule="exact"/>
              <w:jc w:val="center"/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>
            <w:pPr>
              <w:pStyle w:val="12"/>
              <w:shd w:val="clear" w:color="auto" w:fill="auto"/>
              <w:spacing w:before="0" w:after="0" w:line="220" w:lineRule="exact"/>
              <w:jc w:val="center"/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</w:pPr>
            <w:r>
              <w:rPr>
                <w:rFonts w:ascii="Times New Roman" w:hAnsi="Times New Roman" w:eastAsia="方正黑体_GBK" w:cs="Times New Roman"/>
                <w:spacing w:val="-20"/>
                <w:sz w:val="18"/>
                <w:szCs w:val="18"/>
              </w:rPr>
              <w:t>全社会</w:t>
            </w:r>
          </w:p>
        </w:tc>
        <w:tc>
          <w:tcPr>
            <w:tcW w:w="426" w:type="dxa"/>
            <w:vAlign w:val="center"/>
          </w:tcPr>
          <w:p>
            <w:pPr>
              <w:pStyle w:val="12"/>
              <w:shd w:val="clear" w:color="auto" w:fill="auto"/>
              <w:spacing w:before="0" w:after="0" w:line="220" w:lineRule="exact"/>
              <w:jc w:val="center"/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</w:pPr>
            <w:r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  <w:t>特定群体</w:t>
            </w:r>
          </w:p>
        </w:tc>
        <w:tc>
          <w:tcPr>
            <w:tcW w:w="425" w:type="dxa"/>
            <w:vAlign w:val="center"/>
          </w:tcPr>
          <w:p>
            <w:pPr>
              <w:pStyle w:val="12"/>
              <w:shd w:val="clear" w:color="auto" w:fill="auto"/>
              <w:spacing w:before="0" w:after="0" w:line="220" w:lineRule="exact"/>
              <w:jc w:val="center"/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</w:pPr>
            <w:r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  <w:t>主动</w:t>
            </w:r>
          </w:p>
        </w:tc>
        <w:tc>
          <w:tcPr>
            <w:tcW w:w="425" w:type="dxa"/>
            <w:vAlign w:val="center"/>
          </w:tcPr>
          <w:p>
            <w:pPr>
              <w:pStyle w:val="12"/>
              <w:shd w:val="clear" w:color="auto" w:fill="auto"/>
              <w:spacing w:before="0" w:after="0" w:line="220" w:lineRule="exact"/>
              <w:jc w:val="center"/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</w:pPr>
            <w:r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  <w:t>依申请</w:t>
            </w:r>
          </w:p>
        </w:tc>
        <w:tc>
          <w:tcPr>
            <w:tcW w:w="425" w:type="dxa"/>
            <w:vAlign w:val="center"/>
          </w:tcPr>
          <w:p>
            <w:pPr>
              <w:pStyle w:val="12"/>
              <w:shd w:val="clear" w:color="auto" w:fill="auto"/>
              <w:spacing w:before="0" w:after="0" w:line="220" w:lineRule="exact"/>
              <w:jc w:val="center"/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</w:pPr>
            <w:r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  <w:t>市级</w:t>
            </w:r>
          </w:p>
        </w:tc>
        <w:tc>
          <w:tcPr>
            <w:tcW w:w="426" w:type="dxa"/>
            <w:vAlign w:val="center"/>
          </w:tcPr>
          <w:p>
            <w:pPr>
              <w:pStyle w:val="12"/>
              <w:shd w:val="clear" w:color="auto" w:fill="auto"/>
              <w:spacing w:before="0" w:after="0" w:line="220" w:lineRule="exact"/>
              <w:jc w:val="center"/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</w:pPr>
            <w:r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  <w:t>区级</w:t>
            </w:r>
          </w:p>
        </w:tc>
        <w:tc>
          <w:tcPr>
            <w:tcW w:w="567" w:type="dxa"/>
            <w:vAlign w:val="center"/>
          </w:tcPr>
          <w:p>
            <w:pPr>
              <w:pStyle w:val="12"/>
              <w:shd w:val="clear" w:color="auto" w:fill="auto"/>
              <w:spacing w:before="0" w:after="0" w:line="220" w:lineRule="exact"/>
              <w:ind w:left="-107" w:leftChars="-51"/>
              <w:jc w:val="center"/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</w:pPr>
            <w:r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  <w:t>镇</w:t>
            </w:r>
            <w:r>
              <w:rPr>
                <w:rFonts w:hint="eastAsia" w:ascii="Times New Roman" w:hAnsi="Times New Roman" w:eastAsia="方正黑体_GBK" w:cs="Times New Roman"/>
                <w:spacing w:val="0"/>
                <w:sz w:val="18"/>
                <w:szCs w:val="18"/>
              </w:rPr>
              <w:t>（街）</w:t>
            </w:r>
            <w:r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421" w:type="dxa"/>
            <w:vMerge w:val="restart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  <w:r>
              <w:rPr>
                <w:rFonts w:hint="eastAsia" w:cs="方正仿宋_GBK" w:asciiTheme="minorEastAsia" w:hAnsiTheme="minorEastAsia" w:eastAsiaTheme="minorEastAsia"/>
                <w:spacing w:val="0"/>
                <w:sz w:val="18"/>
                <w:szCs w:val="18"/>
              </w:rPr>
              <w:t>1</w:t>
            </w:r>
          </w:p>
        </w:tc>
        <w:tc>
          <w:tcPr>
            <w:tcW w:w="425" w:type="dxa"/>
            <w:vMerge w:val="restart"/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napToGrid w:val="0"/>
                <w:spacing w:val="0"/>
                <w:sz w:val="18"/>
                <w:szCs w:val="18"/>
              </w:rPr>
            </w:pPr>
          </w:p>
          <w:p>
            <w:pPr>
              <w:pStyle w:val="12"/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napToGrid w:val="0"/>
                <w:spacing w:val="0"/>
                <w:sz w:val="18"/>
                <w:szCs w:val="18"/>
              </w:rPr>
            </w:pPr>
            <w:r>
              <w:rPr>
                <w:rFonts w:hint="eastAsia" w:cs="方正仿宋_GBK" w:asciiTheme="minorEastAsia" w:hAnsiTheme="minorEastAsia" w:eastAsiaTheme="minorEastAsia"/>
                <w:snapToGrid w:val="0"/>
                <w:spacing w:val="0"/>
                <w:sz w:val="18"/>
                <w:szCs w:val="18"/>
              </w:rPr>
              <w:t>财政预决算</w:t>
            </w:r>
          </w:p>
        </w:tc>
        <w:tc>
          <w:tcPr>
            <w:tcW w:w="425" w:type="dxa"/>
            <w:vMerge w:val="restart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both"/>
              <w:rPr>
                <w:rFonts w:cs="方正仿宋_GBK" w:asciiTheme="minorEastAsia" w:hAnsiTheme="minorEastAsia" w:eastAsiaTheme="minorEastAsia"/>
                <w:snapToGrid w:val="0"/>
                <w:spacing w:val="0"/>
                <w:sz w:val="18"/>
                <w:szCs w:val="18"/>
              </w:rPr>
            </w:pPr>
            <w:r>
              <w:rPr>
                <w:rFonts w:hint="eastAsia" w:cs="方正仿宋_GBK" w:asciiTheme="minorEastAsia" w:hAnsiTheme="minorEastAsia" w:eastAsiaTheme="minorEastAsia"/>
                <w:snapToGrid w:val="0"/>
                <w:spacing w:val="0"/>
                <w:sz w:val="18"/>
                <w:szCs w:val="18"/>
              </w:rPr>
              <w:t>政府预算</w:t>
            </w:r>
          </w:p>
        </w:tc>
        <w:tc>
          <w:tcPr>
            <w:tcW w:w="8080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一般公共预算：①一般公共预算收支预算表。②一般公共预算本级支出表。③一般公共预算本级基本支出表。④一般公共预算税收返还和转移支付表。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pStyle w:val="7"/>
              <w:spacing w:line="240" w:lineRule="exact"/>
              <w:jc w:val="left"/>
              <w:rPr>
                <w:rFonts w:cs="方正仿宋_GBK" w:asciiTheme="minorEastAsia" w:hAnsiTheme="minorEastAsia" w:eastAsiaTheme="minorEastAsia"/>
                <w:snapToGrid w:val="0"/>
                <w:spacing w:val="0"/>
                <w:sz w:val="18"/>
                <w:szCs w:val="18"/>
              </w:rPr>
            </w:pPr>
            <w:r>
              <w:rPr>
                <w:rFonts w:hint="eastAsia" w:cs="方正仿宋_GBK" w:asciiTheme="minorEastAsia" w:hAnsiTheme="minorEastAsia" w:eastAsiaTheme="minorEastAsia"/>
                <w:snapToGrid w:val="0"/>
                <w:spacing w:val="0"/>
                <w:sz w:val="18"/>
                <w:szCs w:val="18"/>
              </w:rPr>
              <w:t>《中华人民共和国预算法》、《重庆市预算审查监督条例》、《重庆市预决算信息公开管理办法》、《地方预决算公开操作规程》（财预〔2016〕143号）、《财政部关于印发&lt;地方政府债务信息公开办法（试行）&gt;的通知》（财预〔2018〕209号）等法律法规和文件规定</w:t>
            </w:r>
          </w:p>
        </w:tc>
        <w:tc>
          <w:tcPr>
            <w:tcW w:w="425" w:type="dxa"/>
            <w:vMerge w:val="restart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  <w:r>
              <w:rPr>
                <w:rFonts w:hint="eastAsia" w:cs="方正仿宋_GBK" w:asciiTheme="minorEastAsia" w:hAnsiTheme="minorEastAsia" w:eastAsiaTheme="minorEastAsia"/>
                <w:spacing w:val="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ind w:left="-107" w:leftChars="-51" w:right="-107" w:rightChars="-51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  <w:r>
              <w:rPr>
                <w:rFonts w:hint="eastAsia" w:cs="方正仿宋_GBK" w:asciiTheme="minorEastAsia" w:hAnsiTheme="minorEastAsia" w:eastAsiaTheme="minorEastAsia"/>
                <w:spacing w:val="0"/>
                <w:sz w:val="18"/>
                <w:szCs w:val="18"/>
              </w:rPr>
              <w:t>区财政局、</w:t>
            </w:r>
          </w:p>
          <w:p>
            <w:pPr>
              <w:pStyle w:val="12"/>
              <w:shd w:val="clear" w:color="auto" w:fill="auto"/>
              <w:spacing w:before="0" w:after="0" w:line="240" w:lineRule="exact"/>
              <w:ind w:left="-107" w:leftChars="-51" w:right="-107" w:rightChars="-51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  <w:r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  <w:t>各镇</w:t>
            </w:r>
            <w:r>
              <w:rPr>
                <w:rFonts w:hint="eastAsia" w:cs="方正仿宋_GBK" w:asciiTheme="minorEastAsia" w:hAnsiTheme="minorEastAsia" w:eastAsiaTheme="minorEastAsia"/>
                <w:spacing w:val="0"/>
                <w:sz w:val="18"/>
                <w:szCs w:val="18"/>
              </w:rPr>
              <w:t>（</w:t>
            </w:r>
            <w:r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  <w:t>街</w:t>
            </w:r>
            <w:r>
              <w:rPr>
                <w:rFonts w:hint="eastAsia" w:cs="方正仿宋_GBK" w:asciiTheme="minorEastAsia" w:hAnsiTheme="minorEastAsia" w:eastAsiaTheme="minorEastAsia"/>
                <w:spacing w:val="0"/>
                <w:sz w:val="18"/>
                <w:szCs w:val="18"/>
              </w:rPr>
              <w:t>）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pStyle w:val="10"/>
              <w:shd w:val="clear" w:color="auto" w:fill="auto"/>
              <w:tabs>
                <w:tab w:val="left" w:pos="1069"/>
              </w:tabs>
              <w:adjustRightInd w:val="0"/>
              <w:snapToGrid w:val="0"/>
              <w:jc w:val="left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  <w:r>
              <w:rPr>
                <w:rFonts w:hint="eastAsia" w:cs="方正仿宋_GBK" w:asciiTheme="minorEastAsia" w:hAnsiTheme="minorEastAsia" w:eastAsiaTheme="minorEastAsia"/>
                <w:spacing w:val="0"/>
                <w:sz w:val="18"/>
                <w:szCs w:val="18"/>
              </w:rPr>
              <w:t>■政府网站</w:t>
            </w:r>
          </w:p>
          <w:p>
            <w:pPr>
              <w:pStyle w:val="10"/>
              <w:shd w:val="clear" w:color="auto" w:fill="auto"/>
              <w:tabs>
                <w:tab w:val="left" w:pos="1069"/>
              </w:tabs>
              <w:adjustRightInd w:val="0"/>
              <w:snapToGrid w:val="0"/>
              <w:jc w:val="left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  <w:r>
              <w:rPr>
                <w:rFonts w:hint="eastAsia" w:cs="方正仿宋_GBK" w:asciiTheme="minorEastAsia" w:hAnsiTheme="minorEastAsia" w:eastAsiaTheme="minorEastAsia"/>
                <w:spacing w:val="0"/>
                <w:sz w:val="18"/>
                <w:szCs w:val="18"/>
              </w:rPr>
              <w:t>□政府公报</w:t>
            </w:r>
          </w:p>
          <w:p>
            <w:pPr>
              <w:pStyle w:val="10"/>
              <w:shd w:val="clear" w:color="auto" w:fill="auto"/>
              <w:tabs>
                <w:tab w:val="left" w:pos="1073"/>
              </w:tabs>
              <w:adjustRightInd w:val="0"/>
              <w:snapToGrid w:val="0"/>
              <w:jc w:val="left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  <w:r>
              <w:rPr>
                <w:rFonts w:hint="eastAsia" w:cs="方正仿宋_GBK" w:asciiTheme="minorEastAsia" w:hAnsiTheme="minorEastAsia" w:eastAsiaTheme="minorEastAsia"/>
                <w:spacing w:val="0"/>
                <w:sz w:val="18"/>
                <w:szCs w:val="18"/>
              </w:rPr>
              <w:t>□两微一端□</w:t>
            </w:r>
            <w:r>
              <w:rPr>
                <w:rFonts w:hint="eastAsia" w:cs="方正仿宋_GBK" w:asciiTheme="minorEastAsia" w:hAnsiTheme="minorEastAsia" w:eastAsiaTheme="minorEastAsia"/>
                <w:spacing w:val="-20"/>
                <w:sz w:val="18"/>
                <w:szCs w:val="18"/>
              </w:rPr>
              <w:t>发布会/听证会</w:t>
            </w:r>
          </w:p>
          <w:p>
            <w:pPr>
              <w:pStyle w:val="10"/>
              <w:shd w:val="clear" w:color="auto" w:fill="auto"/>
              <w:tabs>
                <w:tab w:val="left" w:pos="1073"/>
              </w:tabs>
              <w:adjustRightInd w:val="0"/>
              <w:snapToGrid w:val="0"/>
              <w:jc w:val="left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  <w:r>
              <w:rPr>
                <w:rFonts w:hint="eastAsia" w:cs="方正仿宋_GBK" w:asciiTheme="minorEastAsia" w:hAnsiTheme="minorEastAsia" w:eastAsiaTheme="minorEastAsia"/>
                <w:spacing w:val="0"/>
                <w:sz w:val="18"/>
                <w:szCs w:val="18"/>
              </w:rPr>
              <w:t>□广播电视</w:t>
            </w:r>
          </w:p>
          <w:p>
            <w:pPr>
              <w:pStyle w:val="10"/>
              <w:shd w:val="clear" w:color="auto" w:fill="auto"/>
              <w:tabs>
                <w:tab w:val="left" w:pos="1073"/>
              </w:tabs>
              <w:adjustRightInd w:val="0"/>
              <w:snapToGrid w:val="0"/>
              <w:jc w:val="left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  <w:r>
              <w:rPr>
                <w:rFonts w:hint="eastAsia" w:cs="方正仿宋_GBK" w:asciiTheme="minorEastAsia" w:hAnsiTheme="minorEastAsia" w:eastAsiaTheme="minorEastAsia"/>
                <w:spacing w:val="0"/>
                <w:sz w:val="18"/>
                <w:szCs w:val="18"/>
              </w:rPr>
              <w:t>□纸质煤体</w:t>
            </w:r>
          </w:p>
          <w:p>
            <w:pPr>
              <w:pStyle w:val="10"/>
              <w:shd w:val="clear" w:color="auto" w:fill="auto"/>
              <w:adjustRightInd w:val="0"/>
              <w:snapToGrid w:val="0"/>
              <w:jc w:val="left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  <w:r>
              <w:rPr>
                <w:rFonts w:hint="eastAsia" w:cs="方正仿宋_GBK" w:asciiTheme="minorEastAsia" w:hAnsiTheme="minorEastAsia" w:eastAsiaTheme="minorEastAsia"/>
                <w:spacing w:val="0"/>
                <w:sz w:val="18"/>
                <w:szCs w:val="18"/>
              </w:rPr>
              <w:t>□公开查阅点</w:t>
            </w:r>
          </w:p>
          <w:p>
            <w:pPr>
              <w:pStyle w:val="10"/>
              <w:shd w:val="clear" w:color="auto" w:fill="auto"/>
              <w:adjustRightInd w:val="0"/>
              <w:snapToGrid w:val="0"/>
              <w:jc w:val="left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  <w:r>
              <w:rPr>
                <w:rFonts w:hint="eastAsia" w:cs="方正仿宋_GBK" w:asciiTheme="minorEastAsia" w:hAnsiTheme="minorEastAsia" w:eastAsiaTheme="minorEastAsia"/>
                <w:spacing w:val="0"/>
                <w:sz w:val="18"/>
                <w:szCs w:val="18"/>
              </w:rPr>
              <w:t>□</w:t>
            </w:r>
            <w:r>
              <w:rPr>
                <w:rFonts w:hint="eastAsia" w:cs="方正仿宋_GBK" w:asciiTheme="minorEastAsia" w:hAnsiTheme="minorEastAsia" w:eastAsiaTheme="minorEastAsia"/>
                <w:spacing w:val="-20"/>
                <w:sz w:val="18"/>
                <w:szCs w:val="18"/>
              </w:rPr>
              <w:t>政务服务中心</w:t>
            </w:r>
            <w:r>
              <w:rPr>
                <w:rFonts w:hint="eastAsia" w:cs="方正仿宋_GBK" w:asciiTheme="minorEastAsia" w:hAnsiTheme="minorEastAsia" w:eastAsiaTheme="minorEastAsia"/>
                <w:spacing w:val="0"/>
                <w:sz w:val="18"/>
                <w:szCs w:val="18"/>
              </w:rPr>
              <w:t xml:space="preserve"> </w:t>
            </w:r>
          </w:p>
          <w:p>
            <w:pPr>
              <w:pStyle w:val="10"/>
              <w:shd w:val="clear" w:color="auto" w:fill="auto"/>
              <w:adjustRightInd w:val="0"/>
              <w:snapToGrid w:val="0"/>
              <w:jc w:val="left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  <w:r>
              <w:rPr>
                <w:rFonts w:hint="eastAsia" w:cs="方正仿宋_GBK" w:asciiTheme="minorEastAsia" w:hAnsiTheme="minorEastAsia" w:eastAsiaTheme="minorEastAsia"/>
                <w:spacing w:val="0"/>
                <w:sz w:val="18"/>
                <w:szCs w:val="18"/>
              </w:rPr>
              <w:t>□便民服务站</w:t>
            </w:r>
          </w:p>
          <w:p>
            <w:pPr>
              <w:pStyle w:val="10"/>
              <w:shd w:val="clear" w:color="auto" w:fill="auto"/>
              <w:adjustRightInd w:val="0"/>
              <w:snapToGrid w:val="0"/>
              <w:jc w:val="left"/>
              <w:rPr>
                <w:rFonts w:cs="方正仿宋_GBK" w:asciiTheme="minorEastAsia" w:hAnsiTheme="minorEastAsia" w:eastAsiaTheme="minorEastAsia"/>
                <w:spacing w:val="-20"/>
                <w:sz w:val="18"/>
                <w:szCs w:val="18"/>
              </w:rPr>
            </w:pPr>
            <w:r>
              <w:rPr>
                <w:rFonts w:hint="eastAsia" w:cs="方正仿宋_GBK" w:asciiTheme="minorEastAsia" w:hAnsiTheme="minorEastAsia" w:eastAsiaTheme="minorEastAsia"/>
                <w:spacing w:val="0"/>
                <w:sz w:val="18"/>
                <w:szCs w:val="18"/>
              </w:rPr>
              <w:t>□</w:t>
            </w:r>
            <w:r>
              <w:rPr>
                <w:rFonts w:hint="eastAsia" w:cs="方正仿宋_GBK" w:asciiTheme="minorEastAsia" w:hAnsiTheme="minorEastAsia" w:eastAsiaTheme="minorEastAsia"/>
                <w:spacing w:val="-20"/>
                <w:sz w:val="18"/>
                <w:szCs w:val="18"/>
              </w:rPr>
              <w:t>入户/现场宣传</w:t>
            </w:r>
          </w:p>
          <w:p>
            <w:pPr>
              <w:pStyle w:val="10"/>
              <w:shd w:val="clear" w:color="auto" w:fill="auto"/>
              <w:adjustRightInd w:val="0"/>
              <w:snapToGrid w:val="0"/>
              <w:jc w:val="left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  <w:r>
              <w:rPr>
                <w:rFonts w:hint="eastAsia" w:cs="方正仿宋_GBK" w:asciiTheme="minorEastAsia" w:hAnsiTheme="minorEastAsia" w:eastAsiaTheme="minorEastAsia"/>
                <w:spacing w:val="0"/>
                <w:sz w:val="18"/>
                <w:szCs w:val="18"/>
              </w:rPr>
              <w:t>□社区/企事业单位/村公示栏（电 子屏）</w:t>
            </w:r>
          </w:p>
          <w:p>
            <w:pPr>
              <w:pStyle w:val="10"/>
              <w:shd w:val="clear" w:color="auto" w:fill="auto"/>
              <w:tabs>
                <w:tab w:val="left" w:pos="1069"/>
              </w:tabs>
              <w:adjustRightInd w:val="0"/>
              <w:snapToGrid w:val="0"/>
              <w:jc w:val="left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  <w:r>
              <w:rPr>
                <w:rFonts w:hint="eastAsia" w:cs="方正仿宋_GBK" w:asciiTheme="minorEastAsia" w:hAnsiTheme="minorEastAsia" w:eastAsiaTheme="minorEastAsia"/>
                <w:spacing w:val="0"/>
                <w:sz w:val="18"/>
                <w:szCs w:val="18"/>
              </w:rPr>
              <w:t>□精准推送□其他</w:t>
            </w:r>
          </w:p>
          <w:p>
            <w:pPr>
              <w:pStyle w:val="12"/>
              <w:shd w:val="clear" w:color="auto" w:fill="auto"/>
              <w:spacing w:before="0" w:after="0" w:line="240" w:lineRule="exact"/>
              <w:jc w:val="left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  <w:r>
              <w:rPr>
                <w:rFonts w:hint="eastAsia" w:cs="方正仿宋_GBK" w:asciiTheme="minorEastAsia" w:hAnsiTheme="minorEastAsia" w:eastAsiaTheme="minorEastAsia"/>
                <w:spacing w:val="0"/>
                <w:sz w:val="18"/>
                <w:szCs w:val="18"/>
              </w:rPr>
              <w:t>√</w:t>
            </w:r>
          </w:p>
        </w:tc>
        <w:tc>
          <w:tcPr>
            <w:tcW w:w="426" w:type="dxa"/>
            <w:vMerge w:val="restart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  <w:r>
              <w:rPr>
                <w:rFonts w:hint="eastAsia" w:cs="方正仿宋_GBK" w:asciiTheme="minorEastAsia" w:hAnsiTheme="minorEastAsia" w:eastAsiaTheme="minorEastAsia"/>
                <w:spacing w:val="0"/>
                <w:sz w:val="18"/>
                <w:szCs w:val="18"/>
              </w:rPr>
              <w:t>√</w:t>
            </w:r>
          </w:p>
        </w:tc>
        <w:tc>
          <w:tcPr>
            <w:tcW w:w="425" w:type="dxa"/>
            <w:vMerge w:val="restart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  <w:r>
              <w:rPr>
                <w:rFonts w:hint="eastAsia" w:cs="方正仿宋_GBK" w:asciiTheme="minorEastAsia" w:hAnsiTheme="minorEastAsia" w:eastAsiaTheme="minorEastAsia"/>
                <w:spacing w:val="0"/>
                <w:sz w:val="18"/>
                <w:szCs w:val="18"/>
              </w:rPr>
              <w:t>√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ind w:right="-107" w:rightChars="-51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  <w:r>
              <w:rPr>
                <w:rFonts w:hint="eastAsia" w:cs="方正仿宋_GBK" w:asciiTheme="minorEastAsia" w:hAnsiTheme="minorEastAsia" w:eastAsiaTheme="minorEastAsia"/>
                <w:spacing w:val="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napToGrid w:val="0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napToGrid w:val="0"/>
                <w:spacing w:val="0"/>
                <w:sz w:val="18"/>
                <w:szCs w:val="18"/>
              </w:rPr>
            </w:pPr>
          </w:p>
        </w:tc>
        <w:tc>
          <w:tcPr>
            <w:tcW w:w="8080" w:type="dxa"/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政府性基金预算：①政府性基金预算收支预算表。②政府性基金本级支出表。③政府性基金转移支付表。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napToGrid w:val="0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pStyle w:val="10"/>
              <w:shd w:val="clear" w:color="auto" w:fill="auto"/>
              <w:tabs>
                <w:tab w:val="left" w:pos="1069"/>
              </w:tabs>
              <w:adjustRightInd w:val="0"/>
              <w:snapToGrid w:val="0"/>
              <w:jc w:val="left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napToGrid w:val="0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napToGrid w:val="0"/>
                <w:spacing w:val="0"/>
                <w:sz w:val="18"/>
                <w:szCs w:val="18"/>
              </w:rPr>
            </w:pPr>
          </w:p>
        </w:tc>
        <w:tc>
          <w:tcPr>
            <w:tcW w:w="8080" w:type="dxa"/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国有资本经营预算：①国有资本经营预算收支预算表。②国有资本经营预算本级支出表。③对下安排转移支付的应当公开国有资本经营预算转移支付表。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napToGrid w:val="0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pStyle w:val="10"/>
              <w:shd w:val="clear" w:color="auto" w:fill="auto"/>
              <w:tabs>
                <w:tab w:val="left" w:pos="1069"/>
              </w:tabs>
              <w:adjustRightInd w:val="0"/>
              <w:snapToGrid w:val="0"/>
              <w:jc w:val="left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napToGrid w:val="0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napToGrid w:val="0"/>
                <w:spacing w:val="0"/>
                <w:sz w:val="18"/>
                <w:szCs w:val="18"/>
              </w:rPr>
            </w:pPr>
          </w:p>
        </w:tc>
        <w:tc>
          <w:tcPr>
            <w:tcW w:w="8080" w:type="dxa"/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社会保险基金预算：①社会保险基金收支预算表。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napToGrid w:val="0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pStyle w:val="10"/>
              <w:shd w:val="clear" w:color="auto" w:fill="auto"/>
              <w:tabs>
                <w:tab w:val="left" w:pos="1069"/>
              </w:tabs>
              <w:adjustRightInd w:val="0"/>
              <w:snapToGrid w:val="0"/>
              <w:jc w:val="left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napToGrid w:val="0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napToGrid w:val="0"/>
                <w:spacing w:val="0"/>
                <w:sz w:val="18"/>
                <w:szCs w:val="18"/>
              </w:rPr>
            </w:pPr>
          </w:p>
        </w:tc>
        <w:tc>
          <w:tcPr>
            <w:tcW w:w="8080" w:type="dxa"/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债务信息（以2020年为例）</w:t>
            </w: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随同预算公开：①重庆市渝</w:t>
            </w:r>
            <w: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  <w:t>北</w:t>
            </w: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区2019年地方政府债务限额及余额情况表。②重庆市渝</w:t>
            </w:r>
            <w: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  <w:t>北</w:t>
            </w: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区2019年和2020年地方政府一般债务余额情况表。③重庆市渝</w:t>
            </w:r>
            <w: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  <w:t>北</w:t>
            </w: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区2019年和2020年地方政府专项债务余额情况表。④重庆市渝</w:t>
            </w:r>
            <w: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  <w:t>北</w:t>
            </w: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区地方政府债券发行及还本付息情况表。⑤重庆市渝</w:t>
            </w:r>
            <w: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  <w:t>北</w:t>
            </w: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区2020年地方政府债务限额提前下达情况表。⑥重庆市渝</w:t>
            </w:r>
            <w: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  <w:t>北</w:t>
            </w: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区2020年年初新增地方政府债券资金安排表。</w:t>
            </w: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随同调整预算公开：①重庆市渝</w:t>
            </w:r>
            <w: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  <w:t>北</w:t>
            </w: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区2020年地方政府债务限额调整情况表。②重庆市渝</w:t>
            </w:r>
            <w: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  <w:t>北</w:t>
            </w: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区2020年限额调整地方政府债券资金安排表。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napToGrid w:val="0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pStyle w:val="10"/>
              <w:shd w:val="clear" w:color="auto" w:fill="auto"/>
              <w:tabs>
                <w:tab w:val="left" w:pos="1069"/>
              </w:tabs>
              <w:adjustRightInd w:val="0"/>
              <w:snapToGrid w:val="0"/>
              <w:jc w:val="left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napToGrid w:val="0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napToGrid w:val="0"/>
                <w:spacing w:val="0"/>
                <w:sz w:val="18"/>
                <w:szCs w:val="18"/>
              </w:rPr>
            </w:pPr>
          </w:p>
        </w:tc>
        <w:tc>
          <w:tcPr>
            <w:tcW w:w="8080" w:type="dxa"/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一般公共预算、政府性基金预算、国有资本经营预算和社会保险基金预算报表中涉及本级支出的，应当公开到功能分类项级科目。本级一般公共预算基本支出应当公开到经济性质分类款级科目，专项转移支付应当分地区、分项目公开。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napToGrid w:val="0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pStyle w:val="10"/>
              <w:shd w:val="clear" w:color="auto" w:fill="auto"/>
              <w:tabs>
                <w:tab w:val="left" w:pos="1069"/>
              </w:tabs>
              <w:adjustRightInd w:val="0"/>
              <w:snapToGrid w:val="0"/>
              <w:jc w:val="left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napToGrid w:val="0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napToGrid w:val="0"/>
                <w:spacing w:val="0"/>
                <w:sz w:val="18"/>
                <w:szCs w:val="18"/>
              </w:rPr>
            </w:pPr>
          </w:p>
        </w:tc>
        <w:tc>
          <w:tcPr>
            <w:tcW w:w="8080" w:type="dxa"/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对财政转移支付安排、举借政府债务等重要事项进行解释、说明。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napToGrid w:val="0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pStyle w:val="10"/>
              <w:shd w:val="clear" w:color="auto" w:fill="auto"/>
              <w:tabs>
                <w:tab w:val="left" w:pos="1069"/>
              </w:tabs>
              <w:adjustRightInd w:val="0"/>
              <w:snapToGrid w:val="0"/>
              <w:jc w:val="left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napToGrid w:val="0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napToGrid w:val="0"/>
                <w:spacing w:val="0"/>
                <w:sz w:val="18"/>
                <w:szCs w:val="18"/>
              </w:rPr>
            </w:pPr>
          </w:p>
        </w:tc>
        <w:tc>
          <w:tcPr>
            <w:tcW w:w="8080" w:type="dxa"/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本级汇总的一般公共预算“三公”经费，包括预算总额，以及“因公出国（境）费”“公务用车购置及运行费”（区分“公务用车购置费”“公务用车运行费”两项）、“公务接待费”分项数额，并对增减变化情况进行说明。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napToGrid w:val="0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pStyle w:val="10"/>
              <w:shd w:val="clear" w:color="auto" w:fill="auto"/>
              <w:tabs>
                <w:tab w:val="left" w:pos="1069"/>
              </w:tabs>
              <w:adjustRightInd w:val="0"/>
              <w:snapToGrid w:val="0"/>
              <w:jc w:val="left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napToGrid w:val="0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napToGrid w:val="0"/>
                <w:spacing w:val="0"/>
                <w:sz w:val="18"/>
                <w:szCs w:val="18"/>
              </w:rPr>
            </w:pPr>
          </w:p>
        </w:tc>
        <w:tc>
          <w:tcPr>
            <w:tcW w:w="8080" w:type="dxa"/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napToGrid w:val="0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pStyle w:val="10"/>
              <w:shd w:val="clear" w:color="auto" w:fill="auto"/>
              <w:tabs>
                <w:tab w:val="left" w:pos="1069"/>
              </w:tabs>
              <w:adjustRightInd w:val="0"/>
              <w:snapToGrid w:val="0"/>
              <w:jc w:val="left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</w:tr>
    </w:tbl>
    <w:p>
      <w:pPr>
        <w:rPr>
          <w:rFonts w:asciiTheme="minorEastAsia" w:hAnsiTheme="minorEastAsia" w:eastAsiaTheme="minorEastAsia"/>
          <w:sz w:val="18"/>
          <w:szCs w:val="18"/>
        </w:rPr>
      </w:pPr>
    </w:p>
    <w:p>
      <w:pPr>
        <w:rPr>
          <w:rFonts w:asciiTheme="minorEastAsia" w:hAnsiTheme="minorEastAsia" w:eastAsiaTheme="minorEastAsia"/>
          <w:sz w:val="18"/>
          <w:szCs w:val="18"/>
        </w:rPr>
      </w:pPr>
    </w:p>
    <w:p>
      <w:pPr>
        <w:rPr>
          <w:rFonts w:asciiTheme="minorEastAsia" w:hAnsiTheme="minorEastAsia" w:eastAsiaTheme="minorEastAsia"/>
          <w:sz w:val="18"/>
          <w:szCs w:val="18"/>
        </w:rPr>
      </w:pPr>
    </w:p>
    <w:p>
      <w:pPr>
        <w:pStyle w:val="12"/>
        <w:shd w:val="clear" w:color="auto" w:fill="auto"/>
        <w:adjustRightInd w:val="0"/>
        <w:snapToGrid w:val="0"/>
        <w:spacing w:before="0" w:after="0" w:line="720" w:lineRule="exact"/>
        <w:jc w:val="center"/>
        <w:rPr>
          <w:rFonts w:ascii="Times New Roman" w:hAnsi="Times New Roman" w:eastAsia="方正小标宋_GBK" w:cs="Times New Roman"/>
          <w:spacing w:val="0"/>
          <w:sz w:val="44"/>
          <w:szCs w:val="44"/>
        </w:rPr>
      </w:pPr>
      <w:r>
        <w:rPr>
          <w:rFonts w:ascii="Times New Roman" w:hAnsi="Times New Roman" w:eastAsia="方正小标宋_GBK" w:cs="Times New Roman"/>
          <w:spacing w:val="0"/>
          <w:sz w:val="44"/>
          <w:szCs w:val="44"/>
        </w:rPr>
        <w:t>重庆市</w:t>
      </w:r>
      <w:r>
        <w:rPr>
          <w:rFonts w:hint="eastAsia" w:ascii="Times New Roman" w:hAnsi="Times New Roman" w:eastAsia="方正小标宋_GBK" w:cs="Times New Roman"/>
          <w:spacing w:val="0"/>
          <w:sz w:val="44"/>
          <w:szCs w:val="44"/>
        </w:rPr>
        <w:t>渝北区财政预决算领域</w:t>
      </w:r>
      <w:r>
        <w:rPr>
          <w:rFonts w:ascii="Times New Roman" w:hAnsi="Times New Roman" w:eastAsia="方正小标宋_GBK" w:cs="Times New Roman"/>
          <w:spacing w:val="0"/>
          <w:sz w:val="44"/>
          <w:szCs w:val="44"/>
        </w:rPr>
        <w:t>政务公开标准目录</w:t>
      </w:r>
    </w:p>
    <w:p>
      <w:pPr>
        <w:pStyle w:val="12"/>
        <w:shd w:val="clear" w:color="auto" w:fill="auto"/>
        <w:spacing w:before="0" w:after="0" w:line="240" w:lineRule="exact"/>
        <w:jc w:val="center"/>
        <w:rPr>
          <w:rFonts w:ascii="Times New Roman" w:hAnsi="Times New Roman" w:eastAsia="方正小标宋_GBK" w:cs="Times New Roman"/>
          <w:spacing w:val="0"/>
          <w:sz w:val="44"/>
          <w:szCs w:val="44"/>
        </w:rPr>
      </w:pPr>
    </w:p>
    <w:tbl>
      <w:tblPr>
        <w:tblStyle w:val="4"/>
        <w:tblW w:w="157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425"/>
        <w:gridCol w:w="425"/>
        <w:gridCol w:w="7513"/>
        <w:gridCol w:w="1276"/>
        <w:gridCol w:w="708"/>
        <w:gridCol w:w="851"/>
        <w:gridCol w:w="992"/>
        <w:gridCol w:w="425"/>
        <w:gridCol w:w="426"/>
        <w:gridCol w:w="425"/>
        <w:gridCol w:w="425"/>
        <w:gridCol w:w="425"/>
        <w:gridCol w:w="426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  <w:tblHeader/>
          <w:jc w:val="center"/>
        </w:trPr>
        <w:tc>
          <w:tcPr>
            <w:tcW w:w="421" w:type="dxa"/>
            <w:vMerge w:val="restart"/>
            <w:vAlign w:val="center"/>
          </w:tcPr>
          <w:p>
            <w:pPr>
              <w:pStyle w:val="12"/>
              <w:shd w:val="clear" w:color="auto" w:fill="auto"/>
              <w:spacing w:before="0" w:after="0" w:line="220" w:lineRule="exact"/>
              <w:jc w:val="center"/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</w:pPr>
            <w:r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  <w:t>序号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pStyle w:val="12"/>
              <w:shd w:val="clear" w:color="auto" w:fill="auto"/>
              <w:spacing w:before="0" w:after="0" w:line="220" w:lineRule="exact"/>
              <w:ind w:left="-107" w:leftChars="-51"/>
              <w:jc w:val="center"/>
              <w:rPr>
                <w:rFonts w:ascii="Times New Roman" w:hAnsi="Times New Roman" w:eastAsia="方正黑体_GBK" w:cs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eastAsia="方正黑体_GBK" w:cs="Times New Roman"/>
                <w:spacing w:val="-10"/>
                <w:sz w:val="18"/>
                <w:szCs w:val="18"/>
              </w:rPr>
              <w:t>公开事项</w:t>
            </w:r>
          </w:p>
        </w:tc>
        <w:tc>
          <w:tcPr>
            <w:tcW w:w="7513" w:type="dxa"/>
            <w:vMerge w:val="restart"/>
            <w:vAlign w:val="center"/>
          </w:tcPr>
          <w:p>
            <w:pPr>
              <w:pStyle w:val="12"/>
              <w:shd w:val="clear" w:color="auto" w:fill="auto"/>
              <w:spacing w:before="0" w:after="0" w:line="220" w:lineRule="exact"/>
              <w:jc w:val="center"/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</w:pPr>
            <w:r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  <w:t>公开内容</w:t>
            </w:r>
          </w:p>
          <w:p>
            <w:pPr>
              <w:pStyle w:val="12"/>
              <w:shd w:val="clear" w:color="auto" w:fill="auto"/>
              <w:spacing w:before="0" w:after="0" w:line="220" w:lineRule="exact"/>
              <w:jc w:val="center"/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</w:pPr>
            <w:r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  <w:t>（要素）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pStyle w:val="12"/>
              <w:shd w:val="clear" w:color="auto" w:fill="auto"/>
              <w:spacing w:before="0" w:after="0" w:line="220" w:lineRule="exact"/>
              <w:jc w:val="center"/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</w:pPr>
            <w:r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  <w:t>公开依据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pStyle w:val="12"/>
              <w:shd w:val="clear" w:color="auto" w:fill="auto"/>
              <w:spacing w:before="0" w:after="0" w:line="220" w:lineRule="exact"/>
              <w:jc w:val="center"/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</w:pPr>
            <w:r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  <w:t>公开时限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pStyle w:val="12"/>
              <w:shd w:val="clear" w:color="auto" w:fill="auto"/>
              <w:spacing w:before="0" w:after="0" w:line="220" w:lineRule="exact"/>
              <w:jc w:val="center"/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</w:pPr>
            <w:r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  <w:t>公开</w:t>
            </w:r>
          </w:p>
          <w:p>
            <w:pPr>
              <w:pStyle w:val="12"/>
              <w:shd w:val="clear" w:color="auto" w:fill="auto"/>
              <w:spacing w:before="0" w:after="0" w:line="220" w:lineRule="exact"/>
              <w:jc w:val="center"/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</w:pPr>
            <w:r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  <w:t>主体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pStyle w:val="12"/>
              <w:shd w:val="clear" w:color="auto" w:fill="auto"/>
              <w:spacing w:before="0" w:after="0" w:line="220" w:lineRule="exact"/>
              <w:jc w:val="center"/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</w:pPr>
            <w:r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  <w:t>公开渠道和载体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pStyle w:val="12"/>
              <w:shd w:val="clear" w:color="auto" w:fill="auto"/>
              <w:spacing w:before="0" w:after="0" w:line="220" w:lineRule="exact"/>
              <w:ind w:left="-107" w:leftChars="-51" w:right="-107" w:rightChars="-51"/>
              <w:jc w:val="center"/>
              <w:rPr>
                <w:rFonts w:ascii="Times New Roman" w:hAnsi="Times New Roman" w:eastAsia="方正黑体_GBK" w:cs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eastAsia="方正黑体_GBK" w:cs="Times New Roman"/>
                <w:spacing w:val="-10"/>
                <w:sz w:val="18"/>
                <w:szCs w:val="18"/>
              </w:rPr>
              <w:t>公开对象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pStyle w:val="12"/>
              <w:shd w:val="clear" w:color="auto" w:fill="auto"/>
              <w:spacing w:before="0" w:after="0" w:line="220" w:lineRule="exact"/>
              <w:ind w:left="-107" w:leftChars="-51" w:right="-107" w:rightChars="-51"/>
              <w:jc w:val="center"/>
              <w:rPr>
                <w:rFonts w:ascii="Times New Roman" w:hAnsi="Times New Roman" w:eastAsia="方正黑体_GBK" w:cs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eastAsia="方正黑体_GBK" w:cs="Times New Roman"/>
                <w:spacing w:val="-10"/>
                <w:sz w:val="18"/>
                <w:szCs w:val="18"/>
              </w:rPr>
              <w:t>公开方式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pStyle w:val="12"/>
              <w:shd w:val="clear" w:color="auto" w:fill="auto"/>
              <w:spacing w:before="0" w:after="0" w:line="220" w:lineRule="exact"/>
              <w:ind w:left="-107" w:leftChars="-51" w:right="-107" w:rightChars="-51"/>
              <w:jc w:val="center"/>
              <w:rPr>
                <w:rFonts w:ascii="Times New Roman" w:hAnsi="Times New Roman" w:eastAsia="方正黑体_GBK" w:cs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eastAsia="方正黑体_GBK" w:cs="Times New Roman"/>
                <w:spacing w:val="-10"/>
                <w:sz w:val="18"/>
                <w:szCs w:val="18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1" w:hRule="atLeast"/>
          <w:tblHeader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20" w:lineRule="exact"/>
              <w:jc w:val="center"/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>
            <w:pPr>
              <w:pStyle w:val="12"/>
              <w:shd w:val="clear" w:color="auto" w:fill="auto"/>
              <w:spacing w:before="0" w:after="0" w:line="220" w:lineRule="exact"/>
              <w:jc w:val="center"/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</w:pPr>
            <w:r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  <w:t>一级事项</w:t>
            </w:r>
          </w:p>
        </w:tc>
        <w:tc>
          <w:tcPr>
            <w:tcW w:w="425" w:type="dxa"/>
            <w:vAlign w:val="center"/>
          </w:tcPr>
          <w:p>
            <w:pPr>
              <w:pStyle w:val="12"/>
              <w:shd w:val="clear" w:color="auto" w:fill="auto"/>
              <w:spacing w:before="0" w:after="0" w:line="220" w:lineRule="exact"/>
              <w:jc w:val="center"/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</w:pPr>
            <w:r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  <w:t>二级事项</w:t>
            </w:r>
          </w:p>
        </w:tc>
        <w:tc>
          <w:tcPr>
            <w:tcW w:w="7513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20" w:lineRule="exact"/>
              <w:jc w:val="center"/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20" w:lineRule="exact"/>
              <w:jc w:val="center"/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20" w:lineRule="exact"/>
              <w:jc w:val="center"/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20" w:lineRule="exact"/>
              <w:jc w:val="center"/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20" w:lineRule="exact"/>
              <w:jc w:val="center"/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>
            <w:pPr>
              <w:pStyle w:val="12"/>
              <w:shd w:val="clear" w:color="auto" w:fill="auto"/>
              <w:spacing w:before="0" w:after="0" w:line="220" w:lineRule="exact"/>
              <w:jc w:val="center"/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</w:pPr>
            <w:r>
              <w:rPr>
                <w:rFonts w:ascii="Times New Roman" w:hAnsi="Times New Roman" w:eastAsia="方正黑体_GBK" w:cs="Times New Roman"/>
                <w:spacing w:val="-20"/>
                <w:sz w:val="18"/>
                <w:szCs w:val="18"/>
              </w:rPr>
              <w:t>全社会</w:t>
            </w:r>
          </w:p>
        </w:tc>
        <w:tc>
          <w:tcPr>
            <w:tcW w:w="426" w:type="dxa"/>
            <w:vAlign w:val="center"/>
          </w:tcPr>
          <w:p>
            <w:pPr>
              <w:pStyle w:val="12"/>
              <w:shd w:val="clear" w:color="auto" w:fill="auto"/>
              <w:spacing w:before="0" w:after="0" w:line="220" w:lineRule="exact"/>
              <w:jc w:val="center"/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</w:pPr>
            <w:r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  <w:t>特定群体</w:t>
            </w:r>
          </w:p>
        </w:tc>
        <w:tc>
          <w:tcPr>
            <w:tcW w:w="425" w:type="dxa"/>
            <w:vAlign w:val="center"/>
          </w:tcPr>
          <w:p>
            <w:pPr>
              <w:pStyle w:val="12"/>
              <w:shd w:val="clear" w:color="auto" w:fill="auto"/>
              <w:spacing w:before="0" w:after="0" w:line="220" w:lineRule="exact"/>
              <w:jc w:val="center"/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</w:pPr>
            <w:r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  <w:t>主动</w:t>
            </w:r>
          </w:p>
        </w:tc>
        <w:tc>
          <w:tcPr>
            <w:tcW w:w="425" w:type="dxa"/>
            <w:vAlign w:val="center"/>
          </w:tcPr>
          <w:p>
            <w:pPr>
              <w:pStyle w:val="12"/>
              <w:shd w:val="clear" w:color="auto" w:fill="auto"/>
              <w:spacing w:before="0" w:after="0" w:line="220" w:lineRule="exact"/>
              <w:jc w:val="center"/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</w:pPr>
            <w:r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  <w:t>依申请</w:t>
            </w:r>
          </w:p>
        </w:tc>
        <w:tc>
          <w:tcPr>
            <w:tcW w:w="425" w:type="dxa"/>
            <w:vAlign w:val="center"/>
          </w:tcPr>
          <w:p>
            <w:pPr>
              <w:pStyle w:val="12"/>
              <w:shd w:val="clear" w:color="auto" w:fill="auto"/>
              <w:spacing w:before="0" w:after="0" w:line="220" w:lineRule="exact"/>
              <w:jc w:val="center"/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</w:pPr>
            <w:r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  <w:t>市级</w:t>
            </w:r>
          </w:p>
        </w:tc>
        <w:tc>
          <w:tcPr>
            <w:tcW w:w="426" w:type="dxa"/>
            <w:vAlign w:val="center"/>
          </w:tcPr>
          <w:p>
            <w:pPr>
              <w:pStyle w:val="12"/>
              <w:shd w:val="clear" w:color="auto" w:fill="auto"/>
              <w:spacing w:before="0" w:after="0" w:line="220" w:lineRule="exact"/>
              <w:jc w:val="center"/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</w:pPr>
            <w:r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  <w:t>区级</w:t>
            </w:r>
          </w:p>
        </w:tc>
        <w:tc>
          <w:tcPr>
            <w:tcW w:w="567" w:type="dxa"/>
            <w:vAlign w:val="center"/>
          </w:tcPr>
          <w:p>
            <w:pPr>
              <w:pStyle w:val="12"/>
              <w:shd w:val="clear" w:color="auto" w:fill="auto"/>
              <w:spacing w:before="0" w:after="0" w:line="220" w:lineRule="exact"/>
              <w:ind w:left="-107" w:leftChars="-51"/>
              <w:jc w:val="center"/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</w:pPr>
            <w:r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  <w:t>镇</w:t>
            </w:r>
            <w:r>
              <w:rPr>
                <w:rFonts w:hint="eastAsia" w:ascii="Times New Roman" w:hAnsi="Times New Roman" w:eastAsia="方正黑体_GBK" w:cs="Times New Roman"/>
                <w:spacing w:val="0"/>
                <w:sz w:val="18"/>
                <w:szCs w:val="18"/>
              </w:rPr>
              <w:t>（街）</w:t>
            </w:r>
            <w:r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421" w:type="dxa"/>
            <w:vMerge w:val="restart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  <w:r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  <w:t>2</w:t>
            </w:r>
          </w:p>
        </w:tc>
        <w:tc>
          <w:tcPr>
            <w:tcW w:w="425" w:type="dxa"/>
            <w:vMerge w:val="restart"/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napToGrid w:val="0"/>
                <w:spacing w:val="0"/>
                <w:sz w:val="18"/>
                <w:szCs w:val="18"/>
              </w:rPr>
            </w:pPr>
          </w:p>
          <w:p>
            <w:pPr>
              <w:pStyle w:val="12"/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napToGrid w:val="0"/>
                <w:spacing w:val="0"/>
                <w:sz w:val="18"/>
                <w:szCs w:val="18"/>
              </w:rPr>
            </w:pPr>
            <w:r>
              <w:rPr>
                <w:rFonts w:hint="eastAsia" w:cs="方正仿宋_GBK" w:asciiTheme="minorEastAsia" w:hAnsiTheme="minorEastAsia" w:eastAsiaTheme="minorEastAsia"/>
                <w:snapToGrid w:val="0"/>
                <w:spacing w:val="0"/>
                <w:sz w:val="18"/>
                <w:szCs w:val="18"/>
              </w:rPr>
              <w:t>财政预决算</w:t>
            </w:r>
          </w:p>
        </w:tc>
        <w:tc>
          <w:tcPr>
            <w:tcW w:w="425" w:type="dxa"/>
            <w:vMerge w:val="restart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both"/>
              <w:rPr>
                <w:rFonts w:cs="方正仿宋_GBK" w:asciiTheme="minorEastAsia" w:hAnsiTheme="minorEastAsia" w:eastAsiaTheme="minorEastAsia"/>
                <w:snapToGrid w:val="0"/>
                <w:spacing w:val="0"/>
                <w:sz w:val="18"/>
                <w:szCs w:val="18"/>
              </w:rPr>
            </w:pPr>
            <w:r>
              <w:rPr>
                <w:rFonts w:hint="eastAsia" w:cs="方正仿宋_GBK" w:asciiTheme="minorEastAsia" w:hAnsiTheme="minorEastAsia" w:eastAsiaTheme="minorEastAsia"/>
                <w:snapToGrid w:val="0"/>
                <w:spacing w:val="0"/>
                <w:sz w:val="18"/>
                <w:szCs w:val="18"/>
              </w:rPr>
              <w:t>政府决算</w:t>
            </w:r>
          </w:p>
        </w:tc>
        <w:tc>
          <w:tcPr>
            <w:tcW w:w="751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一般公共预算：①一般公共预算收支决算表。②一般公共预算本级支出表。③一般公共预算本级基本支出表。④一般公共预算税收返还和转移支付表。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pStyle w:val="7"/>
              <w:spacing w:line="240" w:lineRule="exact"/>
              <w:jc w:val="left"/>
              <w:rPr>
                <w:rFonts w:cs="方正仿宋_GBK" w:asciiTheme="minorEastAsia" w:hAnsiTheme="minorEastAsia" w:eastAsiaTheme="minorEastAsia"/>
                <w:snapToGrid w:val="0"/>
                <w:spacing w:val="0"/>
                <w:sz w:val="18"/>
                <w:szCs w:val="18"/>
              </w:rPr>
            </w:pPr>
            <w:r>
              <w:rPr>
                <w:rFonts w:hint="eastAsia" w:cs="方正仿宋_GBK" w:asciiTheme="minorEastAsia" w:hAnsiTheme="minorEastAsia" w:eastAsiaTheme="minorEastAsia"/>
                <w:snapToGrid w:val="0"/>
                <w:spacing w:val="0"/>
                <w:sz w:val="18"/>
                <w:szCs w:val="18"/>
              </w:rPr>
              <w:t>《中华人民共和国预算法》、《重庆市预算审查监督条例》、《重庆市预决算信息公开管理办法》、《地方预决算公开操作规程》（财预〔2016〕143号）、《财政部关于印发&lt;地方政府债务信息公开办法（试行）&gt;的通知》（财预〔2018〕209号）等法律法规和文件规定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  <w:r>
              <w:rPr>
                <w:rFonts w:hint="eastAsia" w:cs="方正仿宋_GBK" w:asciiTheme="minorEastAsia" w:hAnsiTheme="minorEastAsia" w:eastAsiaTheme="minorEastAsia"/>
                <w:spacing w:val="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ind w:left="-107" w:leftChars="-51" w:right="-107" w:rightChars="-51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  <w:r>
              <w:rPr>
                <w:rFonts w:hint="eastAsia" w:cs="方正仿宋_GBK" w:asciiTheme="minorEastAsia" w:hAnsiTheme="minorEastAsia" w:eastAsiaTheme="minorEastAsia"/>
                <w:spacing w:val="0"/>
                <w:sz w:val="18"/>
                <w:szCs w:val="18"/>
              </w:rPr>
              <w:t>区财政局、</w:t>
            </w:r>
          </w:p>
          <w:p>
            <w:pPr>
              <w:pStyle w:val="12"/>
              <w:shd w:val="clear" w:color="auto" w:fill="auto"/>
              <w:spacing w:before="0" w:after="0" w:line="240" w:lineRule="exact"/>
              <w:ind w:left="-107" w:leftChars="-51" w:right="-107" w:rightChars="-51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  <w:r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  <w:t>各镇</w:t>
            </w:r>
            <w:r>
              <w:rPr>
                <w:rFonts w:hint="eastAsia" w:cs="方正仿宋_GBK" w:asciiTheme="minorEastAsia" w:hAnsiTheme="minorEastAsia" w:eastAsiaTheme="minorEastAsia"/>
                <w:spacing w:val="0"/>
                <w:sz w:val="18"/>
                <w:szCs w:val="18"/>
              </w:rPr>
              <w:t>（</w:t>
            </w:r>
            <w:r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  <w:t>街</w:t>
            </w:r>
            <w:r>
              <w:rPr>
                <w:rFonts w:hint="eastAsia" w:cs="方正仿宋_GBK" w:asciiTheme="minorEastAsia" w:hAnsiTheme="minorEastAsia" w:eastAsiaTheme="minorEastAsia"/>
                <w:spacing w:val="0"/>
                <w:sz w:val="18"/>
                <w:szCs w:val="18"/>
              </w:rPr>
              <w:t>）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pStyle w:val="10"/>
              <w:shd w:val="clear" w:color="auto" w:fill="auto"/>
              <w:tabs>
                <w:tab w:val="left" w:pos="1069"/>
              </w:tabs>
              <w:adjustRightInd w:val="0"/>
              <w:snapToGrid w:val="0"/>
              <w:jc w:val="left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  <w:r>
              <w:rPr>
                <w:rFonts w:hint="eastAsia" w:cs="方正仿宋_GBK" w:asciiTheme="minorEastAsia" w:hAnsiTheme="minorEastAsia" w:eastAsiaTheme="minorEastAsia"/>
                <w:spacing w:val="0"/>
                <w:sz w:val="18"/>
                <w:szCs w:val="18"/>
              </w:rPr>
              <w:t>■政府网站</w:t>
            </w:r>
          </w:p>
          <w:p>
            <w:pPr>
              <w:pStyle w:val="10"/>
              <w:shd w:val="clear" w:color="auto" w:fill="auto"/>
              <w:tabs>
                <w:tab w:val="left" w:pos="1069"/>
              </w:tabs>
              <w:adjustRightInd w:val="0"/>
              <w:snapToGrid w:val="0"/>
              <w:jc w:val="left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  <w:r>
              <w:rPr>
                <w:rFonts w:hint="eastAsia" w:cs="方正仿宋_GBK" w:asciiTheme="minorEastAsia" w:hAnsiTheme="minorEastAsia" w:eastAsiaTheme="minorEastAsia"/>
                <w:spacing w:val="0"/>
                <w:sz w:val="18"/>
                <w:szCs w:val="18"/>
              </w:rPr>
              <w:t>□政府公报</w:t>
            </w:r>
          </w:p>
          <w:p>
            <w:pPr>
              <w:pStyle w:val="10"/>
              <w:shd w:val="clear" w:color="auto" w:fill="auto"/>
              <w:tabs>
                <w:tab w:val="left" w:pos="1073"/>
              </w:tabs>
              <w:adjustRightInd w:val="0"/>
              <w:snapToGrid w:val="0"/>
              <w:jc w:val="left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  <w:r>
              <w:rPr>
                <w:rFonts w:hint="eastAsia" w:cs="方正仿宋_GBK" w:asciiTheme="minorEastAsia" w:hAnsiTheme="minorEastAsia" w:eastAsiaTheme="minorEastAsia"/>
                <w:spacing w:val="0"/>
                <w:sz w:val="18"/>
                <w:szCs w:val="18"/>
              </w:rPr>
              <w:t>□两微一端□</w:t>
            </w:r>
            <w:r>
              <w:rPr>
                <w:rFonts w:hint="eastAsia" w:cs="方正仿宋_GBK" w:asciiTheme="minorEastAsia" w:hAnsiTheme="minorEastAsia" w:eastAsiaTheme="minorEastAsia"/>
                <w:spacing w:val="-20"/>
                <w:sz w:val="18"/>
                <w:szCs w:val="18"/>
              </w:rPr>
              <w:t>发布会/听证会</w:t>
            </w:r>
          </w:p>
          <w:p>
            <w:pPr>
              <w:pStyle w:val="10"/>
              <w:shd w:val="clear" w:color="auto" w:fill="auto"/>
              <w:tabs>
                <w:tab w:val="left" w:pos="1073"/>
              </w:tabs>
              <w:adjustRightInd w:val="0"/>
              <w:snapToGrid w:val="0"/>
              <w:jc w:val="left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  <w:r>
              <w:rPr>
                <w:rFonts w:hint="eastAsia" w:cs="方正仿宋_GBK" w:asciiTheme="minorEastAsia" w:hAnsiTheme="minorEastAsia" w:eastAsiaTheme="minorEastAsia"/>
                <w:spacing w:val="0"/>
                <w:sz w:val="18"/>
                <w:szCs w:val="18"/>
              </w:rPr>
              <w:t>□广播电视</w:t>
            </w:r>
          </w:p>
          <w:p>
            <w:pPr>
              <w:pStyle w:val="10"/>
              <w:shd w:val="clear" w:color="auto" w:fill="auto"/>
              <w:tabs>
                <w:tab w:val="left" w:pos="1073"/>
              </w:tabs>
              <w:adjustRightInd w:val="0"/>
              <w:snapToGrid w:val="0"/>
              <w:jc w:val="left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  <w:r>
              <w:rPr>
                <w:rFonts w:hint="eastAsia" w:cs="方正仿宋_GBK" w:asciiTheme="minorEastAsia" w:hAnsiTheme="minorEastAsia" w:eastAsiaTheme="minorEastAsia"/>
                <w:spacing w:val="0"/>
                <w:sz w:val="18"/>
                <w:szCs w:val="18"/>
              </w:rPr>
              <w:t>□纸质煤体</w:t>
            </w:r>
          </w:p>
          <w:p>
            <w:pPr>
              <w:pStyle w:val="10"/>
              <w:shd w:val="clear" w:color="auto" w:fill="auto"/>
              <w:adjustRightInd w:val="0"/>
              <w:snapToGrid w:val="0"/>
              <w:jc w:val="left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  <w:r>
              <w:rPr>
                <w:rFonts w:hint="eastAsia" w:cs="方正仿宋_GBK" w:asciiTheme="minorEastAsia" w:hAnsiTheme="minorEastAsia" w:eastAsiaTheme="minorEastAsia"/>
                <w:spacing w:val="0"/>
                <w:sz w:val="18"/>
                <w:szCs w:val="18"/>
              </w:rPr>
              <w:t>□公开查阅点</w:t>
            </w:r>
          </w:p>
          <w:p>
            <w:pPr>
              <w:pStyle w:val="10"/>
              <w:shd w:val="clear" w:color="auto" w:fill="auto"/>
              <w:adjustRightInd w:val="0"/>
              <w:snapToGrid w:val="0"/>
              <w:jc w:val="left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  <w:r>
              <w:rPr>
                <w:rFonts w:hint="eastAsia" w:cs="方正仿宋_GBK" w:asciiTheme="minorEastAsia" w:hAnsiTheme="minorEastAsia" w:eastAsiaTheme="minorEastAsia"/>
                <w:spacing w:val="0"/>
                <w:sz w:val="18"/>
                <w:szCs w:val="18"/>
              </w:rPr>
              <w:t>□</w:t>
            </w:r>
            <w:r>
              <w:rPr>
                <w:rFonts w:hint="eastAsia" w:cs="方正仿宋_GBK" w:asciiTheme="minorEastAsia" w:hAnsiTheme="minorEastAsia" w:eastAsiaTheme="minorEastAsia"/>
                <w:spacing w:val="-20"/>
                <w:sz w:val="18"/>
                <w:szCs w:val="18"/>
              </w:rPr>
              <w:t>政务服务中心</w:t>
            </w:r>
            <w:r>
              <w:rPr>
                <w:rFonts w:hint="eastAsia" w:cs="方正仿宋_GBK" w:asciiTheme="minorEastAsia" w:hAnsiTheme="minorEastAsia" w:eastAsiaTheme="minorEastAsia"/>
                <w:spacing w:val="0"/>
                <w:sz w:val="18"/>
                <w:szCs w:val="18"/>
              </w:rPr>
              <w:t xml:space="preserve"> </w:t>
            </w:r>
          </w:p>
          <w:p>
            <w:pPr>
              <w:pStyle w:val="10"/>
              <w:shd w:val="clear" w:color="auto" w:fill="auto"/>
              <w:adjustRightInd w:val="0"/>
              <w:snapToGrid w:val="0"/>
              <w:jc w:val="left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  <w:r>
              <w:rPr>
                <w:rFonts w:hint="eastAsia" w:cs="方正仿宋_GBK" w:asciiTheme="minorEastAsia" w:hAnsiTheme="minorEastAsia" w:eastAsiaTheme="minorEastAsia"/>
                <w:spacing w:val="0"/>
                <w:sz w:val="18"/>
                <w:szCs w:val="18"/>
              </w:rPr>
              <w:t>□便民服务站</w:t>
            </w:r>
          </w:p>
          <w:p>
            <w:pPr>
              <w:pStyle w:val="10"/>
              <w:shd w:val="clear" w:color="auto" w:fill="auto"/>
              <w:adjustRightInd w:val="0"/>
              <w:snapToGrid w:val="0"/>
              <w:jc w:val="left"/>
              <w:rPr>
                <w:rFonts w:cs="方正仿宋_GBK" w:asciiTheme="minorEastAsia" w:hAnsiTheme="minorEastAsia" w:eastAsiaTheme="minorEastAsia"/>
                <w:spacing w:val="-20"/>
                <w:sz w:val="18"/>
                <w:szCs w:val="18"/>
              </w:rPr>
            </w:pPr>
            <w:r>
              <w:rPr>
                <w:rFonts w:hint="eastAsia" w:cs="方正仿宋_GBK" w:asciiTheme="minorEastAsia" w:hAnsiTheme="minorEastAsia" w:eastAsiaTheme="minorEastAsia"/>
                <w:spacing w:val="0"/>
                <w:sz w:val="18"/>
                <w:szCs w:val="18"/>
              </w:rPr>
              <w:t>□</w:t>
            </w:r>
            <w:r>
              <w:rPr>
                <w:rFonts w:hint="eastAsia" w:cs="方正仿宋_GBK" w:asciiTheme="minorEastAsia" w:hAnsiTheme="minorEastAsia" w:eastAsiaTheme="minorEastAsia"/>
                <w:spacing w:val="-20"/>
                <w:sz w:val="18"/>
                <w:szCs w:val="18"/>
              </w:rPr>
              <w:t>入户/现场宣传</w:t>
            </w:r>
          </w:p>
          <w:p>
            <w:pPr>
              <w:pStyle w:val="10"/>
              <w:shd w:val="clear" w:color="auto" w:fill="auto"/>
              <w:adjustRightInd w:val="0"/>
              <w:snapToGrid w:val="0"/>
              <w:jc w:val="left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  <w:r>
              <w:rPr>
                <w:rFonts w:hint="eastAsia" w:cs="方正仿宋_GBK" w:asciiTheme="minorEastAsia" w:hAnsiTheme="minorEastAsia" w:eastAsiaTheme="minorEastAsia"/>
                <w:spacing w:val="0"/>
                <w:sz w:val="18"/>
                <w:szCs w:val="18"/>
              </w:rPr>
              <w:t>□社区/企事业单位/村公示栏（电 子屏）</w:t>
            </w:r>
          </w:p>
          <w:p>
            <w:pPr>
              <w:pStyle w:val="10"/>
              <w:shd w:val="clear" w:color="auto" w:fill="auto"/>
              <w:tabs>
                <w:tab w:val="left" w:pos="1069"/>
              </w:tabs>
              <w:adjustRightInd w:val="0"/>
              <w:snapToGrid w:val="0"/>
              <w:jc w:val="left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  <w:r>
              <w:rPr>
                <w:rFonts w:hint="eastAsia" w:cs="方正仿宋_GBK" w:asciiTheme="minorEastAsia" w:hAnsiTheme="minorEastAsia" w:eastAsiaTheme="minorEastAsia"/>
                <w:spacing w:val="0"/>
                <w:sz w:val="18"/>
                <w:szCs w:val="18"/>
              </w:rPr>
              <w:t>□精准推送□其他</w:t>
            </w:r>
          </w:p>
          <w:p>
            <w:pPr>
              <w:pStyle w:val="12"/>
              <w:shd w:val="clear" w:color="auto" w:fill="auto"/>
              <w:spacing w:before="0" w:after="0" w:line="240" w:lineRule="exact"/>
              <w:jc w:val="left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  <w:r>
              <w:rPr>
                <w:rFonts w:hint="eastAsia" w:cs="方正仿宋_GBK" w:asciiTheme="minorEastAsia" w:hAnsiTheme="minorEastAsia" w:eastAsiaTheme="minorEastAsia"/>
                <w:spacing w:val="0"/>
                <w:sz w:val="18"/>
                <w:szCs w:val="18"/>
              </w:rPr>
              <w:t>√</w:t>
            </w:r>
          </w:p>
        </w:tc>
        <w:tc>
          <w:tcPr>
            <w:tcW w:w="426" w:type="dxa"/>
            <w:vMerge w:val="restart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  <w:r>
              <w:rPr>
                <w:rFonts w:hint="eastAsia" w:cs="方正仿宋_GBK" w:asciiTheme="minorEastAsia" w:hAnsiTheme="minorEastAsia" w:eastAsiaTheme="minorEastAsia"/>
                <w:spacing w:val="0"/>
                <w:sz w:val="18"/>
                <w:szCs w:val="18"/>
              </w:rPr>
              <w:t>√</w:t>
            </w:r>
          </w:p>
        </w:tc>
        <w:tc>
          <w:tcPr>
            <w:tcW w:w="425" w:type="dxa"/>
            <w:vMerge w:val="restart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  <w:r>
              <w:rPr>
                <w:rFonts w:hint="eastAsia" w:cs="方正仿宋_GBK" w:asciiTheme="minorEastAsia" w:hAnsiTheme="minorEastAsia" w:eastAsiaTheme="minorEastAsia"/>
                <w:spacing w:val="0"/>
                <w:sz w:val="18"/>
                <w:szCs w:val="18"/>
              </w:rPr>
              <w:t>√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ind w:right="-107" w:rightChars="-51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  <w:r>
              <w:rPr>
                <w:rFonts w:hint="eastAsia" w:cs="方正仿宋_GBK" w:asciiTheme="minorEastAsia" w:hAnsiTheme="minorEastAsia" w:eastAsiaTheme="minorEastAsia"/>
                <w:spacing w:val="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napToGrid w:val="0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napToGrid w:val="0"/>
                <w:spacing w:val="0"/>
                <w:sz w:val="18"/>
                <w:szCs w:val="18"/>
              </w:rPr>
            </w:pPr>
          </w:p>
        </w:tc>
        <w:tc>
          <w:tcPr>
            <w:tcW w:w="751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政府性基金预算：①政府性基金预算收支决算表。②政府性基金本级支出表。③政府性基金转移支付表。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napToGrid w:val="0"/>
                <w:spacing w:val="0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10"/>
              <w:shd w:val="clear" w:color="auto" w:fill="auto"/>
              <w:tabs>
                <w:tab w:val="left" w:pos="1069"/>
              </w:tabs>
              <w:adjustRightInd w:val="0"/>
              <w:snapToGrid w:val="0"/>
              <w:jc w:val="left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napToGrid w:val="0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napToGrid w:val="0"/>
                <w:spacing w:val="0"/>
                <w:sz w:val="18"/>
                <w:szCs w:val="18"/>
              </w:rPr>
            </w:pPr>
          </w:p>
        </w:tc>
        <w:tc>
          <w:tcPr>
            <w:tcW w:w="751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国有资本经营预算：①国有资本经营预算收支决算表。②国有资本经营预算本级支出表。③对下安排转移支付的应当公开国有资本经营预算转移支付表。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napToGrid w:val="0"/>
                <w:spacing w:val="0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10"/>
              <w:shd w:val="clear" w:color="auto" w:fill="auto"/>
              <w:tabs>
                <w:tab w:val="left" w:pos="1069"/>
              </w:tabs>
              <w:adjustRightInd w:val="0"/>
              <w:snapToGrid w:val="0"/>
              <w:jc w:val="left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napToGrid w:val="0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napToGrid w:val="0"/>
                <w:spacing w:val="0"/>
                <w:sz w:val="18"/>
                <w:szCs w:val="18"/>
              </w:rPr>
            </w:pPr>
          </w:p>
        </w:tc>
        <w:tc>
          <w:tcPr>
            <w:tcW w:w="751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社会保险基金预算：①社会保险基金收支决算表。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napToGrid w:val="0"/>
                <w:spacing w:val="0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10"/>
              <w:shd w:val="clear" w:color="auto" w:fill="auto"/>
              <w:tabs>
                <w:tab w:val="left" w:pos="1069"/>
              </w:tabs>
              <w:adjustRightInd w:val="0"/>
              <w:snapToGrid w:val="0"/>
              <w:jc w:val="left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napToGrid w:val="0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napToGrid w:val="0"/>
                <w:spacing w:val="0"/>
                <w:sz w:val="18"/>
                <w:szCs w:val="18"/>
              </w:rPr>
            </w:pPr>
          </w:p>
        </w:tc>
        <w:tc>
          <w:tcPr>
            <w:tcW w:w="751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债务信息（以2020年为例）：①重庆市渝北区2019年地方政府债务限额及余额决算情况表。②重庆市渝北区2019年地方政府债券使用情况表。③重庆市渝北区2019年地方政府债务相关情况表。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napToGrid w:val="0"/>
                <w:spacing w:val="0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10"/>
              <w:shd w:val="clear" w:color="auto" w:fill="auto"/>
              <w:tabs>
                <w:tab w:val="left" w:pos="1069"/>
              </w:tabs>
              <w:adjustRightInd w:val="0"/>
              <w:snapToGrid w:val="0"/>
              <w:jc w:val="left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napToGrid w:val="0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napToGrid w:val="0"/>
                <w:spacing w:val="0"/>
                <w:sz w:val="18"/>
                <w:szCs w:val="18"/>
              </w:rPr>
            </w:pPr>
          </w:p>
        </w:tc>
        <w:tc>
          <w:tcPr>
            <w:tcW w:w="751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般公共预算、政府性基金预算、国有资本经营预算和社会保险基金预算报表中涉及本级支出的，应当公开到功能分类项级科目。本级一般公共预算基本支出应当公开到经济性质分类款级科目，专项转移支付应当分地区、分项目公开。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napToGrid w:val="0"/>
                <w:spacing w:val="0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10"/>
              <w:shd w:val="clear" w:color="auto" w:fill="auto"/>
              <w:tabs>
                <w:tab w:val="left" w:pos="1069"/>
              </w:tabs>
              <w:adjustRightInd w:val="0"/>
              <w:snapToGrid w:val="0"/>
              <w:jc w:val="left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napToGrid w:val="0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napToGrid w:val="0"/>
                <w:spacing w:val="0"/>
                <w:sz w:val="18"/>
                <w:szCs w:val="18"/>
              </w:rPr>
            </w:pPr>
          </w:p>
        </w:tc>
        <w:tc>
          <w:tcPr>
            <w:tcW w:w="751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对财政转移支付安排、举借政府债务、预算绩效工作开展情况等重要事项进行解释、说明。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napToGrid w:val="0"/>
                <w:spacing w:val="0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10"/>
              <w:shd w:val="clear" w:color="auto" w:fill="auto"/>
              <w:tabs>
                <w:tab w:val="left" w:pos="1069"/>
              </w:tabs>
              <w:adjustRightInd w:val="0"/>
              <w:snapToGrid w:val="0"/>
              <w:jc w:val="left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napToGrid w:val="0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napToGrid w:val="0"/>
                <w:spacing w:val="0"/>
                <w:sz w:val="18"/>
                <w:szCs w:val="18"/>
              </w:rPr>
            </w:pPr>
          </w:p>
        </w:tc>
        <w:tc>
          <w:tcPr>
            <w:tcW w:w="751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级汇总的一般公共预算“三公”经费，包括预算总额，以及“因公出国（境）费”“公务用车购置及运行费”（区分“公务用车购置费”“公务用车运行费”两项）“公务接待费”分项数额，并对增减变化情况（与预算对比）进行说明。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napToGrid w:val="0"/>
                <w:spacing w:val="0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10"/>
              <w:shd w:val="clear" w:color="auto" w:fill="auto"/>
              <w:tabs>
                <w:tab w:val="left" w:pos="1069"/>
              </w:tabs>
              <w:adjustRightInd w:val="0"/>
              <w:snapToGrid w:val="0"/>
              <w:jc w:val="left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napToGrid w:val="0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napToGrid w:val="0"/>
                <w:spacing w:val="0"/>
                <w:sz w:val="18"/>
                <w:szCs w:val="18"/>
              </w:rPr>
            </w:pPr>
          </w:p>
        </w:tc>
        <w:tc>
          <w:tcPr>
            <w:tcW w:w="751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没有数据的表格应当列出空表并说明。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napToGrid w:val="0"/>
                <w:spacing w:val="0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10"/>
              <w:shd w:val="clear" w:color="auto" w:fill="auto"/>
              <w:tabs>
                <w:tab w:val="left" w:pos="1069"/>
              </w:tabs>
              <w:adjustRightInd w:val="0"/>
              <w:snapToGrid w:val="0"/>
              <w:jc w:val="left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</w:tr>
    </w:tbl>
    <w:p>
      <w:pPr>
        <w:rPr>
          <w:rFonts w:asciiTheme="minorEastAsia" w:hAnsiTheme="minorEastAsia" w:eastAsiaTheme="minorEastAsia"/>
          <w:sz w:val="18"/>
          <w:szCs w:val="18"/>
        </w:rPr>
      </w:pPr>
    </w:p>
    <w:p>
      <w:pPr>
        <w:rPr>
          <w:rFonts w:asciiTheme="minorEastAsia" w:hAnsiTheme="minorEastAsia" w:eastAsiaTheme="minorEastAsia"/>
          <w:sz w:val="18"/>
          <w:szCs w:val="18"/>
        </w:rPr>
      </w:pPr>
    </w:p>
    <w:p>
      <w:pPr>
        <w:rPr>
          <w:rFonts w:asciiTheme="minorEastAsia" w:hAnsiTheme="minorEastAsia" w:eastAsiaTheme="minorEastAsia"/>
          <w:sz w:val="18"/>
          <w:szCs w:val="18"/>
        </w:rPr>
      </w:pPr>
    </w:p>
    <w:p>
      <w:pPr>
        <w:rPr>
          <w:rFonts w:asciiTheme="minorEastAsia" w:hAnsiTheme="minorEastAsia" w:eastAsiaTheme="minorEastAsia"/>
          <w:sz w:val="18"/>
          <w:szCs w:val="18"/>
        </w:rPr>
      </w:pPr>
    </w:p>
    <w:p>
      <w:pPr>
        <w:rPr>
          <w:rFonts w:asciiTheme="minorEastAsia" w:hAnsiTheme="minorEastAsia" w:eastAsiaTheme="minorEastAsia"/>
          <w:sz w:val="18"/>
          <w:szCs w:val="18"/>
        </w:rPr>
      </w:pPr>
    </w:p>
    <w:p>
      <w:pPr>
        <w:pStyle w:val="12"/>
        <w:shd w:val="clear" w:color="auto" w:fill="auto"/>
        <w:adjustRightInd w:val="0"/>
        <w:snapToGrid w:val="0"/>
        <w:spacing w:before="0" w:after="0" w:line="720" w:lineRule="exact"/>
        <w:jc w:val="center"/>
        <w:rPr>
          <w:rFonts w:ascii="Times New Roman" w:hAnsi="Times New Roman" w:eastAsia="方正小标宋_GBK" w:cs="Times New Roman"/>
          <w:spacing w:val="0"/>
          <w:sz w:val="44"/>
          <w:szCs w:val="44"/>
        </w:rPr>
      </w:pPr>
      <w:r>
        <w:rPr>
          <w:rFonts w:ascii="Times New Roman" w:hAnsi="Times New Roman" w:eastAsia="方正小标宋_GBK" w:cs="Times New Roman"/>
          <w:spacing w:val="0"/>
          <w:sz w:val="44"/>
          <w:szCs w:val="44"/>
        </w:rPr>
        <w:t>重庆市</w:t>
      </w:r>
      <w:r>
        <w:rPr>
          <w:rFonts w:hint="eastAsia" w:ascii="Times New Roman" w:hAnsi="Times New Roman" w:eastAsia="方正小标宋_GBK" w:cs="Times New Roman"/>
          <w:spacing w:val="0"/>
          <w:sz w:val="44"/>
          <w:szCs w:val="44"/>
        </w:rPr>
        <w:t>渝北区财政预决算领域</w:t>
      </w:r>
      <w:r>
        <w:rPr>
          <w:rFonts w:ascii="Times New Roman" w:hAnsi="Times New Roman" w:eastAsia="方正小标宋_GBK" w:cs="Times New Roman"/>
          <w:spacing w:val="0"/>
          <w:sz w:val="44"/>
          <w:szCs w:val="44"/>
        </w:rPr>
        <w:t>政务公开标准目录</w:t>
      </w:r>
    </w:p>
    <w:p>
      <w:pPr>
        <w:pStyle w:val="12"/>
        <w:shd w:val="clear" w:color="auto" w:fill="auto"/>
        <w:spacing w:before="0" w:after="0" w:line="240" w:lineRule="exact"/>
        <w:jc w:val="center"/>
        <w:rPr>
          <w:rFonts w:ascii="Times New Roman" w:hAnsi="Times New Roman" w:eastAsia="方正小标宋_GBK" w:cs="Times New Roman"/>
          <w:spacing w:val="0"/>
          <w:sz w:val="44"/>
          <w:szCs w:val="44"/>
        </w:rPr>
      </w:pPr>
    </w:p>
    <w:tbl>
      <w:tblPr>
        <w:tblStyle w:val="4"/>
        <w:tblW w:w="157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425"/>
        <w:gridCol w:w="425"/>
        <w:gridCol w:w="7655"/>
        <w:gridCol w:w="992"/>
        <w:gridCol w:w="709"/>
        <w:gridCol w:w="708"/>
        <w:gridCol w:w="1276"/>
        <w:gridCol w:w="425"/>
        <w:gridCol w:w="426"/>
        <w:gridCol w:w="425"/>
        <w:gridCol w:w="425"/>
        <w:gridCol w:w="425"/>
        <w:gridCol w:w="426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  <w:tblHeader/>
          <w:jc w:val="center"/>
        </w:trPr>
        <w:tc>
          <w:tcPr>
            <w:tcW w:w="421" w:type="dxa"/>
            <w:vMerge w:val="restart"/>
            <w:vAlign w:val="center"/>
          </w:tcPr>
          <w:p>
            <w:pPr>
              <w:pStyle w:val="12"/>
              <w:shd w:val="clear" w:color="auto" w:fill="auto"/>
              <w:spacing w:before="0" w:after="0" w:line="220" w:lineRule="exact"/>
              <w:jc w:val="center"/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</w:pPr>
            <w:r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  <w:t>序号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pStyle w:val="12"/>
              <w:shd w:val="clear" w:color="auto" w:fill="auto"/>
              <w:spacing w:before="0" w:after="0" w:line="220" w:lineRule="exact"/>
              <w:ind w:left="-107" w:leftChars="-51"/>
              <w:jc w:val="center"/>
              <w:rPr>
                <w:rFonts w:ascii="Times New Roman" w:hAnsi="Times New Roman" w:eastAsia="方正黑体_GBK" w:cs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eastAsia="方正黑体_GBK" w:cs="Times New Roman"/>
                <w:spacing w:val="-10"/>
                <w:sz w:val="18"/>
                <w:szCs w:val="18"/>
              </w:rPr>
              <w:t>公开事项</w:t>
            </w:r>
          </w:p>
        </w:tc>
        <w:tc>
          <w:tcPr>
            <w:tcW w:w="7655" w:type="dxa"/>
            <w:vMerge w:val="restart"/>
            <w:vAlign w:val="center"/>
          </w:tcPr>
          <w:p>
            <w:pPr>
              <w:pStyle w:val="12"/>
              <w:shd w:val="clear" w:color="auto" w:fill="auto"/>
              <w:spacing w:before="0" w:after="0" w:line="220" w:lineRule="exact"/>
              <w:jc w:val="center"/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</w:pPr>
            <w:r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  <w:t>公开内容</w:t>
            </w:r>
          </w:p>
          <w:p>
            <w:pPr>
              <w:pStyle w:val="12"/>
              <w:shd w:val="clear" w:color="auto" w:fill="auto"/>
              <w:spacing w:before="0" w:after="0" w:line="220" w:lineRule="exact"/>
              <w:jc w:val="center"/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</w:pPr>
            <w:r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  <w:t>（要素）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pStyle w:val="12"/>
              <w:shd w:val="clear" w:color="auto" w:fill="auto"/>
              <w:spacing w:before="0" w:after="0" w:line="220" w:lineRule="exact"/>
              <w:jc w:val="center"/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</w:pPr>
            <w:r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  <w:t>公开依据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pStyle w:val="12"/>
              <w:shd w:val="clear" w:color="auto" w:fill="auto"/>
              <w:spacing w:before="0" w:after="0" w:line="220" w:lineRule="exact"/>
              <w:jc w:val="center"/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</w:pPr>
            <w:r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  <w:t>公开时限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pStyle w:val="12"/>
              <w:shd w:val="clear" w:color="auto" w:fill="auto"/>
              <w:spacing w:before="0" w:after="0" w:line="220" w:lineRule="exact"/>
              <w:jc w:val="center"/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</w:pPr>
            <w:r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  <w:t>公开</w:t>
            </w:r>
          </w:p>
          <w:p>
            <w:pPr>
              <w:pStyle w:val="12"/>
              <w:shd w:val="clear" w:color="auto" w:fill="auto"/>
              <w:spacing w:before="0" w:after="0" w:line="220" w:lineRule="exact"/>
              <w:jc w:val="center"/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</w:pPr>
            <w:r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  <w:t>主体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pStyle w:val="12"/>
              <w:shd w:val="clear" w:color="auto" w:fill="auto"/>
              <w:spacing w:before="0" w:after="0" w:line="220" w:lineRule="exact"/>
              <w:jc w:val="center"/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</w:pPr>
            <w:r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  <w:t>公开渠道和载体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pStyle w:val="12"/>
              <w:shd w:val="clear" w:color="auto" w:fill="auto"/>
              <w:spacing w:before="0" w:after="0" w:line="220" w:lineRule="exact"/>
              <w:ind w:left="-107" w:leftChars="-51" w:right="-107" w:rightChars="-51"/>
              <w:jc w:val="center"/>
              <w:rPr>
                <w:rFonts w:ascii="Times New Roman" w:hAnsi="Times New Roman" w:eastAsia="方正黑体_GBK" w:cs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eastAsia="方正黑体_GBK" w:cs="Times New Roman"/>
                <w:spacing w:val="-10"/>
                <w:sz w:val="18"/>
                <w:szCs w:val="18"/>
              </w:rPr>
              <w:t>公开对象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pStyle w:val="12"/>
              <w:shd w:val="clear" w:color="auto" w:fill="auto"/>
              <w:spacing w:before="0" w:after="0" w:line="220" w:lineRule="exact"/>
              <w:ind w:left="-107" w:leftChars="-51" w:right="-107" w:rightChars="-51"/>
              <w:jc w:val="center"/>
              <w:rPr>
                <w:rFonts w:ascii="Times New Roman" w:hAnsi="Times New Roman" w:eastAsia="方正黑体_GBK" w:cs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eastAsia="方正黑体_GBK" w:cs="Times New Roman"/>
                <w:spacing w:val="-10"/>
                <w:sz w:val="18"/>
                <w:szCs w:val="18"/>
              </w:rPr>
              <w:t>公开方式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pStyle w:val="12"/>
              <w:shd w:val="clear" w:color="auto" w:fill="auto"/>
              <w:spacing w:before="0" w:after="0" w:line="220" w:lineRule="exact"/>
              <w:ind w:left="-107" w:leftChars="-51" w:right="-107" w:rightChars="-51"/>
              <w:jc w:val="center"/>
              <w:rPr>
                <w:rFonts w:ascii="Times New Roman" w:hAnsi="Times New Roman" w:eastAsia="方正黑体_GBK" w:cs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eastAsia="方正黑体_GBK" w:cs="Times New Roman"/>
                <w:spacing w:val="-10"/>
                <w:sz w:val="18"/>
                <w:szCs w:val="18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1" w:hRule="atLeast"/>
          <w:tblHeader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20" w:lineRule="exact"/>
              <w:jc w:val="center"/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>
            <w:pPr>
              <w:pStyle w:val="12"/>
              <w:shd w:val="clear" w:color="auto" w:fill="auto"/>
              <w:spacing w:before="0" w:after="0" w:line="220" w:lineRule="exact"/>
              <w:jc w:val="center"/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</w:pPr>
            <w:r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  <w:t>一级事项</w:t>
            </w:r>
          </w:p>
        </w:tc>
        <w:tc>
          <w:tcPr>
            <w:tcW w:w="425" w:type="dxa"/>
            <w:vAlign w:val="center"/>
          </w:tcPr>
          <w:p>
            <w:pPr>
              <w:pStyle w:val="12"/>
              <w:shd w:val="clear" w:color="auto" w:fill="auto"/>
              <w:spacing w:before="0" w:after="0" w:line="220" w:lineRule="exact"/>
              <w:jc w:val="center"/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</w:pPr>
            <w:r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  <w:t>二级事项</w:t>
            </w:r>
          </w:p>
        </w:tc>
        <w:tc>
          <w:tcPr>
            <w:tcW w:w="765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20" w:lineRule="exact"/>
              <w:jc w:val="center"/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20" w:lineRule="exact"/>
              <w:jc w:val="center"/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20" w:lineRule="exact"/>
              <w:jc w:val="center"/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20" w:lineRule="exact"/>
              <w:jc w:val="center"/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20" w:lineRule="exact"/>
              <w:jc w:val="center"/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>
            <w:pPr>
              <w:pStyle w:val="12"/>
              <w:shd w:val="clear" w:color="auto" w:fill="auto"/>
              <w:spacing w:before="0" w:after="0" w:line="220" w:lineRule="exact"/>
              <w:jc w:val="center"/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</w:pPr>
            <w:r>
              <w:rPr>
                <w:rFonts w:ascii="Times New Roman" w:hAnsi="Times New Roman" w:eastAsia="方正黑体_GBK" w:cs="Times New Roman"/>
                <w:spacing w:val="-20"/>
                <w:sz w:val="18"/>
                <w:szCs w:val="18"/>
              </w:rPr>
              <w:t>全社会</w:t>
            </w:r>
          </w:p>
        </w:tc>
        <w:tc>
          <w:tcPr>
            <w:tcW w:w="426" w:type="dxa"/>
            <w:vAlign w:val="center"/>
          </w:tcPr>
          <w:p>
            <w:pPr>
              <w:pStyle w:val="12"/>
              <w:shd w:val="clear" w:color="auto" w:fill="auto"/>
              <w:spacing w:before="0" w:after="0" w:line="220" w:lineRule="exact"/>
              <w:jc w:val="center"/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</w:pPr>
            <w:r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  <w:t>特定群体</w:t>
            </w:r>
          </w:p>
        </w:tc>
        <w:tc>
          <w:tcPr>
            <w:tcW w:w="425" w:type="dxa"/>
            <w:vAlign w:val="center"/>
          </w:tcPr>
          <w:p>
            <w:pPr>
              <w:pStyle w:val="12"/>
              <w:shd w:val="clear" w:color="auto" w:fill="auto"/>
              <w:spacing w:before="0" w:after="0" w:line="220" w:lineRule="exact"/>
              <w:jc w:val="center"/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</w:pPr>
            <w:r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  <w:t>主动</w:t>
            </w:r>
          </w:p>
        </w:tc>
        <w:tc>
          <w:tcPr>
            <w:tcW w:w="425" w:type="dxa"/>
            <w:vAlign w:val="center"/>
          </w:tcPr>
          <w:p>
            <w:pPr>
              <w:pStyle w:val="12"/>
              <w:shd w:val="clear" w:color="auto" w:fill="auto"/>
              <w:spacing w:before="0" w:after="0" w:line="220" w:lineRule="exact"/>
              <w:jc w:val="center"/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</w:pPr>
            <w:r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  <w:t>依申请</w:t>
            </w:r>
          </w:p>
        </w:tc>
        <w:tc>
          <w:tcPr>
            <w:tcW w:w="425" w:type="dxa"/>
            <w:vAlign w:val="center"/>
          </w:tcPr>
          <w:p>
            <w:pPr>
              <w:pStyle w:val="12"/>
              <w:shd w:val="clear" w:color="auto" w:fill="auto"/>
              <w:spacing w:before="0" w:after="0" w:line="220" w:lineRule="exact"/>
              <w:jc w:val="center"/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</w:pPr>
            <w:r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  <w:t>市级</w:t>
            </w:r>
          </w:p>
        </w:tc>
        <w:tc>
          <w:tcPr>
            <w:tcW w:w="426" w:type="dxa"/>
            <w:vAlign w:val="center"/>
          </w:tcPr>
          <w:p>
            <w:pPr>
              <w:pStyle w:val="12"/>
              <w:shd w:val="clear" w:color="auto" w:fill="auto"/>
              <w:spacing w:before="0" w:after="0" w:line="220" w:lineRule="exact"/>
              <w:jc w:val="center"/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</w:pPr>
            <w:r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  <w:t>区级</w:t>
            </w:r>
          </w:p>
        </w:tc>
        <w:tc>
          <w:tcPr>
            <w:tcW w:w="567" w:type="dxa"/>
            <w:vAlign w:val="center"/>
          </w:tcPr>
          <w:p>
            <w:pPr>
              <w:pStyle w:val="12"/>
              <w:shd w:val="clear" w:color="auto" w:fill="auto"/>
              <w:spacing w:before="0" w:after="0" w:line="220" w:lineRule="exact"/>
              <w:ind w:left="-107" w:leftChars="-51"/>
              <w:jc w:val="center"/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</w:pPr>
            <w:r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  <w:t>镇</w:t>
            </w:r>
            <w:r>
              <w:rPr>
                <w:rFonts w:hint="eastAsia" w:ascii="Times New Roman" w:hAnsi="Times New Roman" w:eastAsia="方正黑体_GBK" w:cs="Times New Roman"/>
                <w:spacing w:val="0"/>
                <w:sz w:val="18"/>
                <w:szCs w:val="18"/>
              </w:rPr>
              <w:t>（街）</w:t>
            </w:r>
            <w:r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421" w:type="dxa"/>
            <w:vMerge w:val="restart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  <w:r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  <w:t>3</w:t>
            </w:r>
          </w:p>
        </w:tc>
        <w:tc>
          <w:tcPr>
            <w:tcW w:w="425" w:type="dxa"/>
            <w:vMerge w:val="restart"/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napToGrid w:val="0"/>
                <w:spacing w:val="0"/>
                <w:sz w:val="18"/>
                <w:szCs w:val="18"/>
              </w:rPr>
            </w:pPr>
          </w:p>
          <w:p>
            <w:pPr>
              <w:pStyle w:val="12"/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napToGrid w:val="0"/>
                <w:spacing w:val="0"/>
                <w:sz w:val="18"/>
                <w:szCs w:val="18"/>
              </w:rPr>
            </w:pPr>
            <w:r>
              <w:rPr>
                <w:rFonts w:hint="eastAsia" w:cs="方正仿宋_GBK" w:asciiTheme="minorEastAsia" w:hAnsiTheme="minorEastAsia" w:eastAsiaTheme="minorEastAsia"/>
                <w:snapToGrid w:val="0"/>
                <w:spacing w:val="0"/>
                <w:sz w:val="18"/>
                <w:szCs w:val="18"/>
              </w:rPr>
              <w:t>财政预决算</w:t>
            </w:r>
          </w:p>
        </w:tc>
        <w:tc>
          <w:tcPr>
            <w:tcW w:w="425" w:type="dxa"/>
            <w:vMerge w:val="restart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both"/>
              <w:rPr>
                <w:rFonts w:cs="方正仿宋_GBK" w:asciiTheme="minorEastAsia" w:hAnsiTheme="minorEastAsia" w:eastAsiaTheme="minorEastAsia"/>
                <w:snapToGrid w:val="0"/>
                <w:spacing w:val="0"/>
                <w:sz w:val="18"/>
                <w:szCs w:val="18"/>
              </w:rPr>
            </w:pPr>
            <w:r>
              <w:rPr>
                <w:rFonts w:hint="eastAsia" w:cs="方正仿宋_GBK" w:asciiTheme="minorEastAsia" w:hAnsiTheme="minorEastAsia" w:eastAsiaTheme="minorEastAsia"/>
                <w:snapToGrid w:val="0"/>
                <w:spacing w:val="0"/>
                <w:sz w:val="18"/>
                <w:szCs w:val="18"/>
              </w:rPr>
              <w:t>部门预算</w:t>
            </w:r>
          </w:p>
        </w:tc>
        <w:tc>
          <w:tcPr>
            <w:tcW w:w="765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收支总体情况表：①部门收支总体情况表。②部门收入总体情况表。③部门支出总体情况表。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pStyle w:val="7"/>
              <w:spacing w:line="240" w:lineRule="exact"/>
              <w:jc w:val="left"/>
              <w:rPr>
                <w:rFonts w:cs="方正仿宋_GBK" w:asciiTheme="minorEastAsia" w:hAnsiTheme="minorEastAsia" w:eastAsiaTheme="minorEastAsia"/>
                <w:snapToGrid w:val="0"/>
                <w:spacing w:val="0"/>
                <w:sz w:val="18"/>
                <w:szCs w:val="18"/>
              </w:rPr>
            </w:pPr>
            <w:r>
              <w:rPr>
                <w:rFonts w:hint="eastAsia" w:cs="方正仿宋_GBK" w:asciiTheme="minorEastAsia" w:hAnsiTheme="minorEastAsia" w:eastAsiaTheme="minorEastAsia"/>
                <w:snapToGrid w:val="0"/>
                <w:spacing w:val="0"/>
                <w:sz w:val="18"/>
                <w:szCs w:val="18"/>
              </w:rPr>
              <w:t>《中华人民共和国预算法》、《重庆市预算审查监督条例》、《重庆市预决算信息公开管理办法》、《地方预决算公开操作规程》（财预〔2016〕143号）等法律法规和文件规定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  <w:r>
              <w:rPr>
                <w:rFonts w:hint="eastAsia" w:cs="方正仿宋_GBK" w:asciiTheme="minorEastAsia" w:hAnsiTheme="minorEastAsia" w:eastAsiaTheme="minorEastAsia"/>
                <w:spacing w:val="0"/>
                <w:sz w:val="18"/>
                <w:szCs w:val="18"/>
              </w:rPr>
              <w:t>本级政府财政部门批复后20日内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ind w:left="-107" w:leftChars="-51" w:right="-107" w:rightChars="-51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  <w:r>
              <w:rPr>
                <w:rFonts w:hint="eastAsia" w:cs="方正仿宋_GBK" w:asciiTheme="minorEastAsia" w:hAnsiTheme="minorEastAsia" w:eastAsiaTheme="minorEastAsia"/>
                <w:spacing w:val="0"/>
                <w:sz w:val="18"/>
                <w:szCs w:val="18"/>
              </w:rPr>
              <w:t>区级各预算部门、</w:t>
            </w:r>
          </w:p>
          <w:p>
            <w:pPr>
              <w:pStyle w:val="12"/>
              <w:shd w:val="clear" w:color="auto" w:fill="auto"/>
              <w:spacing w:before="0" w:after="0" w:line="240" w:lineRule="exact"/>
              <w:ind w:left="-107" w:leftChars="-51" w:right="-107" w:rightChars="-51" w:firstLine="90" w:firstLineChars="50"/>
              <w:jc w:val="left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  <w:r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  <w:t>各镇</w:t>
            </w:r>
            <w:r>
              <w:rPr>
                <w:rFonts w:hint="eastAsia" w:cs="方正仿宋_GBK" w:asciiTheme="minorEastAsia" w:hAnsiTheme="minorEastAsia" w:eastAsiaTheme="minorEastAsia"/>
                <w:spacing w:val="0"/>
                <w:sz w:val="18"/>
                <w:szCs w:val="18"/>
              </w:rPr>
              <w:t>（</w:t>
            </w:r>
            <w:r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  <w:t>街</w:t>
            </w:r>
            <w:r>
              <w:rPr>
                <w:rFonts w:hint="eastAsia" w:cs="方正仿宋_GBK" w:asciiTheme="minorEastAsia" w:hAnsiTheme="minorEastAsia" w:eastAsiaTheme="minorEastAsia"/>
                <w:spacing w:val="0"/>
                <w:sz w:val="18"/>
                <w:szCs w:val="18"/>
              </w:rPr>
              <w:t>）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pStyle w:val="10"/>
              <w:shd w:val="clear" w:color="auto" w:fill="auto"/>
              <w:tabs>
                <w:tab w:val="left" w:pos="1069"/>
              </w:tabs>
              <w:adjustRightInd w:val="0"/>
              <w:snapToGrid w:val="0"/>
              <w:jc w:val="left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  <w:r>
              <w:rPr>
                <w:rFonts w:hint="eastAsia" w:cs="方正仿宋_GBK" w:asciiTheme="minorEastAsia" w:hAnsiTheme="minorEastAsia" w:eastAsiaTheme="minorEastAsia"/>
                <w:spacing w:val="0"/>
                <w:sz w:val="18"/>
                <w:szCs w:val="18"/>
              </w:rPr>
              <w:t>■政府网站</w:t>
            </w:r>
          </w:p>
          <w:p>
            <w:pPr>
              <w:pStyle w:val="10"/>
              <w:shd w:val="clear" w:color="auto" w:fill="auto"/>
              <w:tabs>
                <w:tab w:val="left" w:pos="1069"/>
              </w:tabs>
              <w:adjustRightInd w:val="0"/>
              <w:snapToGrid w:val="0"/>
              <w:jc w:val="left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  <w:r>
              <w:rPr>
                <w:rFonts w:hint="eastAsia" w:cs="方正仿宋_GBK" w:asciiTheme="minorEastAsia" w:hAnsiTheme="minorEastAsia" w:eastAsiaTheme="minorEastAsia"/>
                <w:spacing w:val="0"/>
                <w:sz w:val="18"/>
                <w:szCs w:val="18"/>
              </w:rPr>
              <w:t>□政府公报</w:t>
            </w:r>
          </w:p>
          <w:p>
            <w:pPr>
              <w:pStyle w:val="10"/>
              <w:shd w:val="clear" w:color="auto" w:fill="auto"/>
              <w:tabs>
                <w:tab w:val="left" w:pos="1073"/>
              </w:tabs>
              <w:adjustRightInd w:val="0"/>
              <w:snapToGrid w:val="0"/>
              <w:jc w:val="left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  <w:r>
              <w:rPr>
                <w:rFonts w:hint="eastAsia" w:cs="方正仿宋_GBK" w:asciiTheme="minorEastAsia" w:hAnsiTheme="minorEastAsia" w:eastAsiaTheme="minorEastAsia"/>
                <w:spacing w:val="0"/>
                <w:sz w:val="18"/>
                <w:szCs w:val="18"/>
              </w:rPr>
              <w:t>□两微一端□</w:t>
            </w:r>
            <w:r>
              <w:rPr>
                <w:rFonts w:hint="eastAsia" w:cs="方正仿宋_GBK" w:asciiTheme="minorEastAsia" w:hAnsiTheme="minorEastAsia" w:eastAsiaTheme="minorEastAsia"/>
                <w:spacing w:val="-20"/>
                <w:sz w:val="18"/>
                <w:szCs w:val="18"/>
              </w:rPr>
              <w:t>发布会/听证会</w:t>
            </w:r>
          </w:p>
          <w:p>
            <w:pPr>
              <w:pStyle w:val="10"/>
              <w:shd w:val="clear" w:color="auto" w:fill="auto"/>
              <w:tabs>
                <w:tab w:val="left" w:pos="1073"/>
              </w:tabs>
              <w:adjustRightInd w:val="0"/>
              <w:snapToGrid w:val="0"/>
              <w:jc w:val="left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  <w:r>
              <w:rPr>
                <w:rFonts w:hint="eastAsia" w:cs="方正仿宋_GBK" w:asciiTheme="minorEastAsia" w:hAnsiTheme="minorEastAsia" w:eastAsiaTheme="minorEastAsia"/>
                <w:spacing w:val="0"/>
                <w:sz w:val="18"/>
                <w:szCs w:val="18"/>
              </w:rPr>
              <w:t>□广播电视</w:t>
            </w:r>
          </w:p>
          <w:p>
            <w:pPr>
              <w:pStyle w:val="10"/>
              <w:shd w:val="clear" w:color="auto" w:fill="auto"/>
              <w:tabs>
                <w:tab w:val="left" w:pos="1073"/>
              </w:tabs>
              <w:adjustRightInd w:val="0"/>
              <w:snapToGrid w:val="0"/>
              <w:jc w:val="left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  <w:r>
              <w:rPr>
                <w:rFonts w:hint="eastAsia" w:cs="方正仿宋_GBK" w:asciiTheme="minorEastAsia" w:hAnsiTheme="minorEastAsia" w:eastAsiaTheme="minorEastAsia"/>
                <w:spacing w:val="0"/>
                <w:sz w:val="18"/>
                <w:szCs w:val="18"/>
              </w:rPr>
              <w:t>□纸质煤体</w:t>
            </w:r>
          </w:p>
          <w:p>
            <w:pPr>
              <w:pStyle w:val="10"/>
              <w:shd w:val="clear" w:color="auto" w:fill="auto"/>
              <w:adjustRightInd w:val="0"/>
              <w:snapToGrid w:val="0"/>
              <w:jc w:val="left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  <w:r>
              <w:rPr>
                <w:rFonts w:hint="eastAsia" w:cs="方正仿宋_GBK" w:asciiTheme="minorEastAsia" w:hAnsiTheme="minorEastAsia" w:eastAsiaTheme="minorEastAsia"/>
                <w:spacing w:val="0"/>
                <w:sz w:val="18"/>
                <w:szCs w:val="18"/>
              </w:rPr>
              <w:t>□公开查阅点</w:t>
            </w:r>
          </w:p>
          <w:p>
            <w:pPr>
              <w:pStyle w:val="10"/>
              <w:shd w:val="clear" w:color="auto" w:fill="auto"/>
              <w:adjustRightInd w:val="0"/>
              <w:snapToGrid w:val="0"/>
              <w:jc w:val="left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  <w:r>
              <w:rPr>
                <w:rFonts w:hint="eastAsia" w:cs="方正仿宋_GBK" w:asciiTheme="minorEastAsia" w:hAnsiTheme="minorEastAsia" w:eastAsiaTheme="minorEastAsia"/>
                <w:spacing w:val="0"/>
                <w:sz w:val="18"/>
                <w:szCs w:val="18"/>
              </w:rPr>
              <w:t>□</w:t>
            </w:r>
            <w:r>
              <w:rPr>
                <w:rFonts w:hint="eastAsia" w:cs="方正仿宋_GBK" w:asciiTheme="minorEastAsia" w:hAnsiTheme="minorEastAsia" w:eastAsiaTheme="minorEastAsia"/>
                <w:spacing w:val="-20"/>
                <w:sz w:val="18"/>
                <w:szCs w:val="18"/>
              </w:rPr>
              <w:t>政务服务中心</w:t>
            </w:r>
            <w:r>
              <w:rPr>
                <w:rFonts w:hint="eastAsia" w:cs="方正仿宋_GBK" w:asciiTheme="minorEastAsia" w:hAnsiTheme="minorEastAsia" w:eastAsiaTheme="minorEastAsia"/>
                <w:spacing w:val="0"/>
                <w:sz w:val="18"/>
                <w:szCs w:val="18"/>
              </w:rPr>
              <w:t xml:space="preserve"> </w:t>
            </w:r>
          </w:p>
          <w:p>
            <w:pPr>
              <w:pStyle w:val="10"/>
              <w:shd w:val="clear" w:color="auto" w:fill="auto"/>
              <w:adjustRightInd w:val="0"/>
              <w:snapToGrid w:val="0"/>
              <w:jc w:val="left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  <w:r>
              <w:rPr>
                <w:rFonts w:hint="eastAsia" w:cs="方正仿宋_GBK" w:asciiTheme="minorEastAsia" w:hAnsiTheme="minorEastAsia" w:eastAsiaTheme="minorEastAsia"/>
                <w:spacing w:val="0"/>
                <w:sz w:val="18"/>
                <w:szCs w:val="18"/>
              </w:rPr>
              <w:t>□便民服务站</w:t>
            </w:r>
          </w:p>
          <w:p>
            <w:pPr>
              <w:pStyle w:val="10"/>
              <w:shd w:val="clear" w:color="auto" w:fill="auto"/>
              <w:adjustRightInd w:val="0"/>
              <w:snapToGrid w:val="0"/>
              <w:jc w:val="left"/>
              <w:rPr>
                <w:rFonts w:cs="方正仿宋_GBK" w:asciiTheme="minorEastAsia" w:hAnsiTheme="minorEastAsia" w:eastAsiaTheme="minorEastAsia"/>
                <w:spacing w:val="-20"/>
                <w:sz w:val="18"/>
                <w:szCs w:val="18"/>
              </w:rPr>
            </w:pPr>
            <w:r>
              <w:rPr>
                <w:rFonts w:hint="eastAsia" w:cs="方正仿宋_GBK" w:asciiTheme="minorEastAsia" w:hAnsiTheme="minorEastAsia" w:eastAsiaTheme="minorEastAsia"/>
                <w:spacing w:val="0"/>
                <w:sz w:val="18"/>
                <w:szCs w:val="18"/>
              </w:rPr>
              <w:t>□</w:t>
            </w:r>
            <w:r>
              <w:rPr>
                <w:rFonts w:hint="eastAsia" w:cs="方正仿宋_GBK" w:asciiTheme="minorEastAsia" w:hAnsiTheme="minorEastAsia" w:eastAsiaTheme="minorEastAsia"/>
                <w:spacing w:val="-20"/>
                <w:sz w:val="18"/>
                <w:szCs w:val="18"/>
              </w:rPr>
              <w:t>入户/现场宣传</w:t>
            </w:r>
          </w:p>
          <w:p>
            <w:pPr>
              <w:pStyle w:val="10"/>
              <w:shd w:val="clear" w:color="auto" w:fill="auto"/>
              <w:adjustRightInd w:val="0"/>
              <w:snapToGrid w:val="0"/>
              <w:jc w:val="left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  <w:r>
              <w:rPr>
                <w:rFonts w:hint="eastAsia" w:cs="方正仿宋_GBK" w:asciiTheme="minorEastAsia" w:hAnsiTheme="minorEastAsia" w:eastAsiaTheme="minorEastAsia"/>
                <w:spacing w:val="0"/>
                <w:sz w:val="18"/>
                <w:szCs w:val="18"/>
              </w:rPr>
              <w:t>□社区/企事业单位/村公示栏（电 子屏）</w:t>
            </w:r>
          </w:p>
          <w:p>
            <w:pPr>
              <w:pStyle w:val="10"/>
              <w:shd w:val="clear" w:color="auto" w:fill="auto"/>
              <w:tabs>
                <w:tab w:val="left" w:pos="1069"/>
              </w:tabs>
              <w:adjustRightInd w:val="0"/>
              <w:snapToGrid w:val="0"/>
              <w:jc w:val="left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  <w:r>
              <w:rPr>
                <w:rFonts w:hint="eastAsia" w:cs="方正仿宋_GBK" w:asciiTheme="minorEastAsia" w:hAnsiTheme="minorEastAsia" w:eastAsiaTheme="minorEastAsia"/>
                <w:spacing w:val="0"/>
                <w:sz w:val="18"/>
                <w:szCs w:val="18"/>
              </w:rPr>
              <w:t>□精准推送□其他</w:t>
            </w:r>
          </w:p>
          <w:p>
            <w:pPr>
              <w:pStyle w:val="12"/>
              <w:shd w:val="clear" w:color="auto" w:fill="auto"/>
              <w:spacing w:before="0" w:after="0" w:line="240" w:lineRule="exact"/>
              <w:jc w:val="left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  <w:r>
              <w:rPr>
                <w:rFonts w:hint="eastAsia" w:cs="方正仿宋_GBK" w:asciiTheme="minorEastAsia" w:hAnsiTheme="minorEastAsia" w:eastAsiaTheme="minorEastAsia"/>
                <w:spacing w:val="0"/>
                <w:sz w:val="18"/>
                <w:szCs w:val="18"/>
              </w:rPr>
              <w:t>√</w:t>
            </w:r>
          </w:p>
        </w:tc>
        <w:tc>
          <w:tcPr>
            <w:tcW w:w="426" w:type="dxa"/>
            <w:vMerge w:val="restart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  <w:r>
              <w:rPr>
                <w:rFonts w:hint="eastAsia" w:cs="方正仿宋_GBK" w:asciiTheme="minorEastAsia" w:hAnsiTheme="minorEastAsia" w:eastAsiaTheme="minorEastAsia"/>
                <w:spacing w:val="0"/>
                <w:sz w:val="18"/>
                <w:szCs w:val="18"/>
              </w:rPr>
              <w:t>√</w:t>
            </w:r>
          </w:p>
        </w:tc>
        <w:tc>
          <w:tcPr>
            <w:tcW w:w="425" w:type="dxa"/>
            <w:vMerge w:val="restart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  <w:r>
              <w:rPr>
                <w:rFonts w:hint="eastAsia" w:cs="方正仿宋_GBK" w:asciiTheme="minorEastAsia" w:hAnsiTheme="minorEastAsia" w:eastAsiaTheme="minorEastAsia"/>
                <w:spacing w:val="0"/>
                <w:sz w:val="18"/>
                <w:szCs w:val="18"/>
              </w:rPr>
              <w:t>√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ind w:right="-107" w:rightChars="-51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  <w:r>
              <w:rPr>
                <w:rFonts w:hint="eastAsia" w:cs="方正仿宋_GBK" w:asciiTheme="minorEastAsia" w:hAnsiTheme="minorEastAsia" w:eastAsiaTheme="minorEastAsia"/>
                <w:spacing w:val="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napToGrid w:val="0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napToGrid w:val="0"/>
                <w:spacing w:val="0"/>
                <w:sz w:val="18"/>
                <w:szCs w:val="18"/>
              </w:rPr>
            </w:pPr>
          </w:p>
        </w:tc>
        <w:tc>
          <w:tcPr>
            <w:tcW w:w="765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财政拨款收支情况表：①财政拨款收支总体情况表。②一般公共预算支出情况表。③一般公共预算基本支出情况表。④一般公共预算“三公”经费支出情况表。⑤政府性基金预算支出情况表。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napToGrid w:val="0"/>
                <w:spacing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pStyle w:val="10"/>
              <w:shd w:val="clear" w:color="auto" w:fill="auto"/>
              <w:tabs>
                <w:tab w:val="left" w:pos="1069"/>
              </w:tabs>
              <w:adjustRightInd w:val="0"/>
              <w:snapToGrid w:val="0"/>
              <w:jc w:val="left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napToGrid w:val="0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napToGrid w:val="0"/>
                <w:spacing w:val="0"/>
                <w:sz w:val="18"/>
                <w:szCs w:val="18"/>
              </w:rPr>
            </w:pPr>
          </w:p>
        </w:tc>
        <w:tc>
          <w:tcPr>
            <w:tcW w:w="765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一般公共预算支出情况表公开到功能分类项级科目。一般公共预算基本支出表公开到经济分类款级科目。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napToGrid w:val="0"/>
                <w:spacing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pStyle w:val="10"/>
              <w:shd w:val="clear" w:color="auto" w:fill="auto"/>
              <w:tabs>
                <w:tab w:val="left" w:pos="1069"/>
              </w:tabs>
              <w:adjustRightInd w:val="0"/>
              <w:snapToGrid w:val="0"/>
              <w:jc w:val="left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napToGrid w:val="0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napToGrid w:val="0"/>
                <w:spacing w:val="0"/>
                <w:sz w:val="18"/>
                <w:szCs w:val="18"/>
              </w:rPr>
            </w:pPr>
          </w:p>
        </w:tc>
        <w:tc>
          <w:tcPr>
            <w:tcW w:w="765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，并对增减变化情况进行说明。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napToGrid w:val="0"/>
                <w:spacing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pStyle w:val="10"/>
              <w:shd w:val="clear" w:color="auto" w:fill="auto"/>
              <w:tabs>
                <w:tab w:val="left" w:pos="1069"/>
              </w:tabs>
              <w:adjustRightInd w:val="0"/>
              <w:snapToGrid w:val="0"/>
              <w:jc w:val="left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napToGrid w:val="0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napToGrid w:val="0"/>
                <w:spacing w:val="0"/>
                <w:sz w:val="18"/>
                <w:szCs w:val="18"/>
              </w:rPr>
            </w:pPr>
          </w:p>
        </w:tc>
        <w:tc>
          <w:tcPr>
            <w:tcW w:w="765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部门职责、机构设置情况、预算收支增减变化、机关运行经费安排以及政府采购（主要包括部门政府采购预算总金额和货物、工程、服务采购的预算金额）等情况的说明，并对专业性较强的名词进行解释。结合工作进展情况，逐步公开国有资产占用、重点专项预算的绩效目标等情况。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napToGrid w:val="0"/>
                <w:spacing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pStyle w:val="10"/>
              <w:shd w:val="clear" w:color="auto" w:fill="auto"/>
              <w:tabs>
                <w:tab w:val="left" w:pos="1069"/>
              </w:tabs>
              <w:adjustRightInd w:val="0"/>
              <w:snapToGrid w:val="0"/>
              <w:jc w:val="left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napToGrid w:val="0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napToGrid w:val="0"/>
                <w:spacing w:val="0"/>
                <w:sz w:val="18"/>
                <w:szCs w:val="18"/>
              </w:rPr>
            </w:pPr>
          </w:p>
        </w:tc>
        <w:tc>
          <w:tcPr>
            <w:tcW w:w="765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没有数据的表格应当列出空表并说明。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napToGrid w:val="0"/>
                <w:spacing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pStyle w:val="10"/>
              <w:shd w:val="clear" w:color="auto" w:fill="auto"/>
              <w:tabs>
                <w:tab w:val="left" w:pos="1069"/>
              </w:tabs>
              <w:adjustRightInd w:val="0"/>
              <w:snapToGrid w:val="0"/>
              <w:jc w:val="left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</w:tr>
    </w:tbl>
    <w:p>
      <w:pPr>
        <w:rPr>
          <w:rFonts w:asciiTheme="minorEastAsia" w:hAnsiTheme="minorEastAsia" w:eastAsiaTheme="minorEastAsia"/>
          <w:sz w:val="18"/>
          <w:szCs w:val="18"/>
        </w:rPr>
      </w:pPr>
    </w:p>
    <w:p>
      <w:pPr>
        <w:rPr>
          <w:rFonts w:asciiTheme="minorEastAsia" w:hAnsiTheme="minorEastAsia" w:eastAsiaTheme="minorEastAsia"/>
          <w:sz w:val="18"/>
          <w:szCs w:val="18"/>
        </w:rPr>
      </w:pPr>
    </w:p>
    <w:p>
      <w:pPr>
        <w:rPr>
          <w:rFonts w:asciiTheme="minorEastAsia" w:hAnsiTheme="minorEastAsia" w:eastAsiaTheme="minorEastAsia"/>
          <w:sz w:val="18"/>
          <w:szCs w:val="18"/>
        </w:rPr>
      </w:pPr>
    </w:p>
    <w:p>
      <w:pPr>
        <w:rPr>
          <w:rFonts w:asciiTheme="minorEastAsia" w:hAnsiTheme="minorEastAsia" w:eastAsiaTheme="minorEastAsia"/>
          <w:sz w:val="18"/>
          <w:szCs w:val="18"/>
        </w:rPr>
      </w:pPr>
    </w:p>
    <w:p>
      <w:pPr>
        <w:pStyle w:val="12"/>
        <w:shd w:val="clear" w:color="auto" w:fill="auto"/>
        <w:adjustRightInd w:val="0"/>
        <w:snapToGrid w:val="0"/>
        <w:spacing w:before="0" w:after="0" w:line="720" w:lineRule="exact"/>
        <w:jc w:val="center"/>
        <w:rPr>
          <w:rFonts w:ascii="Times New Roman" w:hAnsi="Times New Roman" w:eastAsia="方正小标宋_GBK" w:cs="Times New Roman"/>
          <w:spacing w:val="0"/>
          <w:sz w:val="44"/>
          <w:szCs w:val="44"/>
        </w:rPr>
      </w:pPr>
      <w:r>
        <w:rPr>
          <w:rFonts w:ascii="Times New Roman" w:hAnsi="Times New Roman" w:eastAsia="方正小标宋_GBK" w:cs="Times New Roman"/>
          <w:spacing w:val="0"/>
          <w:sz w:val="44"/>
          <w:szCs w:val="44"/>
        </w:rPr>
        <w:t>重庆市</w:t>
      </w:r>
      <w:r>
        <w:rPr>
          <w:rFonts w:hint="eastAsia" w:ascii="Times New Roman" w:hAnsi="Times New Roman" w:eastAsia="方正小标宋_GBK" w:cs="Times New Roman"/>
          <w:spacing w:val="0"/>
          <w:sz w:val="44"/>
          <w:szCs w:val="44"/>
        </w:rPr>
        <w:t>渝北区财政预决算领域</w:t>
      </w:r>
      <w:r>
        <w:rPr>
          <w:rFonts w:ascii="Times New Roman" w:hAnsi="Times New Roman" w:eastAsia="方正小标宋_GBK" w:cs="Times New Roman"/>
          <w:spacing w:val="0"/>
          <w:sz w:val="44"/>
          <w:szCs w:val="44"/>
        </w:rPr>
        <w:t>政务公开标准目录</w:t>
      </w:r>
    </w:p>
    <w:p>
      <w:pPr>
        <w:pStyle w:val="12"/>
        <w:shd w:val="clear" w:color="auto" w:fill="auto"/>
        <w:spacing w:before="0" w:after="0" w:line="240" w:lineRule="exact"/>
        <w:jc w:val="center"/>
        <w:rPr>
          <w:rFonts w:ascii="Times New Roman" w:hAnsi="Times New Roman" w:eastAsia="方正小标宋_GBK" w:cs="Times New Roman"/>
          <w:spacing w:val="0"/>
          <w:sz w:val="44"/>
          <w:szCs w:val="44"/>
        </w:rPr>
      </w:pPr>
    </w:p>
    <w:tbl>
      <w:tblPr>
        <w:tblStyle w:val="4"/>
        <w:tblW w:w="157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425"/>
        <w:gridCol w:w="425"/>
        <w:gridCol w:w="7655"/>
        <w:gridCol w:w="992"/>
        <w:gridCol w:w="709"/>
        <w:gridCol w:w="708"/>
        <w:gridCol w:w="1276"/>
        <w:gridCol w:w="425"/>
        <w:gridCol w:w="426"/>
        <w:gridCol w:w="425"/>
        <w:gridCol w:w="425"/>
        <w:gridCol w:w="425"/>
        <w:gridCol w:w="426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  <w:tblHeader/>
          <w:jc w:val="center"/>
        </w:trPr>
        <w:tc>
          <w:tcPr>
            <w:tcW w:w="421" w:type="dxa"/>
            <w:vMerge w:val="restart"/>
            <w:vAlign w:val="center"/>
          </w:tcPr>
          <w:p>
            <w:pPr>
              <w:pStyle w:val="12"/>
              <w:shd w:val="clear" w:color="auto" w:fill="auto"/>
              <w:spacing w:before="0" w:after="0" w:line="220" w:lineRule="exact"/>
              <w:jc w:val="center"/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</w:pPr>
            <w:r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  <w:t>序号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pStyle w:val="12"/>
              <w:shd w:val="clear" w:color="auto" w:fill="auto"/>
              <w:spacing w:before="0" w:after="0" w:line="220" w:lineRule="exact"/>
              <w:ind w:left="-107" w:leftChars="-51"/>
              <w:jc w:val="center"/>
              <w:rPr>
                <w:rFonts w:ascii="Times New Roman" w:hAnsi="Times New Roman" w:eastAsia="方正黑体_GBK" w:cs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eastAsia="方正黑体_GBK" w:cs="Times New Roman"/>
                <w:spacing w:val="-10"/>
                <w:sz w:val="18"/>
                <w:szCs w:val="18"/>
              </w:rPr>
              <w:t>公开事项</w:t>
            </w:r>
          </w:p>
        </w:tc>
        <w:tc>
          <w:tcPr>
            <w:tcW w:w="7655" w:type="dxa"/>
            <w:vMerge w:val="restart"/>
            <w:vAlign w:val="center"/>
          </w:tcPr>
          <w:p>
            <w:pPr>
              <w:pStyle w:val="12"/>
              <w:shd w:val="clear" w:color="auto" w:fill="auto"/>
              <w:spacing w:before="0" w:after="0" w:line="220" w:lineRule="exact"/>
              <w:jc w:val="center"/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</w:pPr>
            <w:r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  <w:t>公开内容</w:t>
            </w:r>
          </w:p>
          <w:p>
            <w:pPr>
              <w:pStyle w:val="12"/>
              <w:shd w:val="clear" w:color="auto" w:fill="auto"/>
              <w:spacing w:before="0" w:after="0" w:line="220" w:lineRule="exact"/>
              <w:jc w:val="center"/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</w:pPr>
            <w:r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  <w:t>（要素）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pStyle w:val="12"/>
              <w:shd w:val="clear" w:color="auto" w:fill="auto"/>
              <w:spacing w:before="0" w:after="0" w:line="220" w:lineRule="exact"/>
              <w:jc w:val="center"/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</w:pPr>
            <w:r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  <w:t>公开依据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pStyle w:val="12"/>
              <w:shd w:val="clear" w:color="auto" w:fill="auto"/>
              <w:spacing w:before="0" w:after="0" w:line="220" w:lineRule="exact"/>
              <w:jc w:val="center"/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</w:pPr>
            <w:r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  <w:t>公开时限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pStyle w:val="12"/>
              <w:shd w:val="clear" w:color="auto" w:fill="auto"/>
              <w:spacing w:before="0" w:after="0" w:line="220" w:lineRule="exact"/>
              <w:jc w:val="center"/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</w:pPr>
            <w:r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  <w:t>公开</w:t>
            </w:r>
          </w:p>
          <w:p>
            <w:pPr>
              <w:pStyle w:val="12"/>
              <w:shd w:val="clear" w:color="auto" w:fill="auto"/>
              <w:spacing w:before="0" w:after="0" w:line="220" w:lineRule="exact"/>
              <w:jc w:val="center"/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</w:pPr>
            <w:r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  <w:t>主体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pStyle w:val="12"/>
              <w:shd w:val="clear" w:color="auto" w:fill="auto"/>
              <w:spacing w:before="0" w:after="0" w:line="220" w:lineRule="exact"/>
              <w:jc w:val="center"/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</w:pPr>
            <w:r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  <w:t>公开渠道和载体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pStyle w:val="12"/>
              <w:shd w:val="clear" w:color="auto" w:fill="auto"/>
              <w:spacing w:before="0" w:after="0" w:line="220" w:lineRule="exact"/>
              <w:ind w:left="-107" w:leftChars="-51" w:right="-107" w:rightChars="-51"/>
              <w:jc w:val="center"/>
              <w:rPr>
                <w:rFonts w:ascii="Times New Roman" w:hAnsi="Times New Roman" w:eastAsia="方正黑体_GBK" w:cs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eastAsia="方正黑体_GBK" w:cs="Times New Roman"/>
                <w:spacing w:val="-10"/>
                <w:sz w:val="18"/>
                <w:szCs w:val="18"/>
              </w:rPr>
              <w:t>公开对象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pStyle w:val="12"/>
              <w:shd w:val="clear" w:color="auto" w:fill="auto"/>
              <w:spacing w:before="0" w:after="0" w:line="220" w:lineRule="exact"/>
              <w:ind w:left="-107" w:leftChars="-51" w:right="-107" w:rightChars="-51"/>
              <w:jc w:val="center"/>
              <w:rPr>
                <w:rFonts w:ascii="Times New Roman" w:hAnsi="Times New Roman" w:eastAsia="方正黑体_GBK" w:cs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eastAsia="方正黑体_GBK" w:cs="Times New Roman"/>
                <w:spacing w:val="-10"/>
                <w:sz w:val="18"/>
                <w:szCs w:val="18"/>
              </w:rPr>
              <w:t>公开方式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pStyle w:val="12"/>
              <w:shd w:val="clear" w:color="auto" w:fill="auto"/>
              <w:spacing w:before="0" w:after="0" w:line="220" w:lineRule="exact"/>
              <w:ind w:left="-107" w:leftChars="-51" w:right="-107" w:rightChars="-51"/>
              <w:jc w:val="center"/>
              <w:rPr>
                <w:rFonts w:ascii="Times New Roman" w:hAnsi="Times New Roman" w:eastAsia="方正黑体_GBK" w:cs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eastAsia="方正黑体_GBK" w:cs="Times New Roman"/>
                <w:spacing w:val="-10"/>
                <w:sz w:val="18"/>
                <w:szCs w:val="18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1" w:hRule="atLeast"/>
          <w:tblHeader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20" w:lineRule="exact"/>
              <w:jc w:val="center"/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>
            <w:pPr>
              <w:pStyle w:val="12"/>
              <w:shd w:val="clear" w:color="auto" w:fill="auto"/>
              <w:spacing w:before="0" w:after="0" w:line="220" w:lineRule="exact"/>
              <w:jc w:val="center"/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</w:pPr>
            <w:r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  <w:t>一级事项</w:t>
            </w:r>
          </w:p>
        </w:tc>
        <w:tc>
          <w:tcPr>
            <w:tcW w:w="425" w:type="dxa"/>
            <w:vAlign w:val="center"/>
          </w:tcPr>
          <w:p>
            <w:pPr>
              <w:pStyle w:val="12"/>
              <w:shd w:val="clear" w:color="auto" w:fill="auto"/>
              <w:spacing w:before="0" w:after="0" w:line="220" w:lineRule="exact"/>
              <w:jc w:val="center"/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</w:pPr>
            <w:r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  <w:t>二级事项</w:t>
            </w:r>
          </w:p>
        </w:tc>
        <w:tc>
          <w:tcPr>
            <w:tcW w:w="765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20" w:lineRule="exact"/>
              <w:jc w:val="center"/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20" w:lineRule="exact"/>
              <w:jc w:val="center"/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20" w:lineRule="exact"/>
              <w:jc w:val="center"/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20" w:lineRule="exact"/>
              <w:jc w:val="center"/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20" w:lineRule="exact"/>
              <w:jc w:val="center"/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>
            <w:pPr>
              <w:pStyle w:val="12"/>
              <w:shd w:val="clear" w:color="auto" w:fill="auto"/>
              <w:spacing w:before="0" w:after="0" w:line="220" w:lineRule="exact"/>
              <w:jc w:val="center"/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</w:pPr>
            <w:r>
              <w:rPr>
                <w:rFonts w:ascii="Times New Roman" w:hAnsi="Times New Roman" w:eastAsia="方正黑体_GBK" w:cs="Times New Roman"/>
                <w:spacing w:val="-20"/>
                <w:sz w:val="18"/>
                <w:szCs w:val="18"/>
              </w:rPr>
              <w:t>全社会</w:t>
            </w:r>
          </w:p>
        </w:tc>
        <w:tc>
          <w:tcPr>
            <w:tcW w:w="426" w:type="dxa"/>
            <w:vAlign w:val="center"/>
          </w:tcPr>
          <w:p>
            <w:pPr>
              <w:pStyle w:val="12"/>
              <w:shd w:val="clear" w:color="auto" w:fill="auto"/>
              <w:spacing w:before="0" w:after="0" w:line="220" w:lineRule="exact"/>
              <w:jc w:val="center"/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</w:pPr>
            <w:r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  <w:t>特定群体</w:t>
            </w:r>
          </w:p>
        </w:tc>
        <w:tc>
          <w:tcPr>
            <w:tcW w:w="425" w:type="dxa"/>
            <w:vAlign w:val="center"/>
          </w:tcPr>
          <w:p>
            <w:pPr>
              <w:pStyle w:val="12"/>
              <w:shd w:val="clear" w:color="auto" w:fill="auto"/>
              <w:spacing w:before="0" w:after="0" w:line="220" w:lineRule="exact"/>
              <w:jc w:val="center"/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</w:pPr>
            <w:r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  <w:t>主动</w:t>
            </w:r>
          </w:p>
        </w:tc>
        <w:tc>
          <w:tcPr>
            <w:tcW w:w="425" w:type="dxa"/>
            <w:vAlign w:val="center"/>
          </w:tcPr>
          <w:p>
            <w:pPr>
              <w:pStyle w:val="12"/>
              <w:shd w:val="clear" w:color="auto" w:fill="auto"/>
              <w:spacing w:before="0" w:after="0" w:line="220" w:lineRule="exact"/>
              <w:jc w:val="center"/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</w:pPr>
            <w:r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  <w:t>依申请</w:t>
            </w:r>
          </w:p>
        </w:tc>
        <w:tc>
          <w:tcPr>
            <w:tcW w:w="425" w:type="dxa"/>
            <w:vAlign w:val="center"/>
          </w:tcPr>
          <w:p>
            <w:pPr>
              <w:pStyle w:val="12"/>
              <w:shd w:val="clear" w:color="auto" w:fill="auto"/>
              <w:spacing w:before="0" w:after="0" w:line="220" w:lineRule="exact"/>
              <w:jc w:val="center"/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</w:pPr>
            <w:r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  <w:t>市级</w:t>
            </w:r>
          </w:p>
        </w:tc>
        <w:tc>
          <w:tcPr>
            <w:tcW w:w="426" w:type="dxa"/>
            <w:vAlign w:val="center"/>
          </w:tcPr>
          <w:p>
            <w:pPr>
              <w:pStyle w:val="12"/>
              <w:shd w:val="clear" w:color="auto" w:fill="auto"/>
              <w:spacing w:before="0" w:after="0" w:line="220" w:lineRule="exact"/>
              <w:jc w:val="center"/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</w:pPr>
            <w:r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  <w:t>区级</w:t>
            </w:r>
          </w:p>
        </w:tc>
        <w:tc>
          <w:tcPr>
            <w:tcW w:w="567" w:type="dxa"/>
            <w:vAlign w:val="center"/>
          </w:tcPr>
          <w:p>
            <w:pPr>
              <w:pStyle w:val="12"/>
              <w:shd w:val="clear" w:color="auto" w:fill="auto"/>
              <w:spacing w:before="0" w:after="0" w:line="220" w:lineRule="exact"/>
              <w:ind w:left="-107" w:leftChars="-51"/>
              <w:jc w:val="center"/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</w:pPr>
            <w:r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  <w:t>镇</w:t>
            </w:r>
            <w:r>
              <w:rPr>
                <w:rFonts w:hint="eastAsia" w:ascii="Times New Roman" w:hAnsi="Times New Roman" w:eastAsia="方正黑体_GBK" w:cs="Times New Roman"/>
                <w:spacing w:val="0"/>
                <w:sz w:val="18"/>
                <w:szCs w:val="18"/>
              </w:rPr>
              <w:t>（街）</w:t>
            </w:r>
            <w:r>
              <w:rPr>
                <w:rFonts w:ascii="Times New Roman" w:hAnsi="Times New Roman" w:eastAsia="方正黑体_GBK" w:cs="Times New Roman"/>
                <w:spacing w:val="0"/>
                <w:sz w:val="18"/>
                <w:szCs w:val="18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421" w:type="dxa"/>
            <w:vMerge w:val="restart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  <w:r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  <w:t>4</w:t>
            </w:r>
          </w:p>
        </w:tc>
        <w:tc>
          <w:tcPr>
            <w:tcW w:w="425" w:type="dxa"/>
            <w:vMerge w:val="restart"/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napToGrid w:val="0"/>
                <w:spacing w:val="0"/>
                <w:sz w:val="18"/>
                <w:szCs w:val="18"/>
              </w:rPr>
            </w:pPr>
          </w:p>
          <w:p>
            <w:pPr>
              <w:pStyle w:val="12"/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napToGrid w:val="0"/>
                <w:spacing w:val="0"/>
                <w:sz w:val="18"/>
                <w:szCs w:val="18"/>
              </w:rPr>
            </w:pPr>
            <w:r>
              <w:rPr>
                <w:rFonts w:hint="eastAsia" w:cs="方正仿宋_GBK" w:asciiTheme="minorEastAsia" w:hAnsiTheme="minorEastAsia" w:eastAsiaTheme="minorEastAsia"/>
                <w:snapToGrid w:val="0"/>
                <w:spacing w:val="0"/>
                <w:sz w:val="18"/>
                <w:szCs w:val="18"/>
              </w:rPr>
              <w:t>财政预决算</w:t>
            </w:r>
          </w:p>
        </w:tc>
        <w:tc>
          <w:tcPr>
            <w:tcW w:w="425" w:type="dxa"/>
            <w:vMerge w:val="restart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both"/>
              <w:rPr>
                <w:rFonts w:cs="方正仿宋_GBK" w:asciiTheme="minorEastAsia" w:hAnsiTheme="minorEastAsia" w:eastAsiaTheme="minorEastAsia"/>
                <w:snapToGrid w:val="0"/>
                <w:spacing w:val="0"/>
                <w:sz w:val="18"/>
                <w:szCs w:val="18"/>
              </w:rPr>
            </w:pPr>
            <w:r>
              <w:rPr>
                <w:rFonts w:hint="eastAsia" w:cs="方正仿宋_GBK" w:asciiTheme="minorEastAsia" w:hAnsiTheme="minorEastAsia" w:eastAsiaTheme="minorEastAsia"/>
                <w:snapToGrid w:val="0"/>
                <w:spacing w:val="0"/>
                <w:sz w:val="18"/>
                <w:szCs w:val="18"/>
              </w:rPr>
              <w:t>部门决算</w:t>
            </w:r>
          </w:p>
        </w:tc>
        <w:tc>
          <w:tcPr>
            <w:tcW w:w="765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收支总体情况表：①部门收支总体情况表。②部门收入总体情况表。③部门支出总体情况表。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pStyle w:val="7"/>
              <w:spacing w:line="240" w:lineRule="exact"/>
              <w:jc w:val="left"/>
              <w:rPr>
                <w:rFonts w:cs="方正仿宋_GBK" w:asciiTheme="minorEastAsia" w:hAnsiTheme="minorEastAsia" w:eastAsiaTheme="minorEastAsia"/>
                <w:snapToGrid w:val="0"/>
                <w:spacing w:val="0"/>
                <w:sz w:val="18"/>
                <w:szCs w:val="18"/>
              </w:rPr>
            </w:pPr>
            <w:r>
              <w:rPr>
                <w:rFonts w:hint="eastAsia" w:cs="方正仿宋_GBK" w:asciiTheme="minorEastAsia" w:hAnsiTheme="minorEastAsia" w:eastAsiaTheme="minorEastAsia"/>
                <w:snapToGrid w:val="0"/>
                <w:spacing w:val="0"/>
                <w:sz w:val="18"/>
                <w:szCs w:val="18"/>
              </w:rPr>
              <w:t>《中华人民共和国预算法》、《重庆市预算审查监督条例》、《重庆市预决算信息公开管理办法》、《地方预决算公开操作规程》（财预〔2016〕143号）等法律法规和文件规定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  <w:r>
              <w:rPr>
                <w:rFonts w:hint="eastAsia" w:cs="方正仿宋_GBK" w:asciiTheme="minorEastAsia" w:hAnsiTheme="minorEastAsia" w:eastAsiaTheme="minorEastAsia"/>
                <w:spacing w:val="0"/>
                <w:sz w:val="18"/>
                <w:szCs w:val="18"/>
              </w:rPr>
              <w:t>本级政府财政部门批复后20日内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ind w:left="-107" w:leftChars="-51" w:right="-107" w:rightChars="-51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  <w:r>
              <w:rPr>
                <w:rFonts w:hint="eastAsia" w:cs="方正仿宋_GBK" w:asciiTheme="minorEastAsia" w:hAnsiTheme="minorEastAsia" w:eastAsiaTheme="minorEastAsia"/>
                <w:spacing w:val="0"/>
                <w:sz w:val="18"/>
                <w:szCs w:val="18"/>
              </w:rPr>
              <w:t>区级各预算部门、</w:t>
            </w:r>
          </w:p>
          <w:p>
            <w:pPr>
              <w:pStyle w:val="12"/>
              <w:shd w:val="clear" w:color="auto" w:fill="auto"/>
              <w:spacing w:before="0" w:after="0" w:line="240" w:lineRule="exact"/>
              <w:ind w:left="-107" w:leftChars="-51" w:right="-107" w:rightChars="-51" w:firstLine="90" w:firstLineChars="50"/>
              <w:jc w:val="left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  <w:r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  <w:t>各镇</w:t>
            </w:r>
            <w:r>
              <w:rPr>
                <w:rFonts w:hint="eastAsia" w:cs="方正仿宋_GBK" w:asciiTheme="minorEastAsia" w:hAnsiTheme="minorEastAsia" w:eastAsiaTheme="minorEastAsia"/>
                <w:spacing w:val="0"/>
                <w:sz w:val="18"/>
                <w:szCs w:val="18"/>
              </w:rPr>
              <w:t>（</w:t>
            </w:r>
            <w:r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  <w:t>街</w:t>
            </w:r>
            <w:r>
              <w:rPr>
                <w:rFonts w:hint="eastAsia" w:cs="方正仿宋_GBK" w:asciiTheme="minorEastAsia" w:hAnsiTheme="minorEastAsia" w:eastAsiaTheme="minorEastAsia"/>
                <w:spacing w:val="0"/>
                <w:sz w:val="18"/>
                <w:szCs w:val="18"/>
              </w:rPr>
              <w:t>）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pStyle w:val="10"/>
              <w:shd w:val="clear" w:color="auto" w:fill="auto"/>
              <w:tabs>
                <w:tab w:val="left" w:pos="1069"/>
              </w:tabs>
              <w:adjustRightInd w:val="0"/>
              <w:snapToGrid w:val="0"/>
              <w:jc w:val="left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  <w:r>
              <w:rPr>
                <w:rFonts w:hint="eastAsia" w:cs="方正仿宋_GBK" w:asciiTheme="minorEastAsia" w:hAnsiTheme="minorEastAsia" w:eastAsiaTheme="minorEastAsia"/>
                <w:spacing w:val="0"/>
                <w:sz w:val="18"/>
                <w:szCs w:val="18"/>
              </w:rPr>
              <w:t>■政府网站</w:t>
            </w:r>
          </w:p>
          <w:p>
            <w:pPr>
              <w:pStyle w:val="10"/>
              <w:shd w:val="clear" w:color="auto" w:fill="auto"/>
              <w:tabs>
                <w:tab w:val="left" w:pos="1069"/>
              </w:tabs>
              <w:adjustRightInd w:val="0"/>
              <w:snapToGrid w:val="0"/>
              <w:jc w:val="left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  <w:r>
              <w:rPr>
                <w:rFonts w:hint="eastAsia" w:cs="方正仿宋_GBK" w:asciiTheme="minorEastAsia" w:hAnsiTheme="minorEastAsia" w:eastAsiaTheme="minorEastAsia"/>
                <w:spacing w:val="0"/>
                <w:sz w:val="18"/>
                <w:szCs w:val="18"/>
              </w:rPr>
              <w:t>□政府公报</w:t>
            </w:r>
          </w:p>
          <w:p>
            <w:pPr>
              <w:pStyle w:val="10"/>
              <w:shd w:val="clear" w:color="auto" w:fill="auto"/>
              <w:tabs>
                <w:tab w:val="left" w:pos="1073"/>
              </w:tabs>
              <w:adjustRightInd w:val="0"/>
              <w:snapToGrid w:val="0"/>
              <w:jc w:val="left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  <w:r>
              <w:rPr>
                <w:rFonts w:hint="eastAsia" w:cs="方正仿宋_GBK" w:asciiTheme="minorEastAsia" w:hAnsiTheme="minorEastAsia" w:eastAsiaTheme="minorEastAsia"/>
                <w:spacing w:val="0"/>
                <w:sz w:val="18"/>
                <w:szCs w:val="18"/>
              </w:rPr>
              <w:t>□两微一端□</w:t>
            </w:r>
            <w:r>
              <w:rPr>
                <w:rFonts w:hint="eastAsia" w:cs="方正仿宋_GBK" w:asciiTheme="minorEastAsia" w:hAnsiTheme="minorEastAsia" w:eastAsiaTheme="minorEastAsia"/>
                <w:spacing w:val="-20"/>
                <w:sz w:val="18"/>
                <w:szCs w:val="18"/>
              </w:rPr>
              <w:t>发布会/听证会</w:t>
            </w:r>
          </w:p>
          <w:p>
            <w:pPr>
              <w:pStyle w:val="10"/>
              <w:shd w:val="clear" w:color="auto" w:fill="auto"/>
              <w:tabs>
                <w:tab w:val="left" w:pos="1073"/>
              </w:tabs>
              <w:adjustRightInd w:val="0"/>
              <w:snapToGrid w:val="0"/>
              <w:jc w:val="left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  <w:r>
              <w:rPr>
                <w:rFonts w:hint="eastAsia" w:cs="方正仿宋_GBK" w:asciiTheme="minorEastAsia" w:hAnsiTheme="minorEastAsia" w:eastAsiaTheme="minorEastAsia"/>
                <w:spacing w:val="0"/>
                <w:sz w:val="18"/>
                <w:szCs w:val="18"/>
              </w:rPr>
              <w:t>□广播电视</w:t>
            </w:r>
          </w:p>
          <w:p>
            <w:pPr>
              <w:pStyle w:val="10"/>
              <w:shd w:val="clear" w:color="auto" w:fill="auto"/>
              <w:tabs>
                <w:tab w:val="left" w:pos="1073"/>
              </w:tabs>
              <w:adjustRightInd w:val="0"/>
              <w:snapToGrid w:val="0"/>
              <w:jc w:val="left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  <w:r>
              <w:rPr>
                <w:rFonts w:hint="eastAsia" w:cs="方正仿宋_GBK" w:asciiTheme="minorEastAsia" w:hAnsiTheme="minorEastAsia" w:eastAsiaTheme="minorEastAsia"/>
                <w:spacing w:val="0"/>
                <w:sz w:val="18"/>
                <w:szCs w:val="18"/>
              </w:rPr>
              <w:t>□纸质煤体</w:t>
            </w:r>
          </w:p>
          <w:p>
            <w:pPr>
              <w:pStyle w:val="10"/>
              <w:shd w:val="clear" w:color="auto" w:fill="auto"/>
              <w:adjustRightInd w:val="0"/>
              <w:snapToGrid w:val="0"/>
              <w:jc w:val="left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  <w:r>
              <w:rPr>
                <w:rFonts w:hint="eastAsia" w:cs="方正仿宋_GBK" w:asciiTheme="minorEastAsia" w:hAnsiTheme="minorEastAsia" w:eastAsiaTheme="minorEastAsia"/>
                <w:spacing w:val="0"/>
                <w:sz w:val="18"/>
                <w:szCs w:val="18"/>
              </w:rPr>
              <w:t>□公开查阅点</w:t>
            </w:r>
          </w:p>
          <w:p>
            <w:pPr>
              <w:pStyle w:val="10"/>
              <w:shd w:val="clear" w:color="auto" w:fill="auto"/>
              <w:adjustRightInd w:val="0"/>
              <w:snapToGrid w:val="0"/>
              <w:jc w:val="left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  <w:r>
              <w:rPr>
                <w:rFonts w:hint="eastAsia" w:cs="方正仿宋_GBK" w:asciiTheme="minorEastAsia" w:hAnsiTheme="minorEastAsia" w:eastAsiaTheme="minorEastAsia"/>
                <w:spacing w:val="0"/>
                <w:sz w:val="18"/>
                <w:szCs w:val="18"/>
              </w:rPr>
              <w:t>□</w:t>
            </w:r>
            <w:r>
              <w:rPr>
                <w:rFonts w:hint="eastAsia" w:cs="方正仿宋_GBK" w:asciiTheme="minorEastAsia" w:hAnsiTheme="minorEastAsia" w:eastAsiaTheme="minorEastAsia"/>
                <w:spacing w:val="-20"/>
                <w:sz w:val="18"/>
                <w:szCs w:val="18"/>
              </w:rPr>
              <w:t>政务服务中心</w:t>
            </w:r>
            <w:r>
              <w:rPr>
                <w:rFonts w:hint="eastAsia" w:cs="方正仿宋_GBK" w:asciiTheme="minorEastAsia" w:hAnsiTheme="minorEastAsia" w:eastAsiaTheme="minorEastAsia"/>
                <w:spacing w:val="0"/>
                <w:sz w:val="18"/>
                <w:szCs w:val="18"/>
              </w:rPr>
              <w:t xml:space="preserve"> </w:t>
            </w:r>
          </w:p>
          <w:p>
            <w:pPr>
              <w:pStyle w:val="10"/>
              <w:shd w:val="clear" w:color="auto" w:fill="auto"/>
              <w:adjustRightInd w:val="0"/>
              <w:snapToGrid w:val="0"/>
              <w:jc w:val="left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  <w:r>
              <w:rPr>
                <w:rFonts w:hint="eastAsia" w:cs="方正仿宋_GBK" w:asciiTheme="minorEastAsia" w:hAnsiTheme="minorEastAsia" w:eastAsiaTheme="minorEastAsia"/>
                <w:spacing w:val="0"/>
                <w:sz w:val="18"/>
                <w:szCs w:val="18"/>
              </w:rPr>
              <w:t>□便民服务站</w:t>
            </w:r>
          </w:p>
          <w:p>
            <w:pPr>
              <w:pStyle w:val="10"/>
              <w:shd w:val="clear" w:color="auto" w:fill="auto"/>
              <w:adjustRightInd w:val="0"/>
              <w:snapToGrid w:val="0"/>
              <w:jc w:val="left"/>
              <w:rPr>
                <w:rFonts w:cs="方正仿宋_GBK" w:asciiTheme="minorEastAsia" w:hAnsiTheme="minorEastAsia" w:eastAsiaTheme="minorEastAsia"/>
                <w:spacing w:val="-20"/>
                <w:sz w:val="18"/>
                <w:szCs w:val="18"/>
              </w:rPr>
            </w:pPr>
            <w:r>
              <w:rPr>
                <w:rFonts w:hint="eastAsia" w:cs="方正仿宋_GBK" w:asciiTheme="minorEastAsia" w:hAnsiTheme="minorEastAsia" w:eastAsiaTheme="minorEastAsia"/>
                <w:spacing w:val="0"/>
                <w:sz w:val="18"/>
                <w:szCs w:val="18"/>
              </w:rPr>
              <w:t>□</w:t>
            </w:r>
            <w:r>
              <w:rPr>
                <w:rFonts w:hint="eastAsia" w:cs="方正仿宋_GBK" w:asciiTheme="minorEastAsia" w:hAnsiTheme="minorEastAsia" w:eastAsiaTheme="minorEastAsia"/>
                <w:spacing w:val="-20"/>
                <w:sz w:val="18"/>
                <w:szCs w:val="18"/>
              </w:rPr>
              <w:t>入户/现场宣传</w:t>
            </w:r>
          </w:p>
          <w:p>
            <w:pPr>
              <w:pStyle w:val="10"/>
              <w:shd w:val="clear" w:color="auto" w:fill="auto"/>
              <w:adjustRightInd w:val="0"/>
              <w:snapToGrid w:val="0"/>
              <w:jc w:val="left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  <w:r>
              <w:rPr>
                <w:rFonts w:hint="eastAsia" w:cs="方正仿宋_GBK" w:asciiTheme="minorEastAsia" w:hAnsiTheme="minorEastAsia" w:eastAsiaTheme="minorEastAsia"/>
                <w:spacing w:val="0"/>
                <w:sz w:val="18"/>
                <w:szCs w:val="18"/>
              </w:rPr>
              <w:t>□社区/企事业单位/村公示栏（电 子屏）</w:t>
            </w:r>
          </w:p>
          <w:p>
            <w:pPr>
              <w:pStyle w:val="10"/>
              <w:shd w:val="clear" w:color="auto" w:fill="auto"/>
              <w:tabs>
                <w:tab w:val="left" w:pos="1069"/>
              </w:tabs>
              <w:adjustRightInd w:val="0"/>
              <w:snapToGrid w:val="0"/>
              <w:jc w:val="left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  <w:r>
              <w:rPr>
                <w:rFonts w:hint="eastAsia" w:cs="方正仿宋_GBK" w:asciiTheme="minorEastAsia" w:hAnsiTheme="minorEastAsia" w:eastAsiaTheme="minorEastAsia"/>
                <w:spacing w:val="0"/>
                <w:sz w:val="18"/>
                <w:szCs w:val="18"/>
              </w:rPr>
              <w:t>□精准推送□其他</w:t>
            </w:r>
          </w:p>
          <w:p>
            <w:pPr>
              <w:pStyle w:val="12"/>
              <w:shd w:val="clear" w:color="auto" w:fill="auto"/>
              <w:spacing w:before="0" w:after="0" w:line="240" w:lineRule="exact"/>
              <w:jc w:val="left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  <w:r>
              <w:rPr>
                <w:rFonts w:hint="eastAsia" w:cs="方正仿宋_GBK" w:asciiTheme="minorEastAsia" w:hAnsiTheme="minorEastAsia" w:eastAsiaTheme="minorEastAsia"/>
                <w:spacing w:val="0"/>
                <w:sz w:val="18"/>
                <w:szCs w:val="18"/>
              </w:rPr>
              <w:t>√</w:t>
            </w:r>
          </w:p>
        </w:tc>
        <w:tc>
          <w:tcPr>
            <w:tcW w:w="426" w:type="dxa"/>
            <w:vMerge w:val="restart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  <w:r>
              <w:rPr>
                <w:rFonts w:hint="eastAsia" w:cs="方正仿宋_GBK" w:asciiTheme="minorEastAsia" w:hAnsiTheme="minorEastAsia" w:eastAsiaTheme="minorEastAsia"/>
                <w:spacing w:val="0"/>
                <w:sz w:val="18"/>
                <w:szCs w:val="18"/>
              </w:rPr>
              <w:t>√</w:t>
            </w:r>
          </w:p>
        </w:tc>
        <w:tc>
          <w:tcPr>
            <w:tcW w:w="425" w:type="dxa"/>
            <w:vMerge w:val="restart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  <w:r>
              <w:rPr>
                <w:rFonts w:hint="eastAsia" w:cs="方正仿宋_GBK" w:asciiTheme="minorEastAsia" w:hAnsiTheme="minorEastAsia" w:eastAsiaTheme="minorEastAsia"/>
                <w:spacing w:val="0"/>
                <w:sz w:val="18"/>
                <w:szCs w:val="18"/>
              </w:rPr>
              <w:t>√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ind w:right="-107" w:rightChars="-51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  <w:r>
              <w:rPr>
                <w:rFonts w:hint="eastAsia" w:cs="方正仿宋_GBK" w:asciiTheme="minorEastAsia" w:hAnsiTheme="minorEastAsia" w:eastAsiaTheme="minorEastAsia"/>
                <w:spacing w:val="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napToGrid w:val="0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napToGrid w:val="0"/>
                <w:spacing w:val="0"/>
                <w:sz w:val="18"/>
                <w:szCs w:val="18"/>
              </w:rPr>
            </w:pPr>
          </w:p>
        </w:tc>
        <w:tc>
          <w:tcPr>
            <w:tcW w:w="765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财政拨款收支情况表：①财政拨款收支总体情况表。②一般公共预算支出情况表。③一般公共预算基本支出情况表。④一般公共预算“三公”经费支出情况表。⑤政府性基金预算支出情况表。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napToGrid w:val="0"/>
                <w:spacing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pStyle w:val="10"/>
              <w:shd w:val="clear" w:color="auto" w:fill="auto"/>
              <w:tabs>
                <w:tab w:val="left" w:pos="1069"/>
              </w:tabs>
              <w:adjustRightInd w:val="0"/>
              <w:snapToGrid w:val="0"/>
              <w:jc w:val="left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napToGrid w:val="0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napToGrid w:val="0"/>
                <w:spacing w:val="0"/>
                <w:sz w:val="18"/>
                <w:szCs w:val="18"/>
              </w:rPr>
            </w:pPr>
          </w:p>
        </w:tc>
        <w:tc>
          <w:tcPr>
            <w:tcW w:w="765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一般公共预算支出情况表公开到功能分类项级科目。一般公共预算基本支出表公开到经济分类款级科目。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napToGrid w:val="0"/>
                <w:spacing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pStyle w:val="10"/>
              <w:shd w:val="clear" w:color="auto" w:fill="auto"/>
              <w:tabs>
                <w:tab w:val="left" w:pos="1069"/>
              </w:tabs>
              <w:adjustRightInd w:val="0"/>
              <w:snapToGrid w:val="0"/>
              <w:jc w:val="left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napToGrid w:val="0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napToGrid w:val="0"/>
                <w:spacing w:val="0"/>
                <w:sz w:val="18"/>
                <w:szCs w:val="18"/>
              </w:rPr>
            </w:pPr>
          </w:p>
        </w:tc>
        <w:tc>
          <w:tcPr>
            <w:tcW w:w="765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，并对增减变化情况（与预算对比）进行说明。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napToGrid w:val="0"/>
                <w:spacing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pStyle w:val="10"/>
              <w:shd w:val="clear" w:color="auto" w:fill="auto"/>
              <w:tabs>
                <w:tab w:val="left" w:pos="1069"/>
              </w:tabs>
              <w:adjustRightInd w:val="0"/>
              <w:snapToGrid w:val="0"/>
              <w:jc w:val="left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napToGrid w:val="0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napToGrid w:val="0"/>
                <w:spacing w:val="0"/>
                <w:sz w:val="18"/>
                <w:szCs w:val="18"/>
              </w:rPr>
            </w:pPr>
          </w:p>
        </w:tc>
        <w:tc>
          <w:tcPr>
            <w:tcW w:w="765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本部门职责、机构设置情况、决算收支增减变化、机关运行经费安排以及政府采购（主要包括部门政府采购支出总金额，货物、工程、服务的采购金额，授予中小企业的合同金额及占政府采购支出总金额的比重）等情况的说明，并对专业性较强的名词进行解释。结合工作进展情况，逐步公开国有资产占用、绩效评价结果等情况。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napToGrid w:val="0"/>
                <w:spacing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pStyle w:val="10"/>
              <w:shd w:val="clear" w:color="auto" w:fill="auto"/>
              <w:tabs>
                <w:tab w:val="left" w:pos="1069"/>
              </w:tabs>
              <w:adjustRightInd w:val="0"/>
              <w:snapToGrid w:val="0"/>
              <w:jc w:val="left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napToGrid w:val="0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napToGrid w:val="0"/>
                <w:spacing w:val="0"/>
                <w:sz w:val="18"/>
                <w:szCs w:val="18"/>
              </w:rPr>
            </w:pPr>
          </w:p>
        </w:tc>
        <w:tc>
          <w:tcPr>
            <w:tcW w:w="765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没有数据的表格应当列出空表并说明。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napToGrid w:val="0"/>
                <w:spacing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pStyle w:val="10"/>
              <w:shd w:val="clear" w:color="auto" w:fill="auto"/>
              <w:tabs>
                <w:tab w:val="left" w:pos="1069"/>
              </w:tabs>
              <w:adjustRightInd w:val="0"/>
              <w:snapToGrid w:val="0"/>
              <w:jc w:val="left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pStyle w:val="12"/>
              <w:shd w:val="clear" w:color="auto" w:fill="auto"/>
              <w:spacing w:before="0" w:after="0" w:line="240" w:lineRule="exact"/>
              <w:jc w:val="center"/>
              <w:rPr>
                <w:rFonts w:cs="方正仿宋_GBK" w:asciiTheme="minorEastAsia" w:hAnsiTheme="minorEastAsia" w:eastAsiaTheme="minorEastAsia"/>
                <w:spacing w:val="0"/>
                <w:sz w:val="18"/>
                <w:szCs w:val="18"/>
              </w:rPr>
            </w:pPr>
          </w:p>
        </w:tc>
      </w:tr>
    </w:tbl>
    <w:p>
      <w:pPr>
        <w:rPr>
          <w:rFonts w:asciiTheme="minorEastAsia" w:hAnsiTheme="minorEastAsia" w:eastAsiaTheme="minorEastAsia"/>
          <w:sz w:val="18"/>
          <w:szCs w:val="18"/>
        </w:rPr>
      </w:pPr>
    </w:p>
    <w:p>
      <w:pPr>
        <w:rPr>
          <w:rFonts w:asciiTheme="minorEastAsia" w:hAnsiTheme="minorEastAsia" w:eastAsiaTheme="minorEastAsia"/>
          <w:sz w:val="18"/>
          <w:szCs w:val="18"/>
        </w:rPr>
      </w:pPr>
    </w:p>
    <w:p>
      <w:pPr>
        <w:rPr>
          <w:rFonts w:asciiTheme="minorEastAsia" w:hAnsiTheme="minorEastAsia" w:eastAsiaTheme="minorEastAsia"/>
          <w:sz w:val="18"/>
          <w:szCs w:val="18"/>
        </w:rPr>
      </w:pPr>
    </w:p>
    <w:sectPr>
      <w:pgSz w:w="16838" w:h="11906" w:orient="landscape"/>
      <w:pgMar w:top="709" w:right="1440" w:bottom="70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D5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正文文本 (2) Exact"/>
    <w:link w:val="7"/>
    <w:uiPriority w:val="0"/>
    <w:rPr>
      <w:rFonts w:ascii="MingLiU" w:hAnsi="MingLiU" w:eastAsia="MingLiU" w:cs="MingLiU"/>
      <w:spacing w:val="10"/>
      <w:sz w:val="17"/>
      <w:szCs w:val="17"/>
      <w:shd w:val="clear" w:color="auto" w:fill="FFFFFF"/>
    </w:rPr>
  </w:style>
  <w:style w:type="paragraph" w:customStyle="1" w:styleId="7">
    <w:name w:val="正文文本 (2)"/>
    <w:basedOn w:val="1"/>
    <w:link w:val="6"/>
    <w:uiPriority w:val="0"/>
    <w:pPr>
      <w:shd w:val="clear" w:color="auto" w:fill="FFFFFF"/>
      <w:spacing w:line="238" w:lineRule="exact"/>
      <w:jc w:val="distribute"/>
    </w:pPr>
    <w:rPr>
      <w:rFonts w:ascii="MingLiU" w:hAnsi="MingLiU" w:eastAsia="MingLiU" w:cs="MingLiU"/>
      <w:spacing w:val="10"/>
      <w:sz w:val="17"/>
      <w:szCs w:val="17"/>
    </w:rPr>
  </w:style>
  <w:style w:type="character" w:customStyle="1" w:styleId="8">
    <w:name w:val="正文文本 (2) + 间距 3 pt Exact"/>
    <w:qFormat/>
    <w:uiPriority w:val="0"/>
    <w:rPr>
      <w:rFonts w:ascii="MingLiU" w:hAnsi="MingLiU" w:eastAsia="MingLiU" w:cs="MingLiU"/>
      <w:color w:val="000000"/>
      <w:spacing w:val="60"/>
      <w:w w:val="100"/>
      <w:position w:val="0"/>
      <w:sz w:val="17"/>
      <w:szCs w:val="17"/>
      <w:u w:val="none"/>
      <w:lang w:val="zh-CN" w:eastAsia="zh-CN" w:bidi="zh-CN"/>
    </w:rPr>
  </w:style>
  <w:style w:type="character" w:customStyle="1" w:styleId="9">
    <w:name w:val="正文文本 (7) Exact"/>
    <w:link w:val="10"/>
    <w:uiPriority w:val="0"/>
    <w:rPr>
      <w:rFonts w:ascii="MingLiU" w:hAnsi="MingLiU" w:eastAsia="MingLiU" w:cs="MingLiU"/>
      <w:spacing w:val="20"/>
      <w:sz w:val="16"/>
      <w:szCs w:val="16"/>
      <w:shd w:val="clear" w:color="auto" w:fill="FFFFFF"/>
    </w:rPr>
  </w:style>
  <w:style w:type="paragraph" w:customStyle="1" w:styleId="10">
    <w:name w:val="正文文本 (7)"/>
    <w:basedOn w:val="1"/>
    <w:link w:val="9"/>
    <w:uiPriority w:val="0"/>
    <w:pPr>
      <w:shd w:val="clear" w:color="auto" w:fill="FFFFFF"/>
      <w:spacing w:line="216" w:lineRule="exact"/>
      <w:jc w:val="distribute"/>
    </w:pPr>
    <w:rPr>
      <w:rFonts w:ascii="MingLiU" w:hAnsi="MingLiU" w:eastAsia="MingLiU" w:cs="MingLiU"/>
      <w:spacing w:val="20"/>
      <w:sz w:val="16"/>
      <w:szCs w:val="16"/>
    </w:rPr>
  </w:style>
  <w:style w:type="character" w:customStyle="1" w:styleId="11">
    <w:name w:val="正文文本 (2) + 间距 1 pt Exact"/>
    <w:uiPriority w:val="0"/>
    <w:rPr>
      <w:rFonts w:ascii="MingLiU" w:hAnsi="MingLiU" w:eastAsia="MingLiU" w:cs="MingLiU"/>
      <w:color w:val="000000"/>
      <w:spacing w:val="30"/>
      <w:w w:val="100"/>
      <w:position w:val="0"/>
      <w:sz w:val="17"/>
      <w:szCs w:val="17"/>
      <w:u w:val="none"/>
      <w:lang w:val="zh-CN" w:eastAsia="zh-CN" w:bidi="zh-CN"/>
    </w:rPr>
  </w:style>
  <w:style w:type="paragraph" w:customStyle="1" w:styleId="12">
    <w:name w:val="正文文本 (3)"/>
    <w:basedOn w:val="1"/>
    <w:qFormat/>
    <w:uiPriority w:val="0"/>
    <w:pPr>
      <w:shd w:val="clear" w:color="auto" w:fill="FFFFFF"/>
      <w:spacing w:before="60" w:after="1340" w:line="280" w:lineRule="exact"/>
      <w:jc w:val="right"/>
    </w:pPr>
    <w:rPr>
      <w:rFonts w:ascii="MingLiU" w:hAnsi="MingLiU" w:eastAsia="MingLiU" w:cs="MingLiU"/>
      <w:spacing w:val="20"/>
      <w:sz w:val="28"/>
      <w:szCs w:val="28"/>
    </w:rPr>
  </w:style>
  <w:style w:type="character" w:customStyle="1" w:styleId="13">
    <w:name w:val="页眉 Char"/>
    <w:basedOn w:val="5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A8C7D9-BFA0-411A-BC77-1AD5654C56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615</Words>
  <Characters>3508</Characters>
  <Lines>29</Lines>
  <Paragraphs>8</Paragraphs>
  <TotalTime>1084</TotalTime>
  <ScaleCrop>false</ScaleCrop>
  <LinksUpToDate>false</LinksUpToDate>
  <CharactersWithSpaces>4115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2020-09-22T06:00:00Z</dcterms:created>
  <dc:creator>汪长兵</dc:creator>
  <cp:lastModifiedBy>Administrator</cp:lastModifiedBy>
  <dcterms:modified xsi:type="dcterms:W3CDTF">2021-05-25T02:05:55Z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B83019A13C0F42D1BF6DFD7663269308</vt:lpwstr>
  </property>
</Properties>
</file>