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napToGrid w:val="0"/>
        <w:spacing w:line="610" w:lineRule="exact"/>
        <w:jc w:val="center"/>
        <w:rPr>
          <w:rFonts w:eastAsia="方正小标宋_GBK"/>
          <w:bCs/>
          <w:spacing w:val="-23"/>
          <w:sz w:val="44"/>
          <w:szCs w:val="44"/>
        </w:rPr>
      </w:pPr>
      <w:bookmarkStart w:id="0" w:name="_GoBack"/>
      <w:bookmarkEnd w:id="0"/>
      <w:r>
        <w:rPr>
          <w:rFonts w:eastAsia="方正小标宋_GBK"/>
          <w:bCs/>
          <w:spacing w:val="-23"/>
          <w:sz w:val="44"/>
          <w:szCs w:val="44"/>
        </w:rPr>
        <w:t>渝北区石船镇20</w:t>
      </w:r>
      <w:r>
        <w:rPr>
          <w:rFonts w:hint="eastAsia" w:eastAsia="方正小标宋_GBK"/>
          <w:bCs/>
          <w:spacing w:val="-23"/>
          <w:sz w:val="44"/>
          <w:szCs w:val="44"/>
        </w:rPr>
        <w:t>22</w:t>
      </w:r>
      <w:r>
        <w:rPr>
          <w:rFonts w:eastAsia="方正小标宋_GBK"/>
          <w:bCs/>
          <w:spacing w:val="-23"/>
          <w:sz w:val="44"/>
          <w:szCs w:val="44"/>
        </w:rPr>
        <w:t>年财政预算执行情况和</w:t>
      </w:r>
    </w:p>
    <w:p>
      <w:pPr>
        <w:tabs>
          <w:tab w:val="left" w:pos="4680"/>
        </w:tabs>
        <w:snapToGrid w:val="0"/>
        <w:spacing w:line="610" w:lineRule="exact"/>
        <w:jc w:val="center"/>
        <w:rPr>
          <w:rFonts w:eastAsia="方正小标宋_GBK"/>
          <w:bCs/>
          <w:spacing w:val="-23"/>
          <w:sz w:val="44"/>
          <w:szCs w:val="44"/>
        </w:rPr>
      </w:pPr>
      <w:r>
        <w:rPr>
          <w:rFonts w:eastAsia="方正小标宋_GBK"/>
          <w:bCs/>
          <w:spacing w:val="-23"/>
          <w:sz w:val="44"/>
          <w:szCs w:val="44"/>
        </w:rPr>
        <w:t>202</w:t>
      </w:r>
      <w:r>
        <w:rPr>
          <w:rFonts w:hint="eastAsia" w:eastAsia="方正小标宋_GBK"/>
          <w:bCs/>
          <w:spacing w:val="-23"/>
          <w:sz w:val="44"/>
          <w:szCs w:val="44"/>
        </w:rPr>
        <w:t>3</w:t>
      </w:r>
      <w:r>
        <w:rPr>
          <w:rFonts w:eastAsia="方正小标宋_GBK"/>
          <w:bCs/>
          <w:spacing w:val="-23"/>
          <w:sz w:val="44"/>
          <w:szCs w:val="44"/>
        </w:rPr>
        <w:t>年财政预算</w:t>
      </w:r>
      <w:r>
        <w:rPr>
          <w:rFonts w:hint="eastAsia" w:eastAsia="方正小标宋_GBK"/>
          <w:bCs/>
          <w:spacing w:val="-23"/>
          <w:sz w:val="44"/>
          <w:szCs w:val="44"/>
        </w:rPr>
        <w:t>草案</w:t>
      </w:r>
      <w:r>
        <w:rPr>
          <w:rFonts w:eastAsia="方正小标宋_GBK"/>
          <w:bCs/>
          <w:spacing w:val="-23"/>
          <w:sz w:val="44"/>
          <w:szCs w:val="44"/>
        </w:rPr>
        <w:t>报告</w:t>
      </w:r>
    </w:p>
    <w:p>
      <w:pPr>
        <w:spacing w:line="560" w:lineRule="exact"/>
        <w:jc w:val="center"/>
        <w:rPr>
          <w:rFonts w:eastAsia="方正楷体_GBK"/>
          <w:bCs/>
          <w:spacing w:val="-34"/>
          <w:sz w:val="32"/>
          <w:szCs w:val="32"/>
        </w:rPr>
      </w:pPr>
      <w:r>
        <w:rPr>
          <w:rFonts w:eastAsia="方正楷体_GBK"/>
          <w:bCs/>
          <w:spacing w:val="-34"/>
          <w:sz w:val="32"/>
          <w:szCs w:val="32"/>
        </w:rPr>
        <w:t>——202</w:t>
      </w:r>
      <w:r>
        <w:rPr>
          <w:rFonts w:hint="eastAsia" w:eastAsia="方正楷体_GBK"/>
          <w:bCs/>
          <w:spacing w:val="-34"/>
          <w:sz w:val="32"/>
          <w:szCs w:val="32"/>
        </w:rPr>
        <w:t>3</w:t>
      </w:r>
      <w:r>
        <w:rPr>
          <w:rFonts w:eastAsia="方正楷体_GBK"/>
          <w:bCs/>
          <w:spacing w:val="-34"/>
          <w:sz w:val="32"/>
          <w:szCs w:val="32"/>
        </w:rPr>
        <w:t>年</w:t>
      </w:r>
      <w:r>
        <w:rPr>
          <w:rFonts w:hint="eastAsia" w:eastAsia="方正楷体_GBK"/>
          <w:bCs/>
          <w:spacing w:val="-34"/>
          <w:sz w:val="32"/>
          <w:szCs w:val="32"/>
        </w:rPr>
        <w:t>2</w:t>
      </w:r>
      <w:r>
        <w:rPr>
          <w:rFonts w:eastAsia="方正楷体_GBK"/>
          <w:bCs/>
          <w:spacing w:val="-34"/>
          <w:sz w:val="32"/>
          <w:szCs w:val="32"/>
        </w:rPr>
        <w:t>月</w:t>
      </w:r>
      <w:r>
        <w:rPr>
          <w:rFonts w:hint="eastAsia" w:eastAsia="方正楷体_GBK"/>
          <w:bCs/>
          <w:spacing w:val="-34"/>
          <w:sz w:val="32"/>
          <w:szCs w:val="32"/>
        </w:rPr>
        <w:t xml:space="preserve"> </w:t>
      </w:r>
      <w:r>
        <w:rPr>
          <w:rFonts w:eastAsia="方正楷体_GBK"/>
          <w:bCs/>
          <w:spacing w:val="-34"/>
          <w:sz w:val="32"/>
          <w:szCs w:val="32"/>
        </w:rPr>
        <w:t>15日渝北区石船镇第二十届人民代表大会第</w:t>
      </w:r>
      <w:r>
        <w:rPr>
          <w:rFonts w:hint="eastAsia" w:eastAsia="方正楷体_GBK"/>
          <w:bCs/>
          <w:spacing w:val="-34"/>
          <w:sz w:val="32"/>
          <w:szCs w:val="32"/>
        </w:rPr>
        <w:t>三次</w:t>
      </w:r>
      <w:r>
        <w:rPr>
          <w:rFonts w:eastAsia="方正楷体_GBK"/>
          <w:bCs/>
          <w:spacing w:val="-34"/>
          <w:sz w:val="32"/>
          <w:szCs w:val="32"/>
        </w:rPr>
        <w:t>会议上</w:t>
      </w:r>
    </w:p>
    <w:p>
      <w:pPr>
        <w:spacing w:line="560" w:lineRule="exact"/>
        <w:jc w:val="center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渝北区石船镇财政办</w:t>
      </w:r>
    </w:p>
    <w:p>
      <w:pPr>
        <w:tabs>
          <w:tab w:val="left" w:pos="4680"/>
        </w:tabs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各位代表：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受镇人民政府委托，向大会书面报告20</w:t>
      </w:r>
      <w:r>
        <w:rPr>
          <w:rFonts w:hint="eastAsia" w:eastAsia="方正仿宋_GBK"/>
          <w:color w:val="000000"/>
          <w:sz w:val="32"/>
          <w:szCs w:val="32"/>
        </w:rPr>
        <w:t>22</w:t>
      </w:r>
      <w:r>
        <w:rPr>
          <w:rFonts w:eastAsia="方正仿宋_GBK"/>
          <w:color w:val="000000"/>
          <w:sz w:val="32"/>
          <w:szCs w:val="32"/>
        </w:rPr>
        <w:t>年财政预算执行情况和202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年财政预算草案，请予审议，并请列席代表提出意见。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一、20</w:t>
      </w:r>
      <w:r>
        <w:rPr>
          <w:rFonts w:hint="eastAsia" w:eastAsia="方正黑体_GBK"/>
          <w:color w:val="000000"/>
          <w:sz w:val="32"/>
          <w:szCs w:val="32"/>
        </w:rPr>
        <w:t>22</w:t>
      </w:r>
      <w:r>
        <w:rPr>
          <w:rFonts w:eastAsia="方正黑体_GBK"/>
          <w:color w:val="000000"/>
          <w:sz w:val="32"/>
          <w:szCs w:val="32"/>
        </w:rPr>
        <w:t>年财政预算执行情况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2022年，是党的二十大召开之年。一年来，镇财政工作在镇党委的坚强领导下，在镇人大的监督支持下，坚持以习近平新时代中国特色社会主义思想为指导，全面贯彻落实党的十九大、十九届历次全会精神以及党的二十大精神，落实市委、市政府、区委、区政府各项安排部署，坚持稳中求进总基调，按照疫情要防住、经济要稳住、发展要安全的重大要求，统筹疫情防控和经济社会发展，财政运行总体良好，较好地完成了镇第二十届人代会第一次会议批准的《渝北区石船镇2021年财政预算执行情况和2022年财政预算草案报告》，以及镇第二十届人代会第二次会议批准的预算调整方案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（一）财政预算执行情况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1.总财力平衡情况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收入总计17041万元，其中：上级补助收入13070万元、动用上年预算稳定调节基金1961万元、上年结余收入1535万元、调入资金475万元。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支出总计17041万元，其中：地方财政支出13102万元、上解支出43万元、调出资金475万元、安排下年预算稳定调节基金2530万元、年终结余891万元。（详见附表1）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2.一般公共预算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收入总计16279万元，其中：上级补助收入12949万元、动用上年预算稳定调节基金1961万元、上年结余收入894万元、调入资金475万元。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支出总计16279万元，其中：地方本级支出12826万元、上解支出33万元、安排下年预算稳定调节基金2530万元、年终结余890万元。主要支出情况如下：（详见附表2）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——公共安全支出535万元，增长24%。主要用于：网格化社会治理经费109万元、专职消防队运行经费86万元、基层信访维稳经费40万元、石船场镇违停抓拍系统建设40万元、安全工作经费32万元等。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文化旅游体育与传媒支出</w:t>
      </w:r>
      <w:r>
        <w:rPr>
          <w:rFonts w:hint="eastAsia" w:eastAsia="方正仿宋_GBK"/>
          <w:sz w:val="32"/>
          <w:szCs w:val="32"/>
        </w:rPr>
        <w:t>237万元，增长40%。主要用于：全民健身广场建设116万元、流动文化进村经费10万元、全国文明城区建设经费5万元、全民健身体育活动经费5万元等。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——社会保障和就业支出3905万元，与上年基本持平。主要用于：特困人员供养经费712万元、城乡低保金665万元、优抚对象定额补助588万元、老年人高龄津贴138万元、临时救助支出134万元等。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——卫生健康支出1010万元，增长16%。主要用于：计生惠民资金601万元、新冠疫情防控资金188万元、优抚对象医疗补助金58万元等。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——节能环保支出348万元，下降26%。主要用于：村社保洁员经费178万元、固体废物清运经费168万元等。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城乡社区支出</w:t>
      </w:r>
      <w:r>
        <w:rPr>
          <w:rFonts w:hint="eastAsia" w:eastAsia="方正仿宋_GBK"/>
          <w:sz w:val="32"/>
          <w:szCs w:val="32"/>
        </w:rPr>
        <w:t>1269万元，下降10%。主要用于：场镇维护经费280万元、农村旧房整治提升工程62万元、石船公园栈道工程尾款60万元、油渣湾临时停车场工程尾款44万元、桥湾路新建工程尾款36万元等。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农林水支出3520万元，增长7%。主要用于：农村综合改革一事一议奖补项目资金272万元、村干部参加社会保险缴费补助249万元、关兴石壁缺水片区农田减产补助182万元、国土绿化项目资金129万元、森林防火相关经费129万元、粮油生产基地宜机化改造111万元、“情定关兴”农旅融合示范项目70万元、松材线虫病除治经费69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——交通运输支出167万元，下降74%。主要用于：农村公路建设资金85万元、公路养护经费50万元等。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——自然资源海洋气象等支出213万元，下降2%。用于：重点生态保护修复治理专项资金167万元、铜锣山矿山公园管委会办公及运行经费46万元。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——住房保障支出197万元，增长5%。主要用于：职工住房公积金175万元等。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——灾害防治及应急管理支出117万元，下降39%。主要用于：地质灾害防治项目资金85万元等。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3.政府性基金预算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收入总计762万元，其中：上级补助收入121万元、上年结余收入641万元。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支出总计762万元，其中：地方本级支出276万元、上解上级支出10万元、调出资金475万元、年终结余0.2万元。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</w:t>
      </w:r>
      <w:r>
        <w:rPr>
          <w:rFonts w:hint="eastAsia" w:eastAsia="方正楷体_GBK"/>
          <w:sz w:val="32"/>
          <w:szCs w:val="32"/>
        </w:rPr>
        <w:t>其他</w:t>
      </w:r>
      <w:r>
        <w:rPr>
          <w:rFonts w:eastAsia="方正楷体_GBK"/>
          <w:sz w:val="32"/>
          <w:szCs w:val="32"/>
        </w:rPr>
        <w:t>有关事项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税收及非税收入情况。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本级财政收入完成2327万元：一是税收收入2211万元，其中：增值税1622万元、企业所得税37万元、个人所得税1万元、印花税26万元、</w:t>
      </w:r>
      <w:r>
        <w:rPr>
          <w:rFonts w:hint="eastAsia" w:ascii="方正仿宋_GBK" w:eastAsia="方正仿宋_GBK"/>
          <w:sz w:val="32"/>
          <w:szCs w:val="32"/>
          <w:lang w:eastAsia="zh-CN"/>
        </w:rPr>
        <w:t>地方教育附加</w:t>
      </w:r>
      <w:r>
        <w:rPr>
          <w:rFonts w:hint="eastAsia" w:ascii="方正仿宋_GBK" w:eastAsia="方正仿宋_GBK"/>
          <w:sz w:val="32"/>
          <w:szCs w:val="32"/>
        </w:rPr>
        <w:t>23万元、城建税89万元、土地使用税295万元、房产税81万元、教育费附加34万元、残保金3万元；二是非税收入116万元，全部为行政单位国有资产出租出借收入。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2.转移性收入情况。区对镇补助收入13070万元，下降7%，其中：一般性转移支付收入8560万元、下降3%；专项转移支付收入4510万元、下降15%。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3.“三公”经费支出情况。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“三公”经费支出65万元，比上年增加35万元，增长117%。一是公务接待费支出10万元，比上年增加2万元，增长25%，主要原因为因工作需要，增加了接待的批次及人次；二是公务用车购置费34万元，原因为因工作需要，新购2辆公务用车；三是公务用车运行维护费支出21万元，比上年减少1万元，下降5%，主要原因为严格执行公务用车定点加油、定点维修制度，严禁公车私用。</w:t>
      </w:r>
    </w:p>
    <w:p>
      <w:pPr>
        <w:numPr>
          <w:ilvl w:val="0"/>
          <w:numId w:val="1"/>
        </w:num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预备费使用情况。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年初预留206万元预备费，实际动用预备费191万元，主要用于追加退休干部死亡抚恤、公务用车购置经费、石船卫生院疫情防控及基本公共卫生服务工作经费等。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二、2022年财政工作情况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楷体_GBK" w:eastAsia="方正楷体_GBK"/>
          <w:b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>（一）</w:t>
      </w:r>
      <w:r>
        <w:rPr>
          <w:rFonts w:hint="eastAsia" w:ascii="方正楷体_GBK" w:eastAsia="方正楷体_GBK"/>
          <w:b/>
          <w:bCs/>
          <w:sz w:val="32"/>
          <w:szCs w:val="32"/>
        </w:rPr>
        <w:t>强化保障，力补民生短板。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坚持以人民为中心的发展理念，统筹好一般公共预算和政府性基金预算，努力补准补齐民生短板。一是进一步提高社会保障水平。社会保障资金支出3905万元，与上年基本持平，主要用于保障城乡低保户、五保户、优抚对象、残疾人、老年人等弱势群体基本生活。二是加大对农村基础设施建设投入。安排农村综合改革一事一议奖补项目资金272万元，用于建设村内道路、安装路灯等，有效改善了农村生产生活条件；安排全民健身广场建设资金116万元，为群众体育活动提供场地保障。三是加大环境保护及日常保洁投入，生产生活环境明显改善。安排178万元用于村社保洁，安排167万元用于重点生态保护修复治理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楷体_GBK" w:eastAsia="方正楷体_GBK"/>
          <w:b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>（二）</w:t>
      </w:r>
      <w:r>
        <w:rPr>
          <w:rFonts w:hint="eastAsia" w:ascii="方正楷体_GBK" w:eastAsia="方正楷体_GBK"/>
          <w:b/>
          <w:bCs/>
          <w:sz w:val="32"/>
          <w:szCs w:val="32"/>
        </w:rPr>
        <w:t>强化规范，提升管理绩效。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围绕推进国家治理体系和治理能力现代化要求，努力构建现代财政管理制度体系，促进财政管理绩效进一步提升。一是按照《预算法》要求，在科学合理编制预算的基础上，严格执行预算、按程序调整预算，做到“无预算不支出”；二是全面实施预算绩效管理，对所有本级预算项目按要求设置绩效目标并开展绩效自评；三是强化资产管理，全面清理各类应收应付款项，对各类应收款项挂账分类拟定处理方案，同时利用行政事业单位资产管理信息系统加强国有资产动态管理，确保国有资产安全不流失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楷体_GBK" w:eastAsia="方正楷体_GBK"/>
          <w:b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>（三）</w:t>
      </w:r>
      <w:r>
        <w:rPr>
          <w:rFonts w:hint="eastAsia" w:ascii="方正楷体_GBK" w:eastAsia="方正楷体_GBK"/>
          <w:b/>
          <w:bCs/>
          <w:sz w:val="32"/>
          <w:szCs w:val="32"/>
        </w:rPr>
        <w:t>强化监督，防范财经风险。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一是严格审核各类费用支出，做好支出事前控制；二是扎实做好支出事后核对工作，堵塞风险漏洞；三是以各级审计及内部审计为契机，不断改进财政监督工作。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各位代表，2022年我镇财政工作在镇党委的正确领导下，在镇人大的依法监督下，在全镇各部门的共同努力下，取得了阶段性成效。在看到成绩的同时，我们也清醒地认识到财政运行中还存在一些困难和问题：稳增长任务重；财政支出刚性需求增加，财政收支处于常态化的“紧平衡”状态；预算编制科学性不高，预算内资金支付进度缓慢与预算外支出过大的情况同时存在；预算绩效管理水平有待进一步提高等。面对困难和问题，我们将认真听取各位人大代表的意见和建议，采取多方面措施努力加以解决。       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</w:t>
      </w:r>
      <w:r>
        <w:rPr>
          <w:rFonts w:hint="eastAsia" w:eastAsia="方正黑体_GBK"/>
          <w:color w:val="000000"/>
          <w:sz w:val="32"/>
          <w:szCs w:val="32"/>
        </w:rPr>
        <w:t xml:space="preserve">2023年财政工作安排  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（一）抓好</w:t>
      </w:r>
      <w:r>
        <w:rPr>
          <w:rFonts w:hint="eastAsia" w:eastAsia="方正楷体_GBK"/>
          <w:sz w:val="32"/>
          <w:szCs w:val="32"/>
        </w:rPr>
        <w:t>预决算管理</w:t>
      </w:r>
      <w:r>
        <w:rPr>
          <w:rFonts w:eastAsia="方正楷体_GBK"/>
          <w:sz w:val="32"/>
          <w:szCs w:val="32"/>
        </w:rPr>
        <w:t>，提高理财水平</w:t>
      </w:r>
      <w:r>
        <w:rPr>
          <w:rFonts w:hint="eastAsia" w:eastAsia="方正楷体_GBK"/>
          <w:sz w:val="32"/>
          <w:szCs w:val="32"/>
        </w:rPr>
        <w:t>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一是继续做好预算管理工作，进一步做细、做实预算，完善预算编制与预算执行相结合的机制，</w:t>
      </w:r>
      <w:r>
        <w:rPr>
          <w:rFonts w:hint="eastAsia" w:eastAsia="方正仿宋_GBK"/>
          <w:sz w:val="32"/>
          <w:szCs w:val="32"/>
        </w:rPr>
        <w:t>落实绩效目标实现程度和预算执行进度“双监控”。二</w:t>
      </w:r>
      <w:r>
        <w:rPr>
          <w:rFonts w:eastAsia="方正仿宋_GBK"/>
          <w:sz w:val="32"/>
          <w:szCs w:val="32"/>
        </w:rPr>
        <w:t>是全面规范预算管理和切实硬化预算约束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积极推进事前、事中、事后全方位</w:t>
      </w:r>
      <w:r>
        <w:rPr>
          <w:rFonts w:hint="eastAsia" w:eastAsia="方正仿宋_GBK"/>
          <w:sz w:val="32"/>
          <w:szCs w:val="32"/>
        </w:rPr>
        <w:t>监督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三</w:t>
      </w:r>
      <w:r>
        <w:rPr>
          <w:rFonts w:eastAsia="方正仿宋_GBK"/>
          <w:sz w:val="32"/>
          <w:szCs w:val="32"/>
        </w:rPr>
        <w:t>是继续做好预决算公开工作，按照规定积极、稳妥、及时、准确地公开财政预决算情况、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三公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经费</w:t>
      </w:r>
      <w:r>
        <w:rPr>
          <w:rFonts w:hint="eastAsia" w:eastAsia="方正仿宋_GBK"/>
          <w:sz w:val="32"/>
          <w:szCs w:val="32"/>
        </w:rPr>
        <w:t>支出情况及</w:t>
      </w:r>
      <w:r>
        <w:rPr>
          <w:rFonts w:eastAsia="方正仿宋_GBK"/>
          <w:sz w:val="32"/>
          <w:szCs w:val="32"/>
        </w:rPr>
        <w:t>重大财政专项资金</w:t>
      </w:r>
      <w:r>
        <w:rPr>
          <w:rFonts w:hint="eastAsia" w:eastAsia="方正仿宋_GBK"/>
          <w:sz w:val="32"/>
          <w:szCs w:val="32"/>
        </w:rPr>
        <w:t>使用情况</w:t>
      </w:r>
      <w:r>
        <w:rPr>
          <w:rFonts w:eastAsia="方正仿宋_GBK"/>
          <w:sz w:val="32"/>
          <w:szCs w:val="32"/>
        </w:rPr>
        <w:t>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二</w:t>
      </w:r>
      <w:r>
        <w:rPr>
          <w:rFonts w:eastAsia="方正楷体_GBK"/>
          <w:sz w:val="32"/>
          <w:szCs w:val="32"/>
        </w:rPr>
        <w:t>）</w:t>
      </w:r>
      <w:r>
        <w:rPr>
          <w:rFonts w:hint="eastAsia" w:eastAsia="方正楷体_GBK"/>
          <w:sz w:val="32"/>
          <w:szCs w:val="32"/>
        </w:rPr>
        <w:t>优化支出结构，持续提升民生保障。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</w:t>
      </w:r>
      <w:r>
        <w:rPr>
          <w:rFonts w:hint="eastAsia" w:eastAsia="方正仿宋_GBK"/>
          <w:sz w:val="32"/>
          <w:szCs w:val="32"/>
        </w:rPr>
        <w:t>要认真贯彻上级关于大力压缩一般性支出的各项要求，严控新增不必要的支出，在落实好“保基本民生、保工资、保运转”的基础上，集中财力办大事。二是要完善保障和改善民生财政投入机制，集中财力加强普惠性、基础性、兜底性民生建设，筑牢民生保障底线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三</w:t>
      </w:r>
      <w:r>
        <w:rPr>
          <w:rFonts w:eastAsia="方正楷体_GBK"/>
          <w:sz w:val="32"/>
          <w:szCs w:val="32"/>
        </w:rPr>
        <w:t>）改进工作作风，加强队伍建设</w:t>
      </w:r>
      <w:r>
        <w:rPr>
          <w:rFonts w:hint="eastAsia" w:eastAsia="方正楷体_GBK"/>
          <w:sz w:val="32"/>
          <w:szCs w:val="32"/>
        </w:rPr>
        <w:t>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一是坚持以习近平新时代中国特色社会主义思想为指导，</w:t>
      </w:r>
      <w:r>
        <w:rPr>
          <w:rFonts w:hint="eastAsia" w:eastAsia="方正仿宋_GBK"/>
          <w:sz w:val="32"/>
          <w:szCs w:val="32"/>
        </w:rPr>
        <w:t>知责于心、担责于身、履责于行，不断擦亮为人民服务的底色</w:t>
      </w:r>
      <w:r>
        <w:rPr>
          <w:rFonts w:eastAsia="方正仿宋_GBK"/>
          <w:sz w:val="32"/>
          <w:szCs w:val="32"/>
        </w:rPr>
        <w:t>。二是</w:t>
      </w:r>
      <w:r>
        <w:rPr>
          <w:rFonts w:hint="eastAsia" w:eastAsia="方正仿宋_GBK"/>
          <w:sz w:val="32"/>
          <w:szCs w:val="32"/>
        </w:rPr>
        <w:t>要以预算一体化等各项财政改革为契机，</w:t>
      </w:r>
      <w:r>
        <w:rPr>
          <w:rFonts w:eastAsia="方正仿宋_GBK"/>
          <w:sz w:val="32"/>
          <w:szCs w:val="32"/>
        </w:rPr>
        <w:t>加大财政干部培训力度，持续</w:t>
      </w:r>
      <w:r>
        <w:rPr>
          <w:rFonts w:hint="eastAsia" w:eastAsia="方正仿宋_GBK"/>
          <w:sz w:val="32"/>
          <w:szCs w:val="32"/>
        </w:rPr>
        <w:t>提升</w:t>
      </w:r>
      <w:r>
        <w:rPr>
          <w:rFonts w:eastAsia="方正仿宋_GBK"/>
          <w:sz w:val="32"/>
          <w:szCs w:val="32"/>
        </w:rPr>
        <w:t>财政干部业务能力和综合素质，提高工作质量和办事效率。三是不断加强作风建设、廉政建设，筑牢财政干部做事底线和纪律红线。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四</w:t>
      </w:r>
      <w:r>
        <w:rPr>
          <w:rFonts w:eastAsia="方正黑体_GBK"/>
          <w:color w:val="000000"/>
          <w:sz w:val="32"/>
          <w:szCs w:val="32"/>
        </w:rPr>
        <w:t>、</w:t>
      </w:r>
      <w:r>
        <w:rPr>
          <w:rFonts w:eastAsia="方正黑体_GBK"/>
          <w:sz w:val="32"/>
          <w:szCs w:val="32"/>
        </w:rPr>
        <w:t>202</w:t>
      </w:r>
      <w:r>
        <w:rPr>
          <w:rFonts w:hint="eastAsia" w:eastAsia="方正黑体_GBK"/>
          <w:sz w:val="32"/>
          <w:szCs w:val="32"/>
        </w:rPr>
        <w:t>3</w:t>
      </w:r>
      <w:r>
        <w:rPr>
          <w:rFonts w:eastAsia="方正黑体_GBK"/>
          <w:sz w:val="32"/>
          <w:szCs w:val="32"/>
        </w:rPr>
        <w:t>年财政预算</w:t>
      </w:r>
      <w:r>
        <w:rPr>
          <w:rFonts w:hint="eastAsia" w:eastAsia="方正黑体_GBK"/>
          <w:sz w:val="32"/>
          <w:szCs w:val="32"/>
        </w:rPr>
        <w:t>草案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指导思想：</w:t>
      </w:r>
      <w:r>
        <w:rPr>
          <w:rFonts w:eastAsia="方正仿宋_GBK"/>
          <w:sz w:val="32"/>
          <w:szCs w:val="32"/>
        </w:rPr>
        <w:t>镇财政将全面围绕镇党委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政府工作主线，认真贯彻各项财政改革精神，落实重大决策部署；压缩一般</w:t>
      </w:r>
      <w:r>
        <w:rPr>
          <w:rFonts w:hint="eastAsia" w:eastAsia="方正仿宋_GBK"/>
          <w:sz w:val="32"/>
          <w:szCs w:val="32"/>
        </w:rPr>
        <w:t>性支出</w:t>
      </w:r>
      <w:r>
        <w:rPr>
          <w:rFonts w:eastAsia="方正仿宋_GBK"/>
          <w:sz w:val="32"/>
          <w:szCs w:val="32"/>
        </w:rPr>
        <w:t>，精减专项</w:t>
      </w:r>
      <w:r>
        <w:rPr>
          <w:rFonts w:hint="eastAsia" w:eastAsia="方正仿宋_GBK"/>
          <w:sz w:val="32"/>
          <w:szCs w:val="32"/>
        </w:rPr>
        <w:t>支出</w:t>
      </w:r>
      <w:r>
        <w:rPr>
          <w:rFonts w:eastAsia="方正仿宋_GBK"/>
          <w:sz w:val="32"/>
          <w:szCs w:val="32"/>
        </w:rPr>
        <w:t>，力保重点支出；严格贯彻落实中央八项规定精神，科学统筹使用财政资金，提升财政资金效益</w:t>
      </w:r>
      <w:r>
        <w:rPr>
          <w:rFonts w:hint="eastAsia" w:eastAsia="方正仿宋_GBK"/>
          <w:sz w:val="32"/>
          <w:szCs w:val="32"/>
        </w:rPr>
        <w:t>，为推动我镇经济社会高质量发展提供坚实的财力保障。</w:t>
      </w:r>
    </w:p>
    <w:p>
      <w:pPr>
        <w:spacing w:line="600" w:lineRule="exact"/>
        <w:ind w:right="180"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编制思路：一是收入预算要实事求是、积极稳妥，充分考虑税制改革调整、落实减税降费措施等因素的影响。二是支出预算要认真贯彻镇党委、政府决策部署，统筹安排重点支出。三是围绕“规范透明、标准科学”要求编细、编实政府预算。预算编制严格实施两套支出经济分类科目，切实保证预算、支付、核算一致性，提高预算编制精确性。四是推进财政资金统筹使用，提高有限资源配置效率，有力统筹预算结转结余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我镇2023年收入预计13730万元，其中：上级补助收入10309万元、动用上年预算稳定调节基金2530万元、上年结余收入891万元。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2023年支出预计13730万元，其中：一般公共预算支出     13730万元，政府性基金预算支出0.2万元。（详见附表3）</w:t>
      </w:r>
    </w:p>
    <w:p>
      <w:pPr>
        <w:pStyle w:val="8"/>
        <w:tabs>
          <w:tab w:val="left" w:pos="4680"/>
        </w:tabs>
        <w:spacing w:line="600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（一）一般公共预算草案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我镇2023年一般公共预算收入预计13730万元，增长5%。其中：上级补助收入10309万元、</w:t>
      </w:r>
      <w:r>
        <w:rPr>
          <w:rFonts w:hint="eastAsia" w:eastAsia="方正仿宋_GBK"/>
          <w:sz w:val="32"/>
          <w:szCs w:val="32"/>
        </w:rPr>
        <w:t>动用上年预算稳定调节基金2530万元、上年结余收入891万元。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一般公共预算支出安排13730万元，增长5%。主要支出预算安排如下：（详见附表4）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——一般公共服务支出安排1371万元，增长10%。主要用于：部门运转经费404万元、工会活动经费70万元、党员远程教育经费23万元、固定资产管理经费23万元、对外宣传经费20万元、党员轮训经费19万元等。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——公共安全支出安排327万元，下降37%。主要用于：网格化社会治理经费97万元、信访维稳经费30万元、派出所公巡大队巡逻经费20万元等。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文化旅游体育与传媒支出安排</w:t>
      </w:r>
      <w:r>
        <w:rPr>
          <w:rFonts w:hint="eastAsia" w:eastAsia="方正仿宋_GBK"/>
          <w:sz w:val="32"/>
          <w:szCs w:val="32"/>
        </w:rPr>
        <w:t>174万元，下降51%。主要用于：关兴经果林乡村旅游配套道路建设（文旅专项资金）30万元、村级文化室运行经费39万元、文化演出活动经费12万元等。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——社会保障和就业支出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4076万元，增长11%。主要用于：特困人员供养经费720万元、城乡低保金599万元、优抚对象定额补助620万元、临时救助175万元、老年人高龄津贴167万元、贫困残疾人生活补贴和重度残疾人护理补贴105万元等。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——卫生健康支出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874万元，增长35%。主要用于：计生惠民资金410万元、新冠疫情防控经费240万元、职工医疗保险费及医保垫底资金147万元、优抚对象医疗补助71万元等。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城乡社区支出安排</w:t>
      </w:r>
      <w:r>
        <w:rPr>
          <w:rFonts w:hint="eastAsia" w:eastAsia="方正仿宋_GBK"/>
          <w:sz w:val="32"/>
          <w:szCs w:val="32"/>
        </w:rPr>
        <w:t>1384万元，增长21%。主要用于：国道G319花园岗段滑坡隐患整治资金469万元、农村垃圾分类经费103万元、场镇管护经费98万元、市政协管员工资50万元等。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——农林水支出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4259万元，增长19%。主要用于：农村公益事业财政奖补项目及中央美丽乡村奖补资金501万元、国土绿化项目资金264万元、村干部参加社会保险缴费补助260万元、关兴石壁缺水片区农田减产补助183万元、关兴村高区抗旱扩网工程资金178万元、农村“厕所革命”整村推进经费154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——交通运输支出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206万元，增长117%。主要用于：农村公路养护经费164万元等。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——自然资源海洋气象等支出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284万元，下降43%。用于：重点生态保护修复治理专项资金284万元。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——住房保障支出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170万元，增长77%。主要用于：职工住房公积金150万元等。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——灾害防治及应急管理支出</w:t>
      </w:r>
      <w:r>
        <w:rPr>
          <w:rFonts w:eastAsia="方正仿宋_GBK"/>
          <w:sz w:val="32"/>
          <w:szCs w:val="32"/>
        </w:rPr>
        <w:t>安排</w:t>
      </w:r>
      <w:r>
        <w:rPr>
          <w:rFonts w:hint="eastAsia" w:eastAsia="方正仿宋_GBK"/>
          <w:sz w:val="32"/>
          <w:szCs w:val="32"/>
        </w:rPr>
        <w:t>166万元，增长124%。主要用于：镇专职消防队运行经费96万元、安全工作经费55万元等。</w:t>
      </w:r>
    </w:p>
    <w:p>
      <w:pPr>
        <w:pStyle w:val="8"/>
        <w:tabs>
          <w:tab w:val="left" w:pos="4680"/>
        </w:tabs>
        <w:spacing w:line="600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（二）政府性基金预算草案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我镇2023年政府性基金预算收入预计0.2万元，其中:上年结余收入0.2万元。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政府性基金预算支出安排0.2万元，其中：地方本级支出0.2万元。</w:t>
      </w:r>
    </w:p>
    <w:p>
      <w:pPr>
        <w:pStyle w:val="8"/>
        <w:tabs>
          <w:tab w:val="left" w:pos="4680"/>
        </w:tabs>
        <w:spacing w:line="600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（三）其它有关事项</w:t>
      </w:r>
    </w:p>
    <w:p>
      <w:pPr>
        <w:tabs>
          <w:tab w:val="left" w:pos="4680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税收及非税收入情况。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2023年本级财政收入预计18216万元，其中税收收入18065万元，增长2%；非税收入151万元，与上年保持一致。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2.转移性收入情况。区对镇补助收入10309万元，增长1%，其中：一般性转移支付收入8059万元，与去年基本持平；专项转移支付收入2250万元，增长2%。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3.“三公”经费支出情况。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2023年“三公”经费预算46万元，比上年减少2万元，实现预算“零增长”。其中：公务接待费15万元，比上年减少1万元，主要原因是严格控制公务接待费预算；公务用车运行维护费31万元，比上年减少1万元。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</w:t>
      </w:r>
      <w:r>
        <w:rPr>
          <w:rFonts w:hint="eastAsia" w:eastAsia="方正仿宋_GBK"/>
          <w:sz w:val="32"/>
          <w:szCs w:val="32"/>
        </w:rPr>
        <w:t>！2023年是全面贯彻落实党的二十大精神的开局之年，</w:t>
      </w:r>
      <w:r>
        <w:rPr>
          <w:rFonts w:eastAsia="方正仿宋_GBK"/>
          <w:sz w:val="32"/>
          <w:szCs w:val="32"/>
        </w:rPr>
        <w:t>做好</w:t>
      </w:r>
      <w:r>
        <w:rPr>
          <w:rFonts w:hint="eastAsia" w:eastAsia="方正仿宋_GBK"/>
          <w:sz w:val="32"/>
          <w:szCs w:val="32"/>
        </w:rPr>
        <w:t>财政工作意义重大</w:t>
      </w:r>
      <w:r>
        <w:rPr>
          <w:rFonts w:eastAsia="方正仿宋_GBK"/>
          <w:sz w:val="32"/>
          <w:szCs w:val="32"/>
        </w:rPr>
        <w:t>。我们将在镇党委的坚强领导下，认真贯彻落实好本次大会的各项决议，</w:t>
      </w:r>
      <w:r>
        <w:rPr>
          <w:rFonts w:hint="eastAsia" w:eastAsia="方正仿宋_GBK"/>
          <w:sz w:val="32"/>
          <w:szCs w:val="32"/>
        </w:rPr>
        <w:t>自觉接受镇人大监督，以高度的思想自觉、政治自觉、行动自觉奋力推进财政工作高质量发展！</w:t>
      </w: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tbl>
      <w:tblPr>
        <w:tblStyle w:val="5"/>
        <w:tblW w:w="85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88"/>
        <w:gridCol w:w="2085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附表</w:t>
            </w:r>
            <w:r>
              <w:rPr>
                <w:rFonts w:eastAsia="方正仿宋_GBK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方正仿宋_GBK"/>
                <w:b/>
                <w:bCs/>
                <w:color w:val="000000"/>
                <w:sz w:val="36"/>
                <w:szCs w:val="36"/>
                <w:lang w:bidi="ar"/>
              </w:rPr>
              <w:t>202</w:t>
            </w:r>
            <w:r>
              <w:rPr>
                <w:rFonts w:hint="eastAsia" w:eastAsia="方正仿宋_GBK"/>
                <w:b/>
                <w:bCs/>
                <w:color w:val="000000"/>
                <w:sz w:val="36"/>
                <w:szCs w:val="36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36"/>
                <w:szCs w:val="36"/>
                <w:lang w:bidi="ar"/>
              </w:rPr>
              <w:t>年总财力平衡表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收入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执行数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上级补助收入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3070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地方财政支出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bidi="ar"/>
              </w:rPr>
              <w:t>13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动用上年预算稳定调节基金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1961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上解支出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上年结余收入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1535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调出资金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  <w:t>调入资金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安排下年预算稳定调节基金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年终结余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bidi="ar"/>
              </w:rPr>
              <w:t>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收入总计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17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041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支出总计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17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041</w:t>
            </w:r>
          </w:p>
        </w:tc>
      </w:tr>
    </w:tbl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rPr>
          <w:rFonts w:eastAsia="仿宋_GB2312"/>
          <w:sz w:val="32"/>
          <w:szCs w:val="32"/>
        </w:rPr>
      </w:pPr>
    </w:p>
    <w:tbl>
      <w:tblPr>
        <w:tblStyle w:val="5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819"/>
        <w:gridCol w:w="1416"/>
        <w:gridCol w:w="285"/>
        <w:gridCol w:w="1985"/>
        <w:gridCol w:w="208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附表</w:t>
            </w:r>
            <w:r>
              <w:rPr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  <w:lang w:bidi="ar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36"/>
                <w:szCs w:val="36"/>
                <w:lang w:bidi="ar"/>
              </w:rPr>
              <w:t>年一般公共预算支出表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执行数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年执行数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同比增长（下降）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一般公共服务支出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国防支出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公共安全支出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文化旅游体育与传媒支出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社会保障和就业支出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3905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3907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卫生健康支出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节能环保支出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 w:firstLineChars="250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城乡社区支出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农林水支出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3298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交通运输支出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-74%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自然资源海洋气象等支出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住房保障支出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灾害防治及应急管理支出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-39%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sz w:val="24"/>
                <w:szCs w:val="24"/>
              </w:rPr>
              <w:t>12826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</w:rPr>
              <w:t>13461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  <w:t>-5%</w:t>
            </w:r>
          </w:p>
        </w:tc>
      </w:tr>
    </w:tbl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5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190"/>
        <w:gridCol w:w="168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附表</w:t>
            </w:r>
            <w:r>
              <w:rPr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  <w:lang w:bidi="ar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  <w:lang w:bidi="ar"/>
              </w:rPr>
              <w:t>3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36"/>
                <w:szCs w:val="36"/>
                <w:lang w:bidi="ar"/>
              </w:rPr>
              <w:t>年总财力平衡表（草案）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收入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预算数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上级补助收入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10309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一般公共预算支出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13730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动用上年预算稳定调节基金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530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政府性基金预算支出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  <w:lang w:bidi="ar"/>
              </w:rPr>
              <w:t>上年结余收入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891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收入总计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13730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  <w:lang w:bidi="ar"/>
              </w:rPr>
              <w:t>支出总计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13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730</w:t>
            </w:r>
          </w:p>
        </w:tc>
      </w:tr>
    </w:tbl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4680"/>
        </w:tabs>
        <w:spacing w:line="600" w:lineRule="exact"/>
        <w:rPr>
          <w:rFonts w:eastAsia="仿宋_GB2312"/>
          <w:sz w:val="32"/>
          <w:szCs w:val="32"/>
        </w:rPr>
      </w:pPr>
    </w:p>
    <w:tbl>
      <w:tblPr>
        <w:tblStyle w:val="5"/>
        <w:tblW w:w="84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24"/>
        <w:gridCol w:w="1161"/>
        <w:gridCol w:w="1890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附表</w:t>
            </w:r>
            <w:r>
              <w:rPr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  <w:lang w:bidi="ar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  <w:lang w:bidi="ar"/>
              </w:rPr>
              <w:t>3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36"/>
                <w:szCs w:val="36"/>
                <w:lang w:bidi="ar"/>
              </w:rPr>
              <w:t>年一般公共预算支出表（草案）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2022年预算数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同比增长（下降）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一般公共服务支出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国防支出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公共安全支出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-37%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文化旅游体育与传媒支出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社会保障和就业支出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4076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卫生健康支出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bidi="ar"/>
              </w:rPr>
              <w:t>节能环保支出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城乡社区支出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农林水支出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交通运输支出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自然资源海洋气象等支出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住房保障支出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  <w:lang w:bidi="ar"/>
              </w:rPr>
              <w:t>灾害防治及应急管理支出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124%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bidi="ar"/>
              </w:rPr>
              <w:t>预备费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59</w:t>
            </w:r>
            <w:r>
              <w:rPr>
                <w:rFonts w:hint="eastAsia"/>
                <w:bCs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13730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1311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</w:tbl>
    <w:p>
      <w:pPr>
        <w:tabs>
          <w:tab w:val="left" w:pos="4680"/>
        </w:tabs>
        <w:spacing w:line="600" w:lineRule="exac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7554595</wp:posOffset>
                </wp:positionV>
                <wp:extent cx="800100" cy="39624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81.1pt;margin-top:594.85pt;height:31.2pt;width:63pt;z-index:251659264;mso-width-relative:page;mso-height-relative:page;" fillcolor="#FFFFFF" filled="t" stroked="f" coordsize="21600,21600" o:gfxdata="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F9RxT9oAAAANAQAADwAAAAAAAAABACAAAAAiAAAAZHJz&#10;L2Rvd25yZXYueG1sUEsBAhQAFAAAAAgAh07iQNcmo52QAQAAHgMAAA4AAAAAAAAAAQAgAAAAKQEA&#10;AGRycy9lMm9Eb2MueG1sUEsFBgAAAAAGAAYAWQEAAC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80BC"/>
    <w:multiLevelType w:val="singleLevel"/>
    <w:tmpl w:val="61A880BC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mIyODYwYzBkNWIyNmFmZWViYWMzMTBjZTYzNjUifQ=="/>
  </w:docVars>
  <w:rsids>
    <w:rsidRoot w:val="14D22B18"/>
    <w:rsid w:val="00000ADC"/>
    <w:rsid w:val="00002D83"/>
    <w:rsid w:val="000236DE"/>
    <w:rsid w:val="00025E23"/>
    <w:rsid w:val="0002615D"/>
    <w:rsid w:val="00037EDD"/>
    <w:rsid w:val="000435B9"/>
    <w:rsid w:val="0004704A"/>
    <w:rsid w:val="00055167"/>
    <w:rsid w:val="00082FA0"/>
    <w:rsid w:val="000B3912"/>
    <w:rsid w:val="000B455D"/>
    <w:rsid w:val="000B727A"/>
    <w:rsid w:val="000D7BFF"/>
    <w:rsid w:val="000E28E5"/>
    <w:rsid w:val="000E2ECF"/>
    <w:rsid w:val="000F27E9"/>
    <w:rsid w:val="000F3C17"/>
    <w:rsid w:val="000F6754"/>
    <w:rsid w:val="00101BF6"/>
    <w:rsid w:val="00102C30"/>
    <w:rsid w:val="001057A9"/>
    <w:rsid w:val="00110652"/>
    <w:rsid w:val="00121003"/>
    <w:rsid w:val="00125EB9"/>
    <w:rsid w:val="0014670A"/>
    <w:rsid w:val="00146780"/>
    <w:rsid w:val="001715C4"/>
    <w:rsid w:val="00174246"/>
    <w:rsid w:val="001901FF"/>
    <w:rsid w:val="00193F68"/>
    <w:rsid w:val="00197022"/>
    <w:rsid w:val="001B188A"/>
    <w:rsid w:val="001B1A8D"/>
    <w:rsid w:val="001B466E"/>
    <w:rsid w:val="001C2119"/>
    <w:rsid w:val="001C5E1E"/>
    <w:rsid w:val="001D4B96"/>
    <w:rsid w:val="001F0421"/>
    <w:rsid w:val="001F7566"/>
    <w:rsid w:val="002137DA"/>
    <w:rsid w:val="00221158"/>
    <w:rsid w:val="00221F96"/>
    <w:rsid w:val="00226734"/>
    <w:rsid w:val="0023430C"/>
    <w:rsid w:val="002535E4"/>
    <w:rsid w:val="00264110"/>
    <w:rsid w:val="00273872"/>
    <w:rsid w:val="00273BB6"/>
    <w:rsid w:val="002768A6"/>
    <w:rsid w:val="00293C80"/>
    <w:rsid w:val="00293EF7"/>
    <w:rsid w:val="002946E4"/>
    <w:rsid w:val="00294A88"/>
    <w:rsid w:val="00296E25"/>
    <w:rsid w:val="002B20E9"/>
    <w:rsid w:val="002C10DA"/>
    <w:rsid w:val="002C1AA7"/>
    <w:rsid w:val="002C2639"/>
    <w:rsid w:val="002C6CB0"/>
    <w:rsid w:val="002C71E6"/>
    <w:rsid w:val="002D7E5C"/>
    <w:rsid w:val="002E204F"/>
    <w:rsid w:val="002E7B34"/>
    <w:rsid w:val="002F5908"/>
    <w:rsid w:val="00304ADE"/>
    <w:rsid w:val="003079BA"/>
    <w:rsid w:val="0031261A"/>
    <w:rsid w:val="00314280"/>
    <w:rsid w:val="00321273"/>
    <w:rsid w:val="0033544B"/>
    <w:rsid w:val="00347602"/>
    <w:rsid w:val="00370805"/>
    <w:rsid w:val="00387A23"/>
    <w:rsid w:val="003928B3"/>
    <w:rsid w:val="003A010F"/>
    <w:rsid w:val="003B181E"/>
    <w:rsid w:val="003B2E2A"/>
    <w:rsid w:val="003D4241"/>
    <w:rsid w:val="003E07BE"/>
    <w:rsid w:val="003E709D"/>
    <w:rsid w:val="003F4867"/>
    <w:rsid w:val="00403482"/>
    <w:rsid w:val="00430690"/>
    <w:rsid w:val="00432BF7"/>
    <w:rsid w:val="00435206"/>
    <w:rsid w:val="00450328"/>
    <w:rsid w:val="004679E8"/>
    <w:rsid w:val="00473C99"/>
    <w:rsid w:val="0048055A"/>
    <w:rsid w:val="004838A0"/>
    <w:rsid w:val="0048580E"/>
    <w:rsid w:val="00486BBD"/>
    <w:rsid w:val="00491386"/>
    <w:rsid w:val="00491BC0"/>
    <w:rsid w:val="004957C7"/>
    <w:rsid w:val="004A003F"/>
    <w:rsid w:val="004A51CC"/>
    <w:rsid w:val="004A54F0"/>
    <w:rsid w:val="004B3D6B"/>
    <w:rsid w:val="004B5D34"/>
    <w:rsid w:val="004C70E9"/>
    <w:rsid w:val="004E031D"/>
    <w:rsid w:val="004E70E2"/>
    <w:rsid w:val="004F3BB6"/>
    <w:rsid w:val="00500E4B"/>
    <w:rsid w:val="00511C64"/>
    <w:rsid w:val="005300F0"/>
    <w:rsid w:val="005342EE"/>
    <w:rsid w:val="0053615C"/>
    <w:rsid w:val="005414D9"/>
    <w:rsid w:val="00544DDA"/>
    <w:rsid w:val="00546AAF"/>
    <w:rsid w:val="005549FF"/>
    <w:rsid w:val="0058364B"/>
    <w:rsid w:val="00584AB8"/>
    <w:rsid w:val="005872AB"/>
    <w:rsid w:val="0059551F"/>
    <w:rsid w:val="00597538"/>
    <w:rsid w:val="005A75C6"/>
    <w:rsid w:val="005B3653"/>
    <w:rsid w:val="005C2506"/>
    <w:rsid w:val="005C2FE7"/>
    <w:rsid w:val="005C6355"/>
    <w:rsid w:val="005D3D11"/>
    <w:rsid w:val="005D4195"/>
    <w:rsid w:val="005E19D4"/>
    <w:rsid w:val="005E19D5"/>
    <w:rsid w:val="005E5300"/>
    <w:rsid w:val="005F295A"/>
    <w:rsid w:val="005F457A"/>
    <w:rsid w:val="005F5566"/>
    <w:rsid w:val="006212D0"/>
    <w:rsid w:val="00630D10"/>
    <w:rsid w:val="006405A4"/>
    <w:rsid w:val="00640F27"/>
    <w:rsid w:val="00641D33"/>
    <w:rsid w:val="006560C3"/>
    <w:rsid w:val="00665E38"/>
    <w:rsid w:val="006668C5"/>
    <w:rsid w:val="00671F17"/>
    <w:rsid w:val="00675967"/>
    <w:rsid w:val="006768A8"/>
    <w:rsid w:val="00695173"/>
    <w:rsid w:val="006A2EB2"/>
    <w:rsid w:val="006B0DE6"/>
    <w:rsid w:val="006B1039"/>
    <w:rsid w:val="006D1882"/>
    <w:rsid w:val="006D2EBA"/>
    <w:rsid w:val="006D374E"/>
    <w:rsid w:val="006D7286"/>
    <w:rsid w:val="006E7199"/>
    <w:rsid w:val="00713DBA"/>
    <w:rsid w:val="00741333"/>
    <w:rsid w:val="00741CF4"/>
    <w:rsid w:val="00744F5B"/>
    <w:rsid w:val="00756E6F"/>
    <w:rsid w:val="007604BE"/>
    <w:rsid w:val="0077413B"/>
    <w:rsid w:val="007779CE"/>
    <w:rsid w:val="007847E0"/>
    <w:rsid w:val="007852FD"/>
    <w:rsid w:val="00791A7E"/>
    <w:rsid w:val="007B2DAB"/>
    <w:rsid w:val="007D29DF"/>
    <w:rsid w:val="007E7B11"/>
    <w:rsid w:val="008301E9"/>
    <w:rsid w:val="00832C19"/>
    <w:rsid w:val="00843160"/>
    <w:rsid w:val="008474BC"/>
    <w:rsid w:val="008520F6"/>
    <w:rsid w:val="008918A6"/>
    <w:rsid w:val="008A238E"/>
    <w:rsid w:val="008C5C26"/>
    <w:rsid w:val="008C78B5"/>
    <w:rsid w:val="008D1124"/>
    <w:rsid w:val="008D27BF"/>
    <w:rsid w:val="008D6DCF"/>
    <w:rsid w:val="008E5069"/>
    <w:rsid w:val="00915D57"/>
    <w:rsid w:val="009455C7"/>
    <w:rsid w:val="009610C8"/>
    <w:rsid w:val="00966205"/>
    <w:rsid w:val="00966F10"/>
    <w:rsid w:val="009722C2"/>
    <w:rsid w:val="00975A01"/>
    <w:rsid w:val="00986E8E"/>
    <w:rsid w:val="0099466E"/>
    <w:rsid w:val="00995F80"/>
    <w:rsid w:val="009A0C22"/>
    <w:rsid w:val="009A7E10"/>
    <w:rsid w:val="009B44A3"/>
    <w:rsid w:val="009E0CEB"/>
    <w:rsid w:val="009E0D57"/>
    <w:rsid w:val="009E5D70"/>
    <w:rsid w:val="00A029B1"/>
    <w:rsid w:val="00A0376A"/>
    <w:rsid w:val="00A177BA"/>
    <w:rsid w:val="00A20A6C"/>
    <w:rsid w:val="00A4191C"/>
    <w:rsid w:val="00A621D2"/>
    <w:rsid w:val="00A64133"/>
    <w:rsid w:val="00A70263"/>
    <w:rsid w:val="00A876CC"/>
    <w:rsid w:val="00A90D66"/>
    <w:rsid w:val="00A916D5"/>
    <w:rsid w:val="00A93481"/>
    <w:rsid w:val="00A963E3"/>
    <w:rsid w:val="00AA1148"/>
    <w:rsid w:val="00AA41C4"/>
    <w:rsid w:val="00AA43BA"/>
    <w:rsid w:val="00AB2527"/>
    <w:rsid w:val="00AB3367"/>
    <w:rsid w:val="00AB5345"/>
    <w:rsid w:val="00AC2285"/>
    <w:rsid w:val="00AC7D39"/>
    <w:rsid w:val="00AD21AF"/>
    <w:rsid w:val="00AD2F2B"/>
    <w:rsid w:val="00AF0A92"/>
    <w:rsid w:val="00AF30B0"/>
    <w:rsid w:val="00B00D77"/>
    <w:rsid w:val="00B01B58"/>
    <w:rsid w:val="00B1744A"/>
    <w:rsid w:val="00B20150"/>
    <w:rsid w:val="00B22860"/>
    <w:rsid w:val="00B25076"/>
    <w:rsid w:val="00B25AE6"/>
    <w:rsid w:val="00B26D02"/>
    <w:rsid w:val="00B27A6F"/>
    <w:rsid w:val="00B54CDE"/>
    <w:rsid w:val="00B55EF7"/>
    <w:rsid w:val="00B65AD9"/>
    <w:rsid w:val="00B670E0"/>
    <w:rsid w:val="00B7110D"/>
    <w:rsid w:val="00B75596"/>
    <w:rsid w:val="00B9527F"/>
    <w:rsid w:val="00B96EC9"/>
    <w:rsid w:val="00BA1EA3"/>
    <w:rsid w:val="00BA762F"/>
    <w:rsid w:val="00BC2D22"/>
    <w:rsid w:val="00BC6A25"/>
    <w:rsid w:val="00BD1122"/>
    <w:rsid w:val="00BD45E9"/>
    <w:rsid w:val="00BF1055"/>
    <w:rsid w:val="00C027A6"/>
    <w:rsid w:val="00C120BA"/>
    <w:rsid w:val="00C12278"/>
    <w:rsid w:val="00C13D04"/>
    <w:rsid w:val="00C21530"/>
    <w:rsid w:val="00C21E87"/>
    <w:rsid w:val="00C272D9"/>
    <w:rsid w:val="00C31F53"/>
    <w:rsid w:val="00C37D43"/>
    <w:rsid w:val="00C47080"/>
    <w:rsid w:val="00C519E7"/>
    <w:rsid w:val="00C63E21"/>
    <w:rsid w:val="00C64A93"/>
    <w:rsid w:val="00C67079"/>
    <w:rsid w:val="00C67A1C"/>
    <w:rsid w:val="00C75743"/>
    <w:rsid w:val="00C82CAC"/>
    <w:rsid w:val="00C83AE4"/>
    <w:rsid w:val="00C83C50"/>
    <w:rsid w:val="00C85991"/>
    <w:rsid w:val="00C93B00"/>
    <w:rsid w:val="00CA32F5"/>
    <w:rsid w:val="00CB07FE"/>
    <w:rsid w:val="00CB3EAA"/>
    <w:rsid w:val="00CB5AFB"/>
    <w:rsid w:val="00CB7283"/>
    <w:rsid w:val="00CD2A31"/>
    <w:rsid w:val="00CD46BC"/>
    <w:rsid w:val="00CF6001"/>
    <w:rsid w:val="00CF64F8"/>
    <w:rsid w:val="00D14AD4"/>
    <w:rsid w:val="00D16833"/>
    <w:rsid w:val="00D2591A"/>
    <w:rsid w:val="00D301CA"/>
    <w:rsid w:val="00D31C7A"/>
    <w:rsid w:val="00D3490F"/>
    <w:rsid w:val="00D37BEE"/>
    <w:rsid w:val="00D40B57"/>
    <w:rsid w:val="00D415C1"/>
    <w:rsid w:val="00D5064F"/>
    <w:rsid w:val="00D558EC"/>
    <w:rsid w:val="00D55F22"/>
    <w:rsid w:val="00D85356"/>
    <w:rsid w:val="00D8596F"/>
    <w:rsid w:val="00D933EF"/>
    <w:rsid w:val="00D93621"/>
    <w:rsid w:val="00DA73FC"/>
    <w:rsid w:val="00DA7905"/>
    <w:rsid w:val="00DC2A4E"/>
    <w:rsid w:val="00DC3F34"/>
    <w:rsid w:val="00DD3E93"/>
    <w:rsid w:val="00DE301F"/>
    <w:rsid w:val="00DE7988"/>
    <w:rsid w:val="00DF6129"/>
    <w:rsid w:val="00E13DA6"/>
    <w:rsid w:val="00E17029"/>
    <w:rsid w:val="00E17A55"/>
    <w:rsid w:val="00E32239"/>
    <w:rsid w:val="00E51CEE"/>
    <w:rsid w:val="00E61B76"/>
    <w:rsid w:val="00E62BA8"/>
    <w:rsid w:val="00E65C7F"/>
    <w:rsid w:val="00E7147C"/>
    <w:rsid w:val="00E75126"/>
    <w:rsid w:val="00E75A46"/>
    <w:rsid w:val="00E76902"/>
    <w:rsid w:val="00E81736"/>
    <w:rsid w:val="00E9370F"/>
    <w:rsid w:val="00E93815"/>
    <w:rsid w:val="00E9746A"/>
    <w:rsid w:val="00EA4043"/>
    <w:rsid w:val="00EB1A9F"/>
    <w:rsid w:val="00EC72A4"/>
    <w:rsid w:val="00ED05D1"/>
    <w:rsid w:val="00EE019F"/>
    <w:rsid w:val="00EE16D2"/>
    <w:rsid w:val="00EF0844"/>
    <w:rsid w:val="00EF6EA0"/>
    <w:rsid w:val="00F01AD3"/>
    <w:rsid w:val="00F037C1"/>
    <w:rsid w:val="00F1237E"/>
    <w:rsid w:val="00F259EE"/>
    <w:rsid w:val="00F27F67"/>
    <w:rsid w:val="00F3697D"/>
    <w:rsid w:val="00F511D4"/>
    <w:rsid w:val="00F601A4"/>
    <w:rsid w:val="00F64EC2"/>
    <w:rsid w:val="00FB755D"/>
    <w:rsid w:val="00FC4425"/>
    <w:rsid w:val="00FC62F4"/>
    <w:rsid w:val="00FD5476"/>
    <w:rsid w:val="00FE1282"/>
    <w:rsid w:val="00FE625E"/>
    <w:rsid w:val="00FF0D07"/>
    <w:rsid w:val="00FF1840"/>
    <w:rsid w:val="02573E69"/>
    <w:rsid w:val="032121AE"/>
    <w:rsid w:val="091B377D"/>
    <w:rsid w:val="0DE66BD9"/>
    <w:rsid w:val="13B25649"/>
    <w:rsid w:val="14AE4079"/>
    <w:rsid w:val="14D22B18"/>
    <w:rsid w:val="154A2FD8"/>
    <w:rsid w:val="192D15EE"/>
    <w:rsid w:val="1AA82868"/>
    <w:rsid w:val="1DB604F8"/>
    <w:rsid w:val="1F764CC2"/>
    <w:rsid w:val="25E637B4"/>
    <w:rsid w:val="28904CC6"/>
    <w:rsid w:val="28C363CB"/>
    <w:rsid w:val="339D161E"/>
    <w:rsid w:val="39217E8E"/>
    <w:rsid w:val="3E9D4C24"/>
    <w:rsid w:val="416F0101"/>
    <w:rsid w:val="49FC1F36"/>
    <w:rsid w:val="4A761F92"/>
    <w:rsid w:val="4C7E259C"/>
    <w:rsid w:val="4FAF01FF"/>
    <w:rsid w:val="51D13AD5"/>
    <w:rsid w:val="582C6290"/>
    <w:rsid w:val="5F0E3EBE"/>
    <w:rsid w:val="66E04D53"/>
    <w:rsid w:val="69937B96"/>
    <w:rsid w:val="6CB609E9"/>
    <w:rsid w:val="7063216F"/>
    <w:rsid w:val="71890614"/>
    <w:rsid w:val="73AB7BA9"/>
    <w:rsid w:val="74682118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列出段落1"/>
    <w:basedOn w:val="1"/>
    <w:unhideWhenUsed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sz w:val="18"/>
      <w:szCs w:val="18"/>
    </w:rPr>
  </w:style>
  <w:style w:type="character" w:customStyle="1" w:styleId="11">
    <w:name w:val="批注框文本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1013</Words>
  <Characters>5775</Characters>
  <Lines>48</Lines>
  <Paragraphs>13</Paragraphs>
  <TotalTime>529</TotalTime>
  <ScaleCrop>false</ScaleCrop>
  <LinksUpToDate>false</LinksUpToDate>
  <CharactersWithSpaces>6775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2021-12-20T17:20:00Z</dcterms:created>
  <dc:creator>无欲则刚</dc:creator>
  <cp:lastModifiedBy>杨倩怡</cp:lastModifiedBy>
  <cp:lastPrinted>2023-03-27T01:57:00Z</cp:lastPrinted>
  <dcterms:modified xsi:type="dcterms:W3CDTF">2023-09-11T01:37:14Z</dcterms:modified>
  <dc:title>渝北区石船镇2021年财政预算执行情况和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347072246_embed</vt:lpwstr>
  </property>
  <property fmtid="{D5CDD505-2E9C-101B-9397-08002B2CF9AE}" pid="4" name="ICV">
    <vt:lpwstr>D5031230CE394FDC97EC9901E532BF83</vt:lpwstr>
  </property>
</Properties>
</file>