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A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</w:p>
    <w:p w14:paraId="75D74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</w:p>
    <w:p w14:paraId="15AD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</w:p>
    <w:p w14:paraId="4B2FB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 w14:paraId="45650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 w14:paraId="09C67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 w14:paraId="076F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0607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</w:rPr>
        <w:t>木耳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</w:rPr>
        <w:t>发〔202</w:t>
      </w:r>
      <w:r>
        <w:rPr>
          <w:rFonts w:hint="eastAsia" w:ascii="Times New Roman" w:hAnsi="Times New Roman" w:cs="Times New Roman"/>
          <w:kern w:val="2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</w:rPr>
        <w:t>号</w:t>
      </w:r>
    </w:p>
    <w:p w14:paraId="13351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 w14:paraId="0CB6A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重庆市渝北区木耳镇人民政府</w:t>
      </w:r>
    </w:p>
    <w:p w14:paraId="0C2C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/>
          <w:color w:val="auto"/>
          <w:spacing w:val="1"/>
          <w:w w:val="99"/>
          <w:kern w:val="0"/>
          <w:sz w:val="44"/>
          <w:szCs w:val="44"/>
          <w:fitText w:val="8932" w:id="1609630006"/>
        </w:rPr>
        <w:t>关于切实抓好</w:t>
      </w:r>
      <w:r>
        <w:rPr>
          <w:rFonts w:hint="default" w:ascii="Times New Roman" w:hAnsi="Times New Roman" w:eastAsia="方正小标宋_GBK" w:cs="Times New Roman"/>
          <w:color w:val="auto"/>
          <w:spacing w:val="1"/>
          <w:w w:val="99"/>
          <w:kern w:val="0"/>
          <w:sz w:val="44"/>
          <w:szCs w:val="44"/>
          <w:fitText w:val="8932" w:id="1609630006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pacing w:val="1"/>
          <w:w w:val="99"/>
          <w:kern w:val="0"/>
          <w:sz w:val="44"/>
          <w:szCs w:val="44"/>
          <w:fitText w:val="8932" w:id="1609630006"/>
          <w:lang w:val="en-US" w:eastAsia="zh-CN"/>
        </w:rPr>
        <w:t>6</w:t>
      </w:r>
      <w:r>
        <w:rPr>
          <w:rFonts w:hint="eastAsia" w:ascii="方正小标宋_GBK" w:hAnsi="Calibri" w:eastAsia="方正小标宋_GBK"/>
          <w:color w:val="auto"/>
          <w:spacing w:val="1"/>
          <w:w w:val="99"/>
          <w:kern w:val="0"/>
          <w:sz w:val="44"/>
          <w:szCs w:val="44"/>
          <w:fitText w:val="8932" w:id="1609630006"/>
        </w:rPr>
        <w:t>年小春</w:t>
      </w:r>
      <w:r>
        <w:rPr>
          <w:rFonts w:hint="eastAsia" w:ascii="方正小标宋_GBK" w:hAnsi="Calibri" w:eastAsia="方正小标宋_GBK"/>
          <w:color w:val="auto"/>
          <w:spacing w:val="1"/>
          <w:w w:val="99"/>
          <w:kern w:val="0"/>
          <w:sz w:val="44"/>
          <w:szCs w:val="44"/>
          <w:fitText w:val="8932" w:id="1609630006"/>
          <w:lang w:val="en-US" w:eastAsia="zh-CN"/>
        </w:rPr>
        <w:t>粮油</w:t>
      </w:r>
      <w:r>
        <w:rPr>
          <w:rFonts w:hint="eastAsia" w:ascii="方正小标宋_GBK" w:hAnsi="Calibri" w:eastAsia="方正小标宋_GBK"/>
          <w:color w:val="auto"/>
          <w:spacing w:val="1"/>
          <w:w w:val="99"/>
          <w:kern w:val="0"/>
          <w:sz w:val="44"/>
          <w:szCs w:val="44"/>
          <w:fitText w:val="8932" w:id="1609630006"/>
        </w:rPr>
        <w:t>生产工作的通</w:t>
      </w:r>
      <w:r>
        <w:rPr>
          <w:rFonts w:hint="eastAsia" w:ascii="方正小标宋_GBK" w:hAnsi="Calibri" w:eastAsia="方正小标宋_GBK"/>
          <w:color w:val="auto"/>
          <w:spacing w:val="4"/>
          <w:w w:val="99"/>
          <w:kern w:val="0"/>
          <w:sz w:val="44"/>
          <w:szCs w:val="44"/>
          <w:fitText w:val="8932" w:id="1609630006"/>
        </w:rPr>
        <w:t>知</w:t>
      </w:r>
    </w:p>
    <w:p w14:paraId="3B8245EC">
      <w:pPr>
        <w:keepNext w:val="0"/>
        <w:keepLines w:val="0"/>
        <w:pageBreakBefore w:val="0"/>
        <w:widowControl w:val="0"/>
        <w:tabs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EE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方正仿宋_GBK" w:hAnsi="仿宋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7E60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eastAsia="方正仿宋_GBK" w:cs="宋体"/>
          <w:color w:val="auto"/>
          <w:spacing w:val="0"/>
          <w:kern w:val="0"/>
          <w:sz w:val="32"/>
          <w:szCs w:val="32"/>
          <w:lang w:val="en-US" w:eastAsia="zh-CN"/>
        </w:rPr>
        <w:t>为保证粮食安全，争取明年粮油生产的主动权，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现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就抓好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2026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年小春生产提出如下意见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eastAsia="zh-CN"/>
        </w:rPr>
        <w:t>，请结合实际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贯彻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eastAsia="zh-CN"/>
        </w:rPr>
        <w:t>落实。</w:t>
      </w:r>
    </w:p>
    <w:p w14:paraId="1F55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jc w:val="both"/>
        <w:textAlignment w:val="auto"/>
        <w:rPr>
          <w:rFonts w:ascii="方正黑体_GBK" w:hAnsi="方正楷体_GBK" w:eastAsia="方正黑体_GBK" w:cs="方正楷体_GBK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</w:rPr>
        <w:t>、</w:t>
      </w:r>
      <w:r>
        <w:rPr>
          <w:rFonts w:hint="eastAsia" w:ascii="方正黑体_GBK" w:hAnsi="方正楷体_GBK" w:eastAsia="方正黑体_GBK" w:cs="方正楷体_GBK"/>
          <w:color w:val="auto"/>
          <w:spacing w:val="0"/>
          <w:kern w:val="0"/>
          <w:sz w:val="32"/>
          <w:szCs w:val="32"/>
        </w:rPr>
        <w:t>目标任务</w:t>
      </w:r>
    </w:p>
    <w:p w14:paraId="5A02CF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color w:val="auto"/>
          <w:spacing w:val="0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2026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年，我镇小春粮油生产以“稳面积提单产”为抓手，加大技术集成与应用力度，提高农业科技贡献率，着力实现“三稳一增一提”，即稳定胡豆、豌豆和马铃薯种植面积，增加油菜播种面积，力争单产水平较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年提高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1%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以上。计划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小春粮播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种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面积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0.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32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万亩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以上，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总产量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430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吨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以上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；油菜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种植面积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0.25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万亩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以上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，产量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340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吨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以上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目标任务</w:t>
      </w:r>
      <w:r>
        <w:rPr>
          <w:rFonts w:eastAsia="方正仿宋_GBK"/>
          <w:color w:val="auto"/>
          <w:spacing w:val="0"/>
          <w:kern w:val="0"/>
          <w:sz w:val="32"/>
          <w:szCs w:val="32"/>
        </w:rPr>
        <w:t>见附件）。</w:t>
      </w:r>
    </w:p>
    <w:p w14:paraId="6A48E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jc w:val="both"/>
        <w:textAlignment w:val="auto"/>
        <w:rPr>
          <w:color w:val="auto"/>
          <w:spacing w:val="0"/>
        </w:rPr>
      </w:pP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</w:rPr>
        <w:t>、重点工作</w:t>
      </w:r>
    </w:p>
    <w:p w14:paraId="3A6C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rFonts w:eastAsia="方正仿宋_GBK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稳面积就是稳大局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。</w:t>
      </w:r>
      <w:r>
        <w:rPr>
          <w:rFonts w:eastAsia="方正仿宋_GBK"/>
          <w:color w:val="auto"/>
          <w:spacing w:val="0"/>
          <w:sz w:val="32"/>
          <w:szCs w:val="32"/>
        </w:rPr>
        <w:t>各</w:t>
      </w:r>
      <w:r>
        <w:rPr>
          <w:rFonts w:hint="eastAsia" w:eastAsia="方正仿宋_GBK"/>
          <w:color w:val="auto"/>
          <w:spacing w:val="0"/>
          <w:sz w:val="32"/>
          <w:szCs w:val="32"/>
          <w:lang w:eastAsia="zh-CN"/>
        </w:rPr>
        <w:t>村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要</w:t>
      </w:r>
      <w:r>
        <w:rPr>
          <w:rFonts w:eastAsia="方正仿宋_GBK"/>
          <w:color w:val="auto"/>
          <w:spacing w:val="0"/>
          <w:sz w:val="32"/>
          <w:szCs w:val="32"/>
        </w:rPr>
        <w:t>立足实际，最大限度盘活冬闲田（土）、经果林空闲区域等土地资源，并紧密结合撂荒地持续利用、新型农业经营主体培育等工作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安排</w:t>
      </w:r>
      <w:r>
        <w:rPr>
          <w:rFonts w:eastAsia="方正仿宋_GBK"/>
          <w:color w:val="auto"/>
          <w:spacing w:val="0"/>
          <w:sz w:val="32"/>
          <w:szCs w:val="32"/>
        </w:rPr>
        <w:t>，着力打通土地流转壁垒，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鼓励农民多种粮，实现</w:t>
      </w:r>
      <w:r>
        <w:rPr>
          <w:rFonts w:eastAsia="方正仿宋_GBK"/>
          <w:color w:val="auto"/>
          <w:spacing w:val="0"/>
          <w:sz w:val="32"/>
          <w:szCs w:val="32"/>
        </w:rPr>
        <w:t>资源高效利用，确保小春粮油种植面积稳中有增。</w:t>
      </w:r>
    </w:p>
    <w:p w14:paraId="19E9D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color w:val="auto"/>
          <w:spacing w:val="0"/>
        </w:rPr>
      </w:pPr>
      <w:r>
        <w:rPr>
          <w:rFonts w:hint="eastAsia" w:ascii="方正楷体_GBK" w:eastAsia="方正楷体_GBK"/>
          <w:color w:val="auto"/>
          <w:spacing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Cs/>
          <w:color w:val="auto"/>
          <w:spacing w:val="0"/>
          <w:sz w:val="32"/>
          <w:szCs w:val="32"/>
          <w:lang w:val="en-US" w:eastAsia="zh-CN"/>
        </w:rPr>
        <w:t>向栽培模式要增产潜力</w:t>
      </w:r>
      <w:r>
        <w:rPr>
          <w:rFonts w:hint="eastAsia" w:ascii="方正楷体_GBK" w:hAnsi="方正楷体_GBK" w:eastAsia="方正楷体_GBK" w:cs="方正楷体_GBK"/>
          <w:bCs/>
          <w:color w:val="auto"/>
          <w:spacing w:val="0"/>
          <w:sz w:val="32"/>
          <w:szCs w:val="32"/>
        </w:rPr>
        <w:t>。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各村</w:t>
      </w:r>
      <w:r>
        <w:rPr>
          <w:rFonts w:eastAsia="方正仿宋_GBK"/>
          <w:color w:val="auto"/>
          <w:spacing w:val="0"/>
          <w:sz w:val="32"/>
          <w:szCs w:val="32"/>
        </w:rPr>
        <w:t>要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eastAsia="方正仿宋_GBK"/>
          <w:color w:val="auto"/>
          <w:spacing w:val="0"/>
          <w:sz w:val="32"/>
          <w:szCs w:val="32"/>
        </w:rPr>
        <w:t>市场需求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为</w:t>
      </w:r>
      <w:r>
        <w:rPr>
          <w:rFonts w:eastAsia="方正仿宋_GBK"/>
          <w:color w:val="auto"/>
          <w:spacing w:val="0"/>
          <w:sz w:val="32"/>
          <w:szCs w:val="32"/>
        </w:rPr>
        <w:t>导向，扩大优质粮油的种植面积，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立足城郊远近大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力推广粮菜兼用型作物如胡豆、豌豆、马铃薯等附加值高的优良品种，引导农民种植油蔬兼用型油菜，实现油蔬两用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油、菜兼收；并深入推广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稻麦、稻油轮作、旱地套作等栽培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模式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，提高复种指数，增加其综合产量和经济效益。同时要积极推行适宜全程机械化作业的稻/油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稻/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菜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、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菜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/玉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</w:rPr>
        <w:t>/苕“二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熟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</w:rPr>
        <w:t>或三熟”间（套）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</w:rPr>
        <w:t>作种植模式。</w:t>
      </w:r>
    </w:p>
    <w:p w14:paraId="27EB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方正楷体_GBK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pacing w:val="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bCs/>
          <w:color w:val="000000"/>
          <w:spacing w:val="0"/>
          <w:sz w:val="32"/>
          <w:szCs w:val="32"/>
          <w:lang w:val="en-US" w:eastAsia="zh-CN"/>
        </w:rPr>
        <w:t>向</w:t>
      </w:r>
      <w:r>
        <w:rPr>
          <w:rFonts w:hint="eastAsia" w:ascii="方正楷体_GBK" w:hAnsi="方正楷体_GBK" w:eastAsia="方正楷体_GBK" w:cs="方正楷体_GBK"/>
          <w:bCs/>
          <w:color w:val="000000"/>
          <w:spacing w:val="0"/>
          <w:kern w:val="0"/>
          <w:sz w:val="32"/>
          <w:szCs w:val="32"/>
        </w:rPr>
        <w:t>科技应用</w:t>
      </w:r>
      <w:r>
        <w:rPr>
          <w:rFonts w:hint="eastAsia" w:ascii="方正楷体_GBK" w:hAnsi="方正楷体_GBK" w:eastAsia="方正楷体_GBK" w:cs="方正楷体_GBK"/>
          <w:bCs/>
          <w:color w:val="000000"/>
          <w:spacing w:val="0"/>
          <w:kern w:val="0"/>
          <w:sz w:val="32"/>
          <w:szCs w:val="32"/>
          <w:lang w:val="en-US" w:eastAsia="zh-CN"/>
        </w:rPr>
        <w:t>要增产潜力</w:t>
      </w:r>
      <w:r>
        <w:rPr>
          <w:rFonts w:hint="eastAsia" w:ascii="方正楷体_GBK" w:hAnsi="方正楷体_GBK" w:eastAsia="方正楷体_GBK" w:cs="方正楷体_GBK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b/>
          <w:bCs/>
          <w:color w:val="000000"/>
          <w:spacing w:val="0"/>
          <w:kern w:val="0"/>
          <w:sz w:val="32"/>
          <w:szCs w:val="32"/>
        </w:rPr>
        <w:t>一要</w:t>
      </w:r>
      <w:r>
        <w:rPr>
          <w:rFonts w:ascii="Times New Roman" w:hAnsi="Times New Roman" w:eastAsia="方正仿宋_GBK"/>
          <w:b w:val="0"/>
          <w:bCs w:val="0"/>
          <w:color w:val="000000"/>
          <w:spacing w:val="0"/>
          <w:kern w:val="0"/>
          <w:sz w:val="32"/>
          <w:szCs w:val="32"/>
        </w:rPr>
        <w:t>选用优良品种</w:t>
      </w:r>
      <w:r>
        <w:rPr>
          <w:rFonts w:hint="eastAsia" w:ascii="Times New Roman" w:hAnsi="Times New Roman" w:eastAsia="方正仿宋_GBK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大力推广小春粮油高产优质良种，小麦可选用渝麦系列等优质、专用、多抗性品种，油菜可选用庆油3号、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庆油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号、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渝油28号等高产、高油、双低品种。马铃薯选用渝马铃薯1号等早熟脱毒品种，豌豆选择中豌系列等食荚大菜豌、蔓尖专用型品种，胡豆选用成胡系列等优质品种。</w:t>
      </w:r>
      <w:r>
        <w:rPr>
          <w:rFonts w:ascii="Times New Roman" w:hAnsi="Times New Roman" w:eastAsia="方正仿宋_GBK"/>
          <w:b/>
          <w:bCs/>
          <w:color w:val="000000"/>
          <w:spacing w:val="0"/>
          <w:kern w:val="0"/>
          <w:sz w:val="32"/>
          <w:szCs w:val="32"/>
        </w:rPr>
        <w:t>二要</w:t>
      </w:r>
      <w:r>
        <w:rPr>
          <w:rFonts w:ascii="Times New Roman" w:hAnsi="Times New Roman" w:eastAsia="方正仿宋_GBK"/>
          <w:b w:val="0"/>
          <w:bCs w:val="0"/>
          <w:color w:val="000000"/>
          <w:spacing w:val="0"/>
          <w:kern w:val="0"/>
          <w:sz w:val="32"/>
          <w:szCs w:val="32"/>
        </w:rPr>
        <w:t>推广关键技术</w:t>
      </w:r>
      <w:r>
        <w:rPr>
          <w:rFonts w:hint="eastAsia" w:ascii="Times New Roman" w:hAnsi="Times New Roman" w:eastAsia="方正仿宋_GBK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加大油菜机械直播、稻茬免耕移栽；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小麦精量半精量播种、药剂拌种；马铃薯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</w:rPr>
        <w:t>起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垄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</w:rPr>
        <w:t>播种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、机耕机播等轻简省力技术推广力度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积极探索小春保护性耕作的多种高效模式和技术。</w:t>
      </w:r>
      <w:r>
        <w:rPr>
          <w:rFonts w:ascii="Times New Roman" w:hAnsi="Times New Roman" w:eastAsia="方正仿宋_GBK"/>
          <w:b/>
          <w:bCs/>
          <w:color w:val="000000"/>
          <w:spacing w:val="0"/>
          <w:kern w:val="0"/>
          <w:sz w:val="32"/>
          <w:szCs w:val="32"/>
        </w:rPr>
        <w:t>三要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示范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带动。有条件村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要立足生产实际，建设小春粮油高产示范片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，单个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面积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不小于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亩，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要依托示范片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开展新品种试验，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为本地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挖掘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储备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一批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高产优质良种，并同步探索技术集成模式，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促进关键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技术应用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推广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7E51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方正楷体_GBK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方正楷体_GBK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向防灾减灾要增产潜力</w:t>
      </w:r>
      <w:r>
        <w:rPr>
          <w:rFonts w:hint="eastAsia" w:ascii="方正楷体_GBK" w:hAnsi="Times New Roman" w:eastAsia="方正楷体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  <w:lang w:val="en-US" w:eastAsia="zh-CN"/>
        </w:rPr>
        <w:t>要加强协</w:t>
      </w:r>
      <w:r>
        <w:rPr>
          <w:rFonts w:hint="eastAsia" w:eastAsia="方正仿宋_GBK"/>
          <w:color w:val="000000"/>
          <w:spacing w:val="0"/>
          <w:kern w:val="0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  <w:lang w:val="en-US" w:eastAsia="zh-CN"/>
        </w:rPr>
        <w:t>，强化气象灾害监测预警能力，及时发布预警信息，重点防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范冬季低温、冬春干旱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春季低温寒潮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等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灾害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  <w:lang w:val="en-US" w:eastAsia="zh-CN"/>
        </w:rPr>
        <w:t>性天气过程对作物生长关键环节的影响</w:t>
      </w:r>
      <w:r>
        <w:rPr>
          <w:rFonts w:hint="eastAsia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最大限度降低灾害损失</w:t>
      </w:r>
      <w:r>
        <w:rPr>
          <w:rFonts w:hint="eastAsia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，同时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抓实抓细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</w:rPr>
        <w:t>小麦条锈病、赤霉病和油菜菌核病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  <w:lang w:val="en-US" w:eastAsia="zh-CN"/>
        </w:rPr>
        <w:t>等小春重大病虫害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预防和防治工作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切实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保障小春增产增收</w:t>
      </w:r>
      <w:r>
        <w:rPr>
          <w:rFonts w:hint="eastAsia" w:eastAsia="方正仿宋_GBK"/>
          <w:color w:val="auto"/>
          <w:spacing w:val="0"/>
          <w:kern w:val="0"/>
          <w:sz w:val="32"/>
          <w:szCs w:val="32"/>
        </w:rPr>
        <w:t>。</w:t>
      </w:r>
    </w:p>
    <w:p w14:paraId="53FE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eastAsia="方正黑体_GBK"/>
          <w:color w:val="auto"/>
          <w:spacing w:val="0"/>
          <w:lang w:eastAsia="zh-CN"/>
        </w:rPr>
      </w:pP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</w:rPr>
        <w:t>、</w:t>
      </w:r>
      <w:r>
        <w:rPr>
          <w:rFonts w:hint="eastAsia" w:asci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保障措施</w:t>
      </w:r>
    </w:p>
    <w:p w14:paraId="46D2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强化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组织领</w:t>
      </w:r>
      <w:r>
        <w:rPr>
          <w:rFonts w:hint="eastAsia" w:ascii="方正楷体_GBK" w:eastAsia="方正楷体_GBK"/>
          <w:color w:val="auto"/>
          <w:spacing w:val="0"/>
          <w:kern w:val="0"/>
          <w:sz w:val="32"/>
          <w:szCs w:val="32"/>
        </w:rPr>
        <w:t>导。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各村要严格落实粮食安全党政同责要求，积极引导群众抢抓晴好天气，利用秋冬闲田发展小春生产。要压实工作责任，强化精准服务，落实干部分片包干指导制度，紧盯关键农时和重点作物，因地制宜细化技术方案，及时解决农民生产中遇到的实际困难。对农时紧张、劳动力短缺的区域，要重点推动代耕代种、生产托管等社会化服务，确保小春作物满插满栽，不误农时。</w:t>
      </w:r>
    </w:p>
    <w:p w14:paraId="7C92B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强化宣传引导。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要充分利用广播、电视、网络、公告栏、微信群等载体，精准宣传耕地地力保护补贴、农机购置补贴等强农惠农补贴政策，充分激发广大农民种粮积极性。同时，要大力普及农资安全知识，强调科学选药用药、认准正规购买渠道和严防网络诈骗，特别警示提防网络“专家”、“特效药”、“神奇种子”等虚假信息，严防购买假冒伪劣农资，避免造成财产损失和农业生产事故。</w:t>
      </w:r>
    </w:p>
    <w:p w14:paraId="1C342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强化农资市场监管</w:t>
      </w: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要提前摸排属地农资储备情况，及时做好农资调剂，保障农资市场数量充足、质量可靠、价格稳定；要进一步规范农资市场经营秩序，坚决杜绝假冒伪劣农资流入市场和坑农害农事件发生。</w:t>
      </w:r>
    </w:p>
    <w:p w14:paraId="72682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0"/>
          <w:sz w:val="32"/>
          <w:szCs w:val="32"/>
          <w:lang w:val="en-US" w:eastAsia="zh-CN"/>
        </w:rPr>
        <w:t>（四）强化产销服务。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要结合辖区内小春农产品生产情况，提前与商超、货运物流、网络销售等平台做好产销对接，让农产品产得出，卖得掉，卖得好。</w:t>
      </w:r>
    </w:p>
    <w:p w14:paraId="4F50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eastAsia="方正仿宋_GBK"/>
          <w:color w:val="auto"/>
          <w:spacing w:val="0"/>
          <w:kern w:val="0"/>
          <w:sz w:val="32"/>
          <w:szCs w:val="32"/>
          <w:lang w:eastAsia="zh-CN"/>
        </w:rPr>
      </w:pPr>
    </w:p>
    <w:p w14:paraId="36E1E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附件：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木耳镇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2026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年小春粮油生产目标任务分解表</w:t>
      </w:r>
    </w:p>
    <w:p w14:paraId="622AF7F6">
      <w:pPr>
        <w:keepNext w:val="0"/>
        <w:keepLines w:val="0"/>
        <w:pageBreakBefore w:val="0"/>
        <w:widowControl w:val="0"/>
        <w:tabs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3200" w:firstLineChars="1000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</w:p>
    <w:p w14:paraId="08A2AC38">
      <w:pPr>
        <w:keepNext w:val="0"/>
        <w:keepLines w:val="0"/>
        <w:pageBreakBefore w:val="0"/>
        <w:widowControl w:val="0"/>
        <w:tabs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3200" w:firstLineChars="1000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</w:p>
    <w:p w14:paraId="766E360A">
      <w:pPr>
        <w:keepNext w:val="0"/>
        <w:keepLines w:val="0"/>
        <w:pageBreakBefore w:val="0"/>
        <w:widowControl w:val="0"/>
        <w:tabs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420" w:rightChars="200" w:firstLine="0" w:firstLineChars="0"/>
        <w:jc w:val="righ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重庆市渝北区木耳镇人民政府</w:t>
      </w:r>
    </w:p>
    <w:p w14:paraId="1810B4B3">
      <w:pPr>
        <w:keepNext w:val="0"/>
        <w:keepLines w:val="0"/>
        <w:pageBreakBefore w:val="0"/>
        <w:widowControl w:val="0"/>
        <w:tabs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29AB1DA7">
      <w:pPr>
        <w:tabs>
          <w:tab w:val="left" w:pos="5690"/>
        </w:tabs>
        <w:ind w:right="-334" w:rightChars="-159"/>
        <w:rPr>
          <w:rFonts w:hint="default" w:ascii="方正黑体_GBK" w:eastAsia="方正黑体_GBK"/>
          <w:sz w:val="32"/>
          <w:szCs w:val="32"/>
          <w:lang w:val="en-US" w:eastAsia="zh-CN"/>
        </w:rPr>
      </w:pPr>
      <w:bookmarkStart w:id="0" w:name="_GoBack"/>
      <w:bookmarkEnd w:id="0"/>
    </w:p>
    <w:p w14:paraId="5F849B82">
      <w:pPr>
        <w:tabs>
          <w:tab w:val="left" w:pos="5690"/>
        </w:tabs>
        <w:ind w:right="-334" w:rightChars="-159"/>
        <w:rPr>
          <w:rFonts w:hint="eastAsia" w:ascii="方正黑体_GBK" w:eastAsia="方正黑体_GBK"/>
          <w:sz w:val="32"/>
          <w:szCs w:val="32"/>
        </w:rPr>
      </w:pPr>
    </w:p>
    <w:p w14:paraId="1CD14FCD">
      <w:pPr>
        <w:tabs>
          <w:tab w:val="left" w:pos="5690"/>
        </w:tabs>
        <w:ind w:right="-334" w:rightChars="-159"/>
        <w:rPr>
          <w:rFonts w:hint="eastAsia" w:ascii="方正黑体_GBK" w:eastAsia="方正黑体_GBK"/>
          <w:sz w:val="32"/>
          <w:szCs w:val="32"/>
        </w:rPr>
      </w:pPr>
    </w:p>
    <w:p w14:paraId="27922DB8">
      <w:pPr>
        <w:tabs>
          <w:tab w:val="left" w:pos="5690"/>
        </w:tabs>
        <w:ind w:right="-334" w:rightChars="-159"/>
        <w:rPr>
          <w:rFonts w:hint="eastAsia" w:ascii="方正黑体_GBK" w:eastAsia="方正黑体_GBK"/>
          <w:sz w:val="32"/>
          <w:szCs w:val="32"/>
        </w:rPr>
      </w:pPr>
    </w:p>
    <w:p w14:paraId="2A7081CC">
      <w:pPr>
        <w:pStyle w:val="2"/>
        <w:rPr>
          <w:rFonts w:hint="eastAsia" w:ascii="方正黑体_GBK" w:eastAsia="方正黑体_GBK"/>
          <w:sz w:val="32"/>
          <w:szCs w:val="32"/>
        </w:rPr>
      </w:pPr>
    </w:p>
    <w:p w14:paraId="723A3EEA">
      <w:pPr>
        <w:pStyle w:val="2"/>
        <w:ind w:left="0" w:leftChars="0" w:firstLine="0" w:firstLineChars="0"/>
        <w:rPr>
          <w:rFonts w:hint="eastAsia" w:ascii="方正黑体_GBK" w:eastAsia="方正黑体_GBK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decimal"/>
          <w:cols w:space="0" w:num="1"/>
          <w:rtlGutter w:val="0"/>
          <w:docGrid w:type="lines" w:linePitch="324" w:charSpace="0"/>
        </w:sectPr>
      </w:pPr>
    </w:p>
    <w:p w14:paraId="0B823BAC">
      <w:pPr>
        <w:snapToGrid w:val="0"/>
        <w:spacing w:line="413" w:lineRule="atLeas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31"/>
          <w:szCs w:val="20"/>
        </w:rPr>
        <w:t>附件</w:t>
      </w:r>
    </w:p>
    <w:p w14:paraId="3F14BF57">
      <w:pPr>
        <w:pStyle w:val="2"/>
        <w:ind w:left="0" w:leftChars="0" w:firstLine="0" w:firstLineChars="0"/>
        <w:jc w:val="center"/>
        <w:rPr>
          <w:rStyle w:val="27"/>
          <w:color w:val="auto"/>
          <w:lang w:val="en-US" w:eastAsia="zh-CN" w:bidi="ar"/>
        </w:rPr>
      </w:pPr>
      <w:r>
        <w:rPr>
          <w:rStyle w:val="27"/>
          <w:color w:val="auto"/>
          <w:sz w:val="44"/>
          <w:szCs w:val="44"/>
          <w:lang w:val="en-US" w:eastAsia="zh-CN" w:bidi="ar"/>
        </w:rPr>
        <w:t>木耳镇</w:t>
      </w:r>
      <w:r>
        <w:rPr>
          <w:rStyle w:val="28"/>
          <w:rFonts w:eastAsia="方正小标宋_GBK"/>
          <w:color w:val="auto"/>
          <w:sz w:val="44"/>
          <w:szCs w:val="44"/>
          <w:lang w:val="en-US" w:eastAsia="zh-CN" w:bidi="ar"/>
        </w:rPr>
        <w:t>202</w:t>
      </w:r>
      <w:r>
        <w:rPr>
          <w:rStyle w:val="28"/>
          <w:rFonts w:hint="eastAsia" w:eastAsia="方正小标宋_GBK"/>
          <w:color w:val="auto"/>
          <w:sz w:val="44"/>
          <w:szCs w:val="44"/>
          <w:lang w:val="en-US" w:eastAsia="zh-CN" w:bidi="ar"/>
        </w:rPr>
        <w:t>6</w:t>
      </w:r>
      <w:r>
        <w:rPr>
          <w:rStyle w:val="27"/>
          <w:color w:val="auto"/>
          <w:sz w:val="44"/>
          <w:szCs w:val="44"/>
          <w:lang w:val="en-US" w:eastAsia="zh-CN" w:bidi="ar"/>
        </w:rPr>
        <w:t>年小春粮油生产目标任务分解表</w:t>
      </w:r>
    </w:p>
    <w:p w14:paraId="1B8A56BF">
      <w:pPr>
        <w:pStyle w:val="2"/>
        <w:ind w:left="0" w:leftChars="0" w:firstLine="0" w:firstLineChars="0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eastAsia="仿宋_GB2312"/>
          <w:sz w:val="28"/>
          <w:szCs w:val="20"/>
          <w:lang w:val="en-US" w:eastAsia="zh-CN"/>
        </w:rPr>
        <w:t xml:space="preserve">                                                                    </w:t>
      </w:r>
      <w:r>
        <w:rPr>
          <w:rFonts w:hint="eastAsia" w:eastAsia="仿宋_GB2312"/>
          <w:sz w:val="28"/>
          <w:szCs w:val="20"/>
        </w:rPr>
        <w:t>单位：亩</w:t>
      </w:r>
      <w:r>
        <w:rPr>
          <w:rFonts w:hint="eastAsia" w:eastAsia="仿宋_GB2312"/>
          <w:sz w:val="28"/>
          <w:szCs w:val="20"/>
          <w:lang w:eastAsia="zh-CN"/>
        </w:rPr>
        <w:t>、</w:t>
      </w:r>
      <w:r>
        <w:rPr>
          <w:rFonts w:hint="eastAsia" w:eastAsia="仿宋_GB2312"/>
          <w:sz w:val="28"/>
          <w:szCs w:val="20"/>
          <w:lang w:val="en-US" w:eastAsia="zh-CN"/>
        </w:rPr>
        <w:t>吨</w:t>
      </w:r>
    </w:p>
    <w:p w14:paraId="768B4EFB">
      <w:pPr>
        <w:snapToGrid w:val="0"/>
        <w:spacing w:line="413" w:lineRule="atLeast"/>
        <w:ind w:left="3858" w:leftChars="7" w:right="-334" w:rightChars="-159" w:hanging="3843" w:hangingChars="1830"/>
        <w:rPr>
          <w:rFonts w:hint="eastAsia"/>
          <w:b/>
          <w:sz w:val="42"/>
          <w:szCs w:val="20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40005</wp:posOffset>
            </wp:positionV>
            <wp:extent cx="8086090" cy="3667125"/>
            <wp:effectExtent l="0" t="0" r="10160" b="9525"/>
            <wp:wrapTopAndBottom/>
            <wp:docPr id="3" name="图片 2" descr="工作簿1_Sheet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工作簿1_Sheet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609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86461">
      <w:pPr>
        <w:wordWrap w:val="0"/>
        <w:snapToGrid w:val="0"/>
        <w:spacing w:line="413" w:lineRule="atLeast"/>
        <w:ind w:right="-334" w:rightChars="-159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446" w:right="1984" w:bottom="1446" w:left="1644" w:header="851" w:footer="992" w:gutter="0"/>
      <w:paperSrc/>
      <w:pgNumType w:fmt="decimal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11CC4"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420" w:leftChars="200" w:right="420" w:rightChars="2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86B56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86B56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EF73CD8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6"/>
  <w:displayHorizontalDrawingGridEvery w:val="1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Tk4Yjk5M2MzMDNkOGMwNjJjMTQzYTVlOTAzOTAifQ=="/>
  </w:docVars>
  <w:rsids>
    <w:rsidRoot w:val="2A690D3D"/>
    <w:rsid w:val="03791753"/>
    <w:rsid w:val="039B78AC"/>
    <w:rsid w:val="04B54A0D"/>
    <w:rsid w:val="06E90874"/>
    <w:rsid w:val="07F738CC"/>
    <w:rsid w:val="0C2B3807"/>
    <w:rsid w:val="0CC20CC2"/>
    <w:rsid w:val="0F060857"/>
    <w:rsid w:val="0F80798B"/>
    <w:rsid w:val="0FBF6D3D"/>
    <w:rsid w:val="13A17DDC"/>
    <w:rsid w:val="1B07625D"/>
    <w:rsid w:val="21A16F04"/>
    <w:rsid w:val="230B56CB"/>
    <w:rsid w:val="24696F8B"/>
    <w:rsid w:val="24CC112D"/>
    <w:rsid w:val="25A574CB"/>
    <w:rsid w:val="27936385"/>
    <w:rsid w:val="2A690D3D"/>
    <w:rsid w:val="2A905451"/>
    <w:rsid w:val="2AAB0A4B"/>
    <w:rsid w:val="2C532DA0"/>
    <w:rsid w:val="2ED21BF0"/>
    <w:rsid w:val="31D01B56"/>
    <w:rsid w:val="337F56C4"/>
    <w:rsid w:val="35F20D6E"/>
    <w:rsid w:val="3B5C66E4"/>
    <w:rsid w:val="3CC1149A"/>
    <w:rsid w:val="3DC95DD6"/>
    <w:rsid w:val="3E2A45F6"/>
    <w:rsid w:val="45942402"/>
    <w:rsid w:val="45DC10F2"/>
    <w:rsid w:val="489C3B47"/>
    <w:rsid w:val="4C411D50"/>
    <w:rsid w:val="4D9744FB"/>
    <w:rsid w:val="4E354B39"/>
    <w:rsid w:val="4FD41F45"/>
    <w:rsid w:val="51CB798B"/>
    <w:rsid w:val="52F66232"/>
    <w:rsid w:val="55204AF5"/>
    <w:rsid w:val="55C7438A"/>
    <w:rsid w:val="5C86794B"/>
    <w:rsid w:val="5D994B44"/>
    <w:rsid w:val="62791314"/>
    <w:rsid w:val="63051831"/>
    <w:rsid w:val="65F12581"/>
    <w:rsid w:val="666351EC"/>
    <w:rsid w:val="69FA5FC4"/>
    <w:rsid w:val="6C6038E4"/>
    <w:rsid w:val="71187974"/>
    <w:rsid w:val="71645595"/>
    <w:rsid w:val="74AA317F"/>
    <w:rsid w:val="76A22E09"/>
    <w:rsid w:val="7B4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beforeLines="50" w:afterLines="50" w:line="360" w:lineRule="auto"/>
      <w:jc w:val="center"/>
      <w:outlineLvl w:val="0"/>
    </w:pPr>
    <w:rPr>
      <w:rFonts w:ascii="宋体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="156" w:beforeLines="50" w:after="156" w:afterLines="50" w:line="560" w:lineRule="exact"/>
      <w:ind w:firstLine="640" w:firstLineChars="200"/>
      <w:jc w:val="left"/>
      <w:outlineLvl w:val="1"/>
    </w:pPr>
    <w:rPr>
      <w:rFonts w:ascii="方正楷体_GBK" w:hAnsi="Times New Roman" w:eastAsia="方正楷体_GBK" w:cs="Times New Roman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outlineLvl w:val="2"/>
    </w:pPr>
    <w:rPr>
      <w:rFonts w:eastAsia="宋体"/>
      <w:bCs/>
      <w:sz w:val="30"/>
      <w:szCs w:val="32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6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Body Text"/>
    <w:basedOn w:val="1"/>
    <w:next w:val="9"/>
    <w:qFormat/>
    <w:uiPriority w:val="0"/>
    <w:pPr>
      <w:spacing w:line="600" w:lineRule="exact"/>
    </w:pPr>
    <w:rPr>
      <w:rFonts w:eastAsia="方正小标宋_GBK"/>
      <w:sz w:val="44"/>
    </w:rPr>
  </w:style>
  <w:style w:type="paragraph" w:styleId="9">
    <w:name w:val="toc 5"/>
    <w:basedOn w:val="1"/>
    <w:next w:val="1"/>
    <w:semiHidden/>
    <w:qFormat/>
    <w:uiPriority w:val="99"/>
    <w:pPr>
      <w:ind w:left="1680"/>
    </w:pPr>
  </w:style>
  <w:style w:type="paragraph" w:styleId="10">
    <w:name w:val="Body Text Indent"/>
    <w:basedOn w:val="1"/>
    <w:qFormat/>
    <w:uiPriority w:val="0"/>
    <w:pPr>
      <w:ind w:firstLine="570"/>
    </w:pPr>
    <w:rPr>
      <w:rFonts w:ascii="宋体" w:hAnsi="宋体" w:eastAsia="宋体" w:cs="Times New Roman"/>
      <w:sz w:val="28"/>
      <w:szCs w:val="24"/>
    </w:rPr>
  </w:style>
  <w:style w:type="paragraph" w:styleId="1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Body Text Indent 2"/>
    <w:basedOn w:val="1"/>
    <w:qFormat/>
    <w:uiPriority w:val="0"/>
    <w:pPr>
      <w:ind w:firstLine="640" w:firstLineChars="200"/>
    </w:pPr>
    <w:rPr>
      <w:rFonts w:ascii="Times New Roman" w:cs="Times New Roman"/>
      <w:kern w:val="2"/>
      <w:szCs w:val="24"/>
    </w:rPr>
  </w:style>
  <w:style w:type="paragraph" w:styleId="13">
    <w:name w:val="footer"/>
    <w:basedOn w:val="1"/>
    <w:next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Body Text 2"/>
    <w:basedOn w:val="1"/>
    <w:qFormat/>
    <w:uiPriority w:val="0"/>
    <w:pPr>
      <w:jc w:val="center"/>
    </w:pPr>
    <w:rPr>
      <w:rFonts w:ascii="经典粗宋简" w:eastAsia="经典粗宋简" w:cs="Times New Roman"/>
      <w:sz w:val="44"/>
      <w:szCs w:val="24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BodyText"/>
    <w:basedOn w:val="1"/>
    <w:qFormat/>
    <w:uiPriority w:val="0"/>
    <w:rPr>
      <w:rFonts w:eastAsia="宋体"/>
      <w:sz w:val="21"/>
      <w:szCs w:val="24"/>
    </w:rPr>
  </w:style>
  <w:style w:type="paragraph" w:customStyle="1" w:styleId="23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4">
    <w:name w:val="No Spacing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_GBK" w:cs="Times New Roman"/>
      <w:kern w:val="2"/>
      <w:sz w:val="44"/>
      <w:szCs w:val="22"/>
      <w:lang w:val="en-US" w:eastAsia="zh-CN" w:bidi="ar-SA"/>
    </w:rPr>
  </w:style>
  <w:style w:type="character" w:customStyle="1" w:styleId="25">
    <w:name w:val="page number"/>
    <w:basedOn w:val="20"/>
    <w:qFormat/>
    <w:uiPriority w:val="0"/>
  </w:style>
  <w:style w:type="paragraph" w:customStyle="1" w:styleId="26">
    <w:name w:val="_Style 34"/>
    <w:basedOn w:val="1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27">
    <w:name w:val="font21"/>
    <w:basedOn w:val="20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8">
    <w:name w:val="font61"/>
    <w:basedOn w:val="2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1199</Words>
  <Characters>1285</Characters>
  <Lines>0</Lines>
  <Paragraphs>0</Paragraphs>
  <TotalTime>10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2024-03-22T07:10:00Z</dcterms:created>
  <dc:creator>Free.</dc:creator>
  <cp:lastModifiedBy>未白</cp:lastModifiedBy>
  <cp:lastPrinted>2025-08-19T09:45:00Z</cp:lastPrinted>
  <dcterms:modified xsi:type="dcterms:W3CDTF">2025-08-20T01:15:40Z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D91AEB4545D94C919BC6A712CA7B5B78_13</vt:lpwstr>
  </property>
  <property fmtid="{D5CDD505-2E9C-101B-9397-08002B2CF9AE}" pid="4" name="KSOTemplateDocerSaveRecord">
    <vt:lpwstr>eyJoZGlkIjoiZDI4MjE4ZmJiYTM3NTk5Y2JkMjNiZWIwNGU0NzhiOTgiLCJ1c2VySWQiOiIxMjgxMjEzMTU4In0=</vt:lpwstr>
  </property>
</Properties>
</file>