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firstLine="0"/>
        <w:jc w:val="center"/>
        <w:rPr>
          <w:rStyle w:val="5"/>
          <w:rFonts w:hint="default" w:ascii="Times New Roman" w:hAnsi="Times New Roman" w:eastAsia="宋体" w:cs="Times New Roman"/>
          <w:i w:val="0"/>
          <w:caps w:val="0"/>
          <w:color w:val="000000"/>
          <w:spacing w:val="0"/>
          <w:sz w:val="30"/>
          <w:szCs w:val="30"/>
        </w:rPr>
      </w:pPr>
      <w:r>
        <w:rPr>
          <w:rStyle w:val="5"/>
          <w:rFonts w:hint="default" w:ascii="Times New Roman" w:hAnsi="Times New Roman" w:eastAsia="宋体" w:cs="Times New Roman"/>
          <w:i w:val="0"/>
          <w:caps w:val="0"/>
          <w:color w:val="000000"/>
          <w:spacing w:val="0"/>
          <w:sz w:val="30"/>
          <w:szCs w:val="30"/>
        </w:rPr>
        <w:t>重庆市渝北区洛碛镇人民政府</w:t>
      </w:r>
    </w:p>
    <w:p>
      <w:pPr>
        <w:pStyle w:val="2"/>
        <w:keepNext w:val="0"/>
        <w:keepLines w:val="0"/>
        <w:widowControl/>
        <w:suppressLineNumbers w:val="0"/>
        <w:spacing w:before="0" w:beforeAutospacing="0" w:after="0" w:afterAutospacing="0" w:line="368" w:lineRule="atLeast"/>
        <w:ind w:left="0" w:firstLine="0"/>
        <w:jc w:val="center"/>
        <w:rPr>
          <w:rFonts w:hint="default" w:ascii="Times New Roman" w:hAnsi="Times New Roman" w:eastAsia="sans-serif" w:cs="Times New Roman"/>
          <w:i w:val="0"/>
          <w:caps w:val="0"/>
          <w:color w:val="000000"/>
          <w:spacing w:val="0"/>
          <w:sz w:val="27"/>
          <w:szCs w:val="27"/>
        </w:rPr>
      </w:pPr>
      <w:r>
        <w:rPr>
          <w:rStyle w:val="5"/>
          <w:rFonts w:hint="default" w:ascii="Times New Roman" w:hAnsi="Times New Roman" w:eastAsia="宋体" w:cs="Times New Roman"/>
          <w:i w:val="0"/>
          <w:caps w:val="0"/>
          <w:color w:val="000000"/>
          <w:spacing w:val="0"/>
          <w:sz w:val="30"/>
          <w:szCs w:val="30"/>
        </w:rPr>
        <w:t>2020年政府信息公开工作年度报告</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本年度报告根据《中华人民共和国政府信息公开条例》（国务院令第711号）等相关要求，结合2020年洛碛镇政府信息公开工作实际编制。本年度报告中所列数据的统计期限自2020年1月1日起至2020年12月31日止。</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一、总体情况</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2020年，洛碛镇认真落实《中华人民共和国政府信息公开条例》、《国务院办公厅政府信息与政务公开办公室关于政府信息公开工作年度报告有关事项的通知》（国办公开办函〔2019〕60号）、区政府办公室印发的《关于做好2020年政府信息公开工作年度报告有关工作的通知》等相关文件的要求，始终坚持“以公开为常态、不公开为例外”，不断健全政务公开机制，不断提升政务公开质量。</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一）政务信息主动公开。2020年我镇主动公开政府信息共183条，根据《中华人民共和国政府信息公开条例》规定，遵循公正、公开、便民的原则，严格按照市、区关于政务公开工作的统一部署和要求，执行信息公开工作的流程，后予以公开，确保公开信息的及时、准确。</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（二）依申请公开。本年度我镇未收到依申请政府信息。</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三）政府信息管理。严格规范政务信息公开流程，落实“涉密不上网，上网不涉密”，“谁上网，谁负责，谁审批谁负责”的相关要求，以《中华人民共和国政府信息公开条例》等有关规定为标准，进行严格政府信息公开保密审查。</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（四）平台搭建。持续推进政府信息公开平台与政务服务平台融合，通过渝北区政府网站、镇政府政务公开栏等方式公开相关工作，加强政府信息公开的高效性。</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五）监督保障。继续加强对政府信息公开工作领导小组的建设，进一步增强行政管理活动的透明度,促进依法行政，建立完善政府信息公开工作考核、社会评议、工作统计和举报办理制度，推进政府信息公开标准化建设。</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二、主动公开政府信息情况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75" w:type="dxa"/>
          <w:left w:w="150" w:type="dxa"/>
          <w:bottom w:w="75" w:type="dxa"/>
          <w:right w:w="150" w:type="dxa"/>
        </w:tblCellMar>
      </w:tblPr>
      <w:tblGrid>
        <w:gridCol w:w="2114"/>
        <w:gridCol w:w="2114"/>
        <w:gridCol w:w="211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181" w:hRule="atLeast"/>
          <w:jc w:val="center"/>
        </w:trPr>
        <w:tc>
          <w:tcPr>
            <w:tcW w:w="11115" w:type="dxa"/>
            <w:gridSpan w:val="4"/>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信息内容</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本年新制作数量</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本年新公开数量</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规章</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规范性文件</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eastAsia" w:ascii="Times New Roman" w:hAnsi="Times New Roman" w:cs="Times New Roman" w:eastAsiaTheme="minorEastAsia"/>
                <w:lang w:eastAsia="zh-CN"/>
              </w:rPr>
            </w:pPr>
            <w:r>
              <w:rPr>
                <w:rFonts w:hint="eastAsia" w:ascii="Times New Roman" w:hAnsi="Times New Roman" w:cs="Times New Roman"/>
                <w:lang w:val="en-US" w:eastAsia="zh-CN"/>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gridSpan w:val="4"/>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信息内容</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上一年项目数量</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本年增/减</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行政许可</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11</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其他对外管理服务事项</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75</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gridSpan w:val="4"/>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信息内容</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上一年项目数量</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本年增/减</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行政处罚</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8</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行政强制</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4</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gridSpan w:val="4"/>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信息内容</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上一年项目数量</w:t>
            </w:r>
          </w:p>
        </w:tc>
        <w:tc>
          <w:tcPr>
            <w:tcW w:w="11115" w:type="dxa"/>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行政事业性收费</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11115" w:type="dxa"/>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gridSpan w:val="4"/>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信息内容</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采购项目数量</w:t>
            </w:r>
          </w:p>
        </w:tc>
        <w:tc>
          <w:tcPr>
            <w:tcW w:w="11115" w:type="dxa"/>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81" w:hRule="atLeast"/>
          <w:jc w:val="center"/>
        </w:trPr>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政府集中采购</w:t>
            </w:r>
          </w:p>
        </w:tc>
        <w:tc>
          <w:tcPr>
            <w:tcW w:w="11115" w:type="dxa"/>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20</w:t>
            </w:r>
          </w:p>
        </w:tc>
        <w:tc>
          <w:tcPr>
            <w:tcW w:w="11115" w:type="dxa"/>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40万</w:t>
            </w:r>
          </w:p>
        </w:tc>
      </w:tr>
    </w:tbl>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三、收到和处理政府信息公开申请情况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75" w:type="dxa"/>
          <w:left w:w="150" w:type="dxa"/>
          <w:bottom w:w="75" w:type="dxa"/>
          <w:right w:w="150" w:type="dxa"/>
        </w:tblCellMar>
      </w:tblPr>
      <w:tblGrid>
        <w:gridCol w:w="1170"/>
        <w:gridCol w:w="1179"/>
        <w:gridCol w:w="1833"/>
        <w:gridCol w:w="544"/>
        <w:gridCol w:w="622"/>
        <w:gridCol w:w="622"/>
        <w:gridCol w:w="776"/>
        <w:gridCol w:w="776"/>
        <w:gridCol w:w="467"/>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166" w:hRule="atLeast"/>
          <w:jc w:val="center"/>
        </w:trPr>
        <w:tc>
          <w:tcPr>
            <w:tcW w:w="0" w:type="auto"/>
            <w:gridSpan w:val="3"/>
            <w:vMerge w:val="restart"/>
            <w:shd w:val="clear" w:color="auto" w:fill="auto"/>
            <w:tcMar>
              <w:left w:w="75" w:type="dxa"/>
              <w:right w:w="75" w:type="dxa"/>
            </w:tcMar>
            <w:vAlign w:val="center"/>
          </w:tcPr>
          <w:p>
            <w:pPr>
              <w:keepNext w:val="0"/>
              <w:keepLines w:val="0"/>
              <w:widowControl/>
              <w:suppressLineNumbers w:val="0"/>
              <w:wordWrap w:val="0"/>
              <w:jc w:val="center"/>
              <w:rPr>
                <w:rFonts w:hint="default" w:ascii="Times New Roman" w:hAnsi="Times New Roman" w:cs="Times New Roman"/>
              </w:rPr>
            </w:pPr>
          </w:p>
        </w:tc>
        <w:tc>
          <w:tcPr>
            <w:tcW w:w="0" w:type="auto"/>
            <w:gridSpan w:val="7"/>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gridSpan w:val="3"/>
            <w:vMerge w:val="continue"/>
            <w:shd w:val="clear" w:color="auto" w:fill="auto"/>
            <w:tcMar>
              <w:left w:w="75" w:type="dxa"/>
              <w:right w:w="75" w:type="dxa"/>
            </w:tcMar>
            <w:vAlign w:val="center"/>
          </w:tcPr>
          <w:p>
            <w:pPr>
              <w:jc w:val="center"/>
              <w:rPr>
                <w:rFonts w:hint="default" w:ascii="Times New Roman" w:hAnsi="Times New Roman" w:cs="Times New Roman"/>
                <w:sz w:val="24"/>
                <w:szCs w:val="24"/>
              </w:rPr>
            </w:pP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自然人</w:t>
            </w:r>
          </w:p>
        </w:tc>
        <w:tc>
          <w:tcPr>
            <w:tcW w:w="0" w:type="auto"/>
            <w:gridSpan w:val="5"/>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法人或其他组织</w:t>
            </w: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gridSpan w:val="3"/>
            <w:vMerge w:val="continue"/>
            <w:shd w:val="clear" w:color="auto" w:fill="auto"/>
            <w:tcMar>
              <w:left w:w="75" w:type="dxa"/>
              <w:right w:w="75" w:type="dxa"/>
            </w:tcMar>
            <w:vAlign w:val="center"/>
          </w:tcPr>
          <w:p>
            <w:pPr>
              <w:jc w:val="cente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商业企业</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科研机构</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社会公益组织</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法律服务机构</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其他</w:t>
            </w: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gridSpan w:val="3"/>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一、本年新收政府信息公开申请数量</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gridSpan w:val="3"/>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二、上年结转政府信息公开申请数量</w:t>
            </w:r>
          </w:p>
        </w:tc>
        <w:tc>
          <w:tcPr>
            <w:tcW w:w="0" w:type="auto"/>
            <w:shd w:val="clear" w:color="auto" w:fill="auto"/>
            <w:tcMar>
              <w:left w:w="75" w:type="dxa"/>
              <w:right w:w="75" w:type="dxa"/>
            </w:tcMar>
            <w:vAlign w:val="center"/>
          </w:tcPr>
          <w:p>
            <w:pPr>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三、本年度办理结果</w:t>
            </w:r>
          </w:p>
        </w:tc>
        <w:tc>
          <w:tcPr>
            <w:tcW w:w="0" w:type="auto"/>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（一）予以公开</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（二）部分公开</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（三）不予公开</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1.属于国家秘密</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2.其他法律行政法规禁止公开</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3.危及“三安全一稳定”</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4.保护第三方合法权益</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5.属于三类内部事务信息</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6.属于四类过程性信息</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7.属于行政执法案卷</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8.属于行政查询事项</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（四）无法提供</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1.本机关不掌握相关政府信息</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2.没有现成信息需要另行制作</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3.补正后申请内容仍不明确</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（五）不予处理</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1.信访举报投诉类申请</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2.重复申请</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3.要求提供公开出版物</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4.无正当理由大量反复申请</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rFonts w:hint="default" w:ascii="Times New Roman" w:hAnsi="Times New Roman" w:cs="Times New Roman"/>
              </w:rPr>
            </w:pPr>
            <w:r>
              <w:rPr>
                <w:rFonts w:hint="default" w:ascii="Times New Roman" w:hAnsi="Times New Roman" w:cs="Times New Roman"/>
              </w:rPr>
              <w:t>5.要求行政机关确认或重新出具已获取信息</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（六）其他处理</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gridSpan w:val="2"/>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（七）总计</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66" w:hRule="atLeast"/>
          <w:jc w:val="center"/>
        </w:trPr>
        <w:tc>
          <w:tcPr>
            <w:tcW w:w="0" w:type="auto"/>
            <w:gridSpan w:val="3"/>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四、结转下年度继续办理</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0</w:t>
            </w:r>
          </w:p>
        </w:tc>
      </w:tr>
    </w:tbl>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四、政府信息公开行政复议、行政诉讼情况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75" w:type="dxa"/>
          <w:left w:w="150" w:type="dxa"/>
          <w:bottom w:w="75" w:type="dxa"/>
          <w:right w:w="150" w:type="dxa"/>
        </w:tblCellMar>
      </w:tblPr>
      <w:tblGrid>
        <w:gridCol w:w="590"/>
        <w:gridCol w:w="590"/>
        <w:gridCol w:w="590"/>
        <w:gridCol w:w="590"/>
        <w:gridCol w:w="228"/>
        <w:gridCol w:w="228"/>
        <w:gridCol w:w="590"/>
        <w:gridCol w:w="590"/>
        <w:gridCol w:w="590"/>
        <w:gridCol w:w="590"/>
        <w:gridCol w:w="458"/>
        <w:gridCol w:w="591"/>
        <w:gridCol w:w="591"/>
        <w:gridCol w:w="591"/>
        <w:gridCol w:w="591"/>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241" w:hRule="atLeast"/>
          <w:jc w:val="center"/>
        </w:trPr>
        <w:tc>
          <w:tcPr>
            <w:tcW w:w="0" w:type="auto"/>
            <w:gridSpan w:val="5"/>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行政复议</w:t>
            </w:r>
          </w:p>
        </w:tc>
        <w:tc>
          <w:tcPr>
            <w:tcW w:w="0" w:type="auto"/>
            <w:gridSpan w:val="11"/>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    行政诉讼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241" w:hRule="atLeast"/>
          <w:jc w:val="center"/>
        </w:trPr>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结果维持</w:t>
            </w: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结果纠正</w:t>
            </w: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其他结果</w:t>
            </w:r>
          </w:p>
        </w:tc>
        <w:tc>
          <w:tcPr>
            <w:tcW w:w="0" w:type="auto"/>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尚未审结</w:t>
            </w:r>
          </w:p>
        </w:tc>
        <w:tc>
          <w:tcPr>
            <w:tcW w:w="0" w:type="auto"/>
            <w:gridSpan w:val="2"/>
            <w:vMerge w:val="restart"/>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总计</w:t>
            </w:r>
          </w:p>
        </w:tc>
        <w:tc>
          <w:tcPr>
            <w:tcW w:w="0" w:type="auto"/>
            <w:gridSpan w:val="5"/>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未经复议直接起诉</w:t>
            </w:r>
          </w:p>
        </w:tc>
        <w:tc>
          <w:tcPr>
            <w:tcW w:w="0" w:type="auto"/>
            <w:gridSpan w:val="5"/>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241" w:hRule="atLeast"/>
          <w:jc w:val="center"/>
        </w:trPr>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gridSpan w:val="2"/>
            <w:vMerge w:val="continue"/>
            <w:shd w:val="clear" w:color="auto" w:fill="auto"/>
            <w:tcMar>
              <w:left w:w="75" w:type="dxa"/>
              <w:right w:w="75" w:type="dxa"/>
            </w:tcMar>
            <w:vAlign w:val="center"/>
          </w:tcPr>
          <w:p>
            <w:pPr>
              <w:rPr>
                <w:rFonts w:hint="default" w:ascii="Times New Roman" w:hAnsi="Times New Roman" w:cs="Times New Roman"/>
                <w:sz w:val="24"/>
                <w:szCs w:val="24"/>
              </w:rPr>
            </w:pP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结果维持</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结果纠正</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其他结果</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尚未审结</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总计</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结果维持</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结果纠正</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其他结果</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尚未审结</w:t>
            </w:r>
          </w:p>
        </w:tc>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default" w:ascii="Times New Roman" w:hAnsi="Times New Roman" w:cs="Times New Roman"/>
              </w:rPr>
            </w:pPr>
            <w:r>
              <w:rPr>
                <w:rFonts w:hint="default" w:ascii="Times New Roman" w:hAnsi="Times New Roman" w:cs="Times New Roma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241" w:hRule="atLeast"/>
          <w:jc w:val="center"/>
        </w:trPr>
        <w:tc>
          <w:tcPr>
            <w:tcW w:w="0" w:type="auto"/>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gridSpan w:val="2"/>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c>
          <w:tcPr>
            <w:tcW w:w="0" w:type="auto"/>
            <w:shd w:val="clear" w:color="auto" w:fill="auto"/>
            <w:tcMar>
              <w:left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right="0"/>
              <w:jc w:val="both"/>
              <w:rPr>
                <w:rFonts w:hint="default" w:ascii="Times New Roman" w:hAnsi="Times New Roman" w:cs="Times New Roman"/>
              </w:rPr>
            </w:pPr>
            <w:r>
              <w:rPr>
                <w:rFonts w:hint="eastAsia" w:ascii="Times New Roman" w:hAnsi="Times New Roman" w:cs="Times New Roman"/>
                <w:lang w:val="en-US" w:eastAsia="zh-CN"/>
              </w:rPr>
              <w:t>0</w:t>
            </w:r>
          </w:p>
        </w:tc>
      </w:tr>
    </w:tbl>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五、存在的主要问题及改进情况</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一）工作中存在的主要问题和困难。我镇政府信息公开工作取得一定成效，但也存在一些薄弱环节，主要表现在：一是公开的内容深度不够，表面事项公开多，深层次的问题公开少。二是公开的覆盖广度不够，群众对于政府事务关注度不高，参与意识淡薄。三是工作人员的业务水平还有待进一步提高。</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二）具体解决办法和改进措施。一是建立健全管理机制。严格按照上级要求，结合我镇实际，进一步完善了政务公开工作机制，明确各级各有关部门在政务公开工作中的职责。二是切实提升业务水平。以《中华人民共和国政府信息公开条例》为载体，强化了学习认识，抓牢精髓，及时准确地向社会公开政府信息；采取了形式多样的培训手段，全面提高政务公开水平。三是扩大宣传范围。加大了对信息公开工作的宣传力度，利用图片、短视频等更利于互联网传播的形式生动形象地做好政务解读展示，使社会公众对这项工作有进一步的了解和更深的认识。</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六、其他需要报告的事项</w:t>
      </w:r>
    </w:p>
    <w:p>
      <w:pPr>
        <w:pStyle w:val="2"/>
        <w:keepNext w:val="0"/>
        <w:keepLines w:val="0"/>
        <w:widowControl/>
        <w:suppressLineNumbers w:val="0"/>
        <w:spacing w:before="0" w:beforeAutospacing="0" w:after="0" w:afterAutospacing="0" w:line="368" w:lineRule="atLeast"/>
        <w:ind w:left="0" w:firstLine="420"/>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本报告电子版可在重庆市渝北区洛碛镇人民政府门户网站下载。如对本报告有任何疑问，请与重庆市渝北区洛碛镇党政办联系（地址：重庆市渝北区洛碛镇人民政府大楼二楼，联系电话：023-67381653）。</w:t>
      </w:r>
    </w:p>
    <w:p>
      <w:pPr>
        <w:pStyle w:val="2"/>
        <w:keepNext w:val="0"/>
        <w:keepLines w:val="0"/>
        <w:widowControl/>
        <w:suppressLineNumbers w:val="0"/>
        <w:spacing w:before="0" w:beforeAutospacing="0" w:after="0" w:afterAutospacing="0" w:line="368" w:lineRule="atLeast"/>
        <w:ind w:left="0" w:firstLine="420"/>
        <w:jc w:val="righ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重庆市渝北区洛碛镇人民政府</w:t>
      </w:r>
    </w:p>
    <w:p>
      <w:pPr>
        <w:pStyle w:val="2"/>
        <w:keepNext w:val="0"/>
        <w:keepLines w:val="0"/>
        <w:widowControl/>
        <w:suppressLineNumbers w:val="0"/>
        <w:spacing w:before="0" w:beforeAutospacing="0" w:after="0" w:afterAutospacing="0" w:line="368" w:lineRule="atLeast"/>
        <w:ind w:left="0" w:firstLine="420"/>
        <w:jc w:val="righ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2021年1月19日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BhNGNjZjdmY2ZmYzdlNTI2MWI0NjZmODdkNGQifQ=="/>
  </w:docVars>
  <w:rsids>
    <w:rsidRoot w:val="00000000"/>
    <w:rsid w:val="09A63987"/>
    <w:rsid w:val="0EF00842"/>
    <w:rsid w:val="1BD20609"/>
    <w:rsid w:val="1CE37CAC"/>
    <w:rsid w:val="209B1A28"/>
    <w:rsid w:val="475128DC"/>
    <w:rsid w:val="50E35529"/>
    <w:rsid w:val="708D04C7"/>
    <w:rsid w:val="79C16837"/>
    <w:rsid w:val="7A8D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2041</Words>
  <Characters>2114</Characters>
  <Lines>0</Lines>
  <Paragraphs>0</Paragraphs>
  <TotalTime>9</TotalTime>
  <ScaleCrop>false</ScaleCrop>
  <LinksUpToDate>false</LinksUpToDate>
  <CharactersWithSpaces>2114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2022-01-28T03:56:00Z</dcterms:created>
  <dc:creator>asus</dc:creator>
  <cp:lastModifiedBy>好莱坞六巨头</cp:lastModifiedBy>
  <dcterms:modified xsi:type="dcterms:W3CDTF">2023-12-06T06:43:41Z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DE245D2E6AFC41DEAC74021AF46CDFE3</vt:lpwstr>
  </property>
</Properties>
</file>