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方正小标宋_GBK" w:eastAsia="方正小标宋_GBK"/>
          <w:b/>
          <w:bCs/>
          <w:sz w:val="36"/>
          <w:szCs w:val="36"/>
          <w:lang w:val="en-US" w:eastAsia="zh-CN"/>
        </w:rPr>
      </w:pPr>
      <w:r>
        <w:rPr>
          <w:rFonts w:hint="eastAsia" w:ascii="方正小标宋_GBK" w:hAnsi="宋体" w:eastAsia="方正小标宋_GBK"/>
          <w:b/>
          <w:bCs/>
          <w:sz w:val="36"/>
          <w:szCs w:val="36"/>
        </w:rPr>
        <w:t>20</w:t>
      </w:r>
      <w:r>
        <w:rPr>
          <w:rFonts w:hint="eastAsia" w:ascii="方正小标宋_GBK" w:hAnsi="宋体" w:eastAsia="方正小标宋_GBK"/>
          <w:b/>
          <w:bCs/>
          <w:sz w:val="36"/>
          <w:szCs w:val="36"/>
          <w:lang w:val="en-US" w:eastAsia="zh-CN"/>
        </w:rPr>
        <w:t>22</w:t>
      </w:r>
      <w:r>
        <w:rPr>
          <w:rFonts w:hint="eastAsia" w:ascii="方正小标宋_GBK" w:hAnsi="宋体" w:eastAsia="方正小标宋_GBK"/>
          <w:b/>
          <w:bCs/>
          <w:sz w:val="36"/>
          <w:szCs w:val="36"/>
        </w:rPr>
        <w:t>年度区级彩票公益金项目基本情况表</w:t>
      </w:r>
    </w:p>
    <w:tbl>
      <w:tblPr>
        <w:tblStyle w:val="5"/>
        <w:tblW w:w="9149" w:type="dxa"/>
        <w:tblInd w:w="-252" w:type="dxa"/>
        <w:tblLayout w:type="fixed"/>
        <w:tblCellMar>
          <w:top w:w="0" w:type="dxa"/>
          <w:left w:w="108" w:type="dxa"/>
          <w:bottom w:w="0" w:type="dxa"/>
          <w:right w:w="108" w:type="dxa"/>
        </w:tblCellMar>
      </w:tblPr>
      <w:tblGrid>
        <w:gridCol w:w="1209"/>
        <w:gridCol w:w="1986"/>
        <w:gridCol w:w="1984"/>
        <w:gridCol w:w="992"/>
        <w:gridCol w:w="987"/>
        <w:gridCol w:w="6"/>
        <w:gridCol w:w="1985"/>
      </w:tblGrid>
      <w:tr>
        <w:tblPrEx>
          <w:tblCellMar>
            <w:top w:w="0" w:type="dxa"/>
            <w:left w:w="108" w:type="dxa"/>
            <w:bottom w:w="0" w:type="dxa"/>
            <w:right w:w="108" w:type="dxa"/>
          </w:tblCellMar>
        </w:tblPrEx>
        <w:trPr>
          <w:trHeight w:val="880" w:hRule="atLeast"/>
        </w:trPr>
        <w:tc>
          <w:tcPr>
            <w:tcW w:w="12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项目实施单位</w:t>
            </w:r>
          </w:p>
        </w:tc>
        <w:tc>
          <w:tcPr>
            <w:tcW w:w="3970"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both"/>
              <w:textAlignment w:val="auto"/>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重庆市渝北区洛碛镇人民政府</w:t>
            </w:r>
          </w:p>
        </w:tc>
        <w:tc>
          <w:tcPr>
            <w:tcW w:w="992"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77" w:lineRule="atLeas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项目名称</w:t>
            </w:r>
          </w:p>
        </w:tc>
        <w:tc>
          <w:tcPr>
            <w:tcW w:w="2978"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24"/>
                <w:szCs w:val="24"/>
                <w:u w:val="none"/>
                <w:lang w:val="en-US" w:eastAsia="zh-CN" w:bidi="ar-SA"/>
              </w:rPr>
            </w:pPr>
            <w:r>
              <w:rPr>
                <w:rFonts w:hint="default" w:ascii="方正仿宋_GBK" w:hAnsi="方正仿宋_GBK" w:eastAsia="方正仿宋_GBK" w:cs="方正仿宋_GBK"/>
                <w:i w:val="0"/>
                <w:iCs w:val="0"/>
                <w:color w:val="000000"/>
                <w:kern w:val="0"/>
                <w:sz w:val="24"/>
                <w:szCs w:val="24"/>
                <w:u w:val="none"/>
                <w:lang w:val="en-US" w:eastAsia="zh-CN" w:bidi="ar"/>
              </w:rPr>
              <w:t>洛碛镇</w:t>
            </w:r>
            <w:r>
              <w:rPr>
                <w:rFonts w:hint="eastAsia" w:ascii="方正仿宋_GBK" w:hAnsi="方正仿宋_GBK" w:eastAsia="方正仿宋_GBK" w:cs="方正仿宋_GBK"/>
                <w:i w:val="0"/>
                <w:iCs w:val="0"/>
                <w:color w:val="000000"/>
                <w:kern w:val="0"/>
                <w:sz w:val="24"/>
                <w:szCs w:val="24"/>
                <w:u w:val="none"/>
                <w:lang w:val="en-US" w:eastAsia="zh-CN" w:bidi="ar"/>
              </w:rPr>
              <w:t>社区养老服务站运营</w:t>
            </w:r>
          </w:p>
        </w:tc>
      </w:tr>
      <w:tr>
        <w:tblPrEx>
          <w:tblCellMar>
            <w:top w:w="0" w:type="dxa"/>
            <w:left w:w="108" w:type="dxa"/>
            <w:bottom w:w="0" w:type="dxa"/>
            <w:right w:w="108" w:type="dxa"/>
          </w:tblCellMar>
        </w:tblPrEx>
        <w:trPr>
          <w:trHeight w:val="710" w:hRule="atLeast"/>
        </w:trPr>
        <w:tc>
          <w:tcPr>
            <w:tcW w:w="12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项目单位责任人</w:t>
            </w:r>
          </w:p>
        </w:tc>
        <w:tc>
          <w:tcPr>
            <w:tcW w:w="3970"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left"/>
              <w:textAlignment w:val="auto"/>
              <w:rPr>
                <w:rFonts w:hint="default"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蒋文峰</w:t>
            </w:r>
          </w:p>
        </w:tc>
        <w:tc>
          <w:tcPr>
            <w:tcW w:w="992"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联络人及联系方式</w:t>
            </w:r>
          </w:p>
        </w:tc>
        <w:tc>
          <w:tcPr>
            <w:tcW w:w="2978" w:type="dxa"/>
            <w:gridSpan w:val="3"/>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center"/>
              <w:textAlignment w:val="auto"/>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蒋长娟</w:t>
            </w:r>
          </w:p>
          <w:p>
            <w:pPr>
              <w:keepNext w:val="0"/>
              <w:keepLines w:val="0"/>
              <w:pageBreakBefore w:val="0"/>
              <w:widowControl/>
              <w:kinsoku/>
              <w:wordWrap/>
              <w:overflowPunct/>
              <w:topLinePunct w:val="0"/>
              <w:autoSpaceDE/>
              <w:autoSpaceDN/>
              <w:bidi w:val="0"/>
              <w:adjustRightInd w:val="0"/>
              <w:spacing w:after="0" w:line="300" w:lineRule="exact"/>
              <w:jc w:val="center"/>
              <w:textAlignment w:val="auto"/>
              <w:rPr>
                <w:rFonts w:hint="default"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023-67382102</w:t>
            </w:r>
          </w:p>
        </w:tc>
      </w:tr>
      <w:tr>
        <w:tblPrEx>
          <w:tblCellMar>
            <w:top w:w="0" w:type="dxa"/>
            <w:left w:w="108" w:type="dxa"/>
            <w:bottom w:w="0" w:type="dxa"/>
            <w:right w:w="108" w:type="dxa"/>
          </w:tblCellMar>
        </w:tblPrEx>
        <w:trPr>
          <w:trHeight w:val="670" w:hRule="atLeast"/>
        </w:trPr>
        <w:tc>
          <w:tcPr>
            <w:tcW w:w="1209"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项目资金（万元）</w:t>
            </w:r>
          </w:p>
        </w:tc>
        <w:tc>
          <w:tcPr>
            <w:tcW w:w="198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资金来源</w:t>
            </w:r>
          </w:p>
        </w:tc>
        <w:tc>
          <w:tcPr>
            <w:tcW w:w="1984"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00" w:lineRule="exact"/>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彩票公益金</w:t>
            </w:r>
          </w:p>
        </w:tc>
        <w:tc>
          <w:tcPr>
            <w:tcW w:w="1985" w:type="dxa"/>
            <w:gridSpan w:val="3"/>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资金下达数</w:t>
            </w:r>
          </w:p>
          <w:p>
            <w:pPr>
              <w:keepNext w:val="0"/>
              <w:keepLines w:val="0"/>
              <w:pageBreakBefore w:val="0"/>
              <w:widowControl/>
              <w:kinsoku/>
              <w:wordWrap/>
              <w:overflowPunct/>
              <w:topLinePunct w:val="0"/>
              <w:autoSpaceDE/>
              <w:autoSpaceDN/>
              <w:bidi w:val="0"/>
              <w:adjustRightInd w:val="0"/>
              <w:spacing w:after="0" w:line="300" w:lineRule="exact"/>
              <w:jc w:val="center"/>
              <w:textAlignment w:val="auto"/>
              <w:rPr>
                <w:rFonts w:hint="eastAsia" w:ascii="方正仿宋_GBK" w:hAnsi="方正仿宋_GBK" w:eastAsia="方正仿宋_GBK" w:cs="方正仿宋_GBK"/>
                <w:sz w:val="24"/>
                <w:szCs w:val="24"/>
              </w:rPr>
            </w:pPr>
            <w:r>
              <w:rPr>
                <w:rFonts w:hint="eastAsia" w:ascii="方正黑体_GBK" w:hAnsi="方正黑体_GBK" w:eastAsia="方正黑体_GBK" w:cs="方正黑体_GBK"/>
                <w:sz w:val="24"/>
                <w:szCs w:val="24"/>
              </w:rPr>
              <w:t>（万元）</w:t>
            </w:r>
          </w:p>
        </w:tc>
        <w:tc>
          <w:tcPr>
            <w:tcW w:w="1985"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left"/>
              <w:textAlignment w:val="auto"/>
              <w:rPr>
                <w:rFonts w:hint="default"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22.65</w:t>
            </w:r>
          </w:p>
        </w:tc>
      </w:tr>
      <w:tr>
        <w:tblPrEx>
          <w:tblCellMar>
            <w:top w:w="0" w:type="dxa"/>
            <w:left w:w="108" w:type="dxa"/>
            <w:bottom w:w="0" w:type="dxa"/>
            <w:right w:w="108" w:type="dxa"/>
          </w:tblCellMar>
        </w:tblPrEx>
        <w:trPr>
          <w:trHeight w:val="289" w:hRule="atLeast"/>
        </w:trPr>
        <w:tc>
          <w:tcPr>
            <w:tcW w:w="1209"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center"/>
              <w:textAlignment w:val="auto"/>
              <w:rPr>
                <w:rFonts w:hint="eastAsia" w:ascii="方正黑体_GBK" w:hAnsi="方正黑体_GBK" w:eastAsia="方正黑体_GBK" w:cs="方正黑体_GBK"/>
                <w:sz w:val="24"/>
                <w:szCs w:val="24"/>
              </w:rPr>
            </w:pPr>
          </w:p>
        </w:tc>
        <w:tc>
          <w:tcPr>
            <w:tcW w:w="198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实际支出</w:t>
            </w:r>
          </w:p>
          <w:p>
            <w:pPr>
              <w:keepNext w:val="0"/>
              <w:keepLines w:val="0"/>
              <w:pageBreakBefore w:val="0"/>
              <w:widowControl/>
              <w:kinsoku/>
              <w:wordWrap/>
              <w:overflowPunct/>
              <w:topLinePunct w:val="0"/>
              <w:autoSpaceDE/>
              <w:autoSpaceDN/>
              <w:bidi w:val="0"/>
              <w:adjustRightInd w:val="0"/>
              <w:spacing w:after="0" w:line="30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（万元）</w:t>
            </w:r>
          </w:p>
        </w:tc>
        <w:tc>
          <w:tcPr>
            <w:tcW w:w="1984"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left"/>
              <w:textAlignment w:val="auto"/>
              <w:rPr>
                <w:rFonts w:hint="default"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22.65</w:t>
            </w:r>
          </w:p>
        </w:tc>
        <w:tc>
          <w:tcPr>
            <w:tcW w:w="1979"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left"/>
              <w:textAlignment w:val="auto"/>
              <w:rPr>
                <w:rFonts w:hint="eastAsia" w:ascii="方正仿宋_GBK" w:hAnsi="方正仿宋_GBK" w:eastAsia="方正仿宋_GBK" w:cs="方正仿宋_GBK"/>
                <w:sz w:val="24"/>
                <w:szCs w:val="24"/>
              </w:rPr>
            </w:pPr>
            <w:r>
              <w:rPr>
                <w:rFonts w:hint="eastAsia" w:ascii="方正黑体_GBK" w:hAnsi="方正黑体_GBK" w:eastAsia="方正黑体_GBK" w:cs="方正黑体_GBK"/>
                <w:sz w:val="24"/>
                <w:szCs w:val="24"/>
              </w:rPr>
              <w:t>其中：彩票公益金支出（万元）</w:t>
            </w:r>
          </w:p>
        </w:tc>
        <w:tc>
          <w:tcPr>
            <w:tcW w:w="1991"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left"/>
              <w:textAlignment w:val="auto"/>
              <w:rPr>
                <w:rFonts w:hint="default"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22.65</w:t>
            </w:r>
          </w:p>
        </w:tc>
      </w:tr>
      <w:tr>
        <w:tblPrEx>
          <w:tblCellMar>
            <w:top w:w="0" w:type="dxa"/>
            <w:left w:w="108" w:type="dxa"/>
            <w:bottom w:w="0" w:type="dxa"/>
            <w:right w:w="108" w:type="dxa"/>
          </w:tblCellMar>
        </w:tblPrEx>
        <w:trPr>
          <w:trHeight w:val="625" w:hRule="atLeast"/>
        </w:trPr>
        <w:tc>
          <w:tcPr>
            <w:tcW w:w="1209" w:type="dxa"/>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center"/>
              <w:textAlignment w:val="auto"/>
              <w:rPr>
                <w:rFonts w:hint="eastAsia" w:ascii="方正黑体_GBK" w:hAnsi="方正黑体_GBK" w:eastAsia="方正黑体_GBK" w:cs="方正黑体_GBK"/>
                <w:sz w:val="24"/>
                <w:szCs w:val="24"/>
              </w:rPr>
            </w:pPr>
          </w:p>
        </w:tc>
        <w:tc>
          <w:tcPr>
            <w:tcW w:w="198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资金是否结余</w:t>
            </w:r>
          </w:p>
        </w:tc>
        <w:tc>
          <w:tcPr>
            <w:tcW w:w="1984"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left"/>
              <w:textAlignment w:val="auto"/>
              <w:rPr>
                <w:rFonts w:hint="default"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否</w:t>
            </w:r>
          </w:p>
        </w:tc>
        <w:tc>
          <w:tcPr>
            <w:tcW w:w="1979"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left"/>
              <w:textAlignment w:val="auto"/>
              <w:rPr>
                <w:rFonts w:hint="eastAsia" w:ascii="方正仿宋_GBK" w:hAnsi="方正仿宋_GBK" w:eastAsia="方正仿宋_GBK" w:cs="方正仿宋_GBK"/>
                <w:sz w:val="24"/>
                <w:szCs w:val="24"/>
              </w:rPr>
            </w:pPr>
            <w:r>
              <w:rPr>
                <w:rFonts w:hint="eastAsia" w:ascii="方正黑体_GBK" w:hAnsi="方正黑体_GBK" w:eastAsia="方正黑体_GBK" w:cs="方正黑体_GBK"/>
                <w:sz w:val="24"/>
                <w:szCs w:val="24"/>
              </w:rPr>
              <w:t>结余处理</w:t>
            </w:r>
          </w:p>
        </w:tc>
        <w:tc>
          <w:tcPr>
            <w:tcW w:w="1991"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pacing w:after="0" w:line="300" w:lineRule="exact"/>
              <w:jc w:val="left"/>
              <w:textAlignment w:val="auto"/>
              <w:rPr>
                <w:rFonts w:hint="default" w:ascii="方正仿宋_GBK" w:hAnsi="方正仿宋_GBK" w:eastAsia="方正仿宋_GBK" w:cs="方正仿宋_GBK"/>
                <w:sz w:val="24"/>
                <w:szCs w:val="24"/>
                <w:lang w:val="en-US" w:eastAsia="zh-CN"/>
              </w:rPr>
            </w:pPr>
          </w:p>
        </w:tc>
      </w:tr>
      <w:tr>
        <w:tblPrEx>
          <w:tblCellMar>
            <w:top w:w="0" w:type="dxa"/>
            <w:left w:w="108" w:type="dxa"/>
            <w:bottom w:w="0" w:type="dxa"/>
            <w:right w:w="108" w:type="dxa"/>
          </w:tblCellMar>
        </w:tblPrEx>
        <w:trPr>
          <w:trHeight w:val="1691" w:hRule="atLeast"/>
        </w:trPr>
        <w:tc>
          <w:tcPr>
            <w:tcW w:w="1209" w:type="dxa"/>
            <w:vMerge w:val="restart"/>
            <w:tcBorders>
              <w:top w:val="single" w:color="auto" w:sz="4" w:space="0"/>
              <w:left w:val="single" w:color="auto" w:sz="4" w:space="0"/>
              <w:right w:val="single" w:color="auto" w:sz="4" w:space="0"/>
            </w:tcBorders>
          </w:tcPr>
          <w:p>
            <w:pPr>
              <w:spacing w:line="560" w:lineRule="exact"/>
              <w:jc w:val="center"/>
              <w:rPr>
                <w:rFonts w:hint="eastAsia" w:ascii="方正黑体_GBK" w:hAnsi="方正黑体_GBK" w:eastAsia="方正黑体_GBK" w:cs="方正黑体_GBK"/>
                <w:sz w:val="24"/>
                <w:szCs w:val="24"/>
              </w:rPr>
            </w:pPr>
          </w:p>
          <w:p>
            <w:pPr>
              <w:spacing w:line="560" w:lineRule="exact"/>
              <w:jc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项</w:t>
            </w:r>
          </w:p>
          <w:p>
            <w:pPr>
              <w:spacing w:line="560" w:lineRule="exact"/>
              <w:jc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目</w:t>
            </w:r>
          </w:p>
          <w:p>
            <w:pPr>
              <w:spacing w:line="560" w:lineRule="exact"/>
              <w:jc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内</w:t>
            </w:r>
          </w:p>
          <w:p>
            <w:pPr>
              <w:spacing w:line="560" w:lineRule="exact"/>
              <w:jc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容</w:t>
            </w:r>
          </w:p>
        </w:tc>
        <w:tc>
          <w:tcPr>
            <w:tcW w:w="7940" w:type="dxa"/>
            <w:gridSpan w:val="6"/>
            <w:tcBorders>
              <w:top w:val="single" w:color="auto" w:sz="4" w:space="0"/>
              <w:left w:val="nil"/>
              <w:right w:val="single" w:color="auto" w:sz="4" w:space="0"/>
            </w:tcBorders>
          </w:tcPr>
          <w:p>
            <w:pPr>
              <w:spacing w:after="0" w:line="440" w:lineRule="exact"/>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项目概况，周期，实施内容（内容详细）：</w:t>
            </w:r>
          </w:p>
          <w:p>
            <w:pPr>
              <w:spacing w:after="0" w:line="440" w:lineRule="exact"/>
              <w:jc w:val="left"/>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用于新渝、兴隆、迎祥、张关、老君山、沙地、经开、朝阳8个社区养老服务站运营。</w:t>
            </w:r>
          </w:p>
          <w:p>
            <w:pPr>
              <w:numPr>
                <w:ilvl w:val="0"/>
                <w:numId w:val="1"/>
              </w:numPr>
              <w:spacing w:after="0" w:line="440" w:lineRule="exact"/>
              <w:jc w:val="left"/>
              <w:rPr>
                <w:rFonts w:hint="default"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新渝、兴隆、迎祥、朝阳、张关五个养老服务站采用中心带站的方式由桂福养老服务公司统一运营，实际运营12个月，依托传统节假日开展了读书、包饺子、夹珠子，健康知识讲座，老龄政策宣传等养老活动，为辖区特困，失独，失能老人送服务上门，提供水电气，合作医疗、意外险等代办代缴服务。。</w:t>
            </w:r>
          </w:p>
          <w:p>
            <w:pPr>
              <w:numPr>
                <w:ilvl w:val="0"/>
                <w:numId w:val="1"/>
              </w:numPr>
              <w:spacing w:after="0" w:line="440" w:lineRule="exact"/>
              <w:jc w:val="left"/>
              <w:rPr>
                <w:rFonts w:hint="default"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老君山、沙地、经开由村居委会自主运营，实际运营12个月，依托传统节假日开展了读书、包粽子、夹珠子，送慰问，座谈会，健康知识讲座，老龄政策宣传等养老活动，为辖区特困，失独，失能老人，高龄老人送服务上门，提供水电气，合作医疗、意外险等代办代缴服务。</w:t>
            </w:r>
          </w:p>
          <w:p>
            <w:pPr>
              <w:spacing w:after="0" w:line="440" w:lineRule="exact"/>
              <w:jc w:val="left"/>
              <w:rPr>
                <w:rFonts w:hint="default" w:ascii="方正仿宋_GBK" w:hAnsi="方正仿宋_GBK" w:eastAsia="方正仿宋_GBK" w:cs="方正仿宋_GBK"/>
                <w:sz w:val="24"/>
                <w:szCs w:val="24"/>
                <w:lang w:val="en-US" w:eastAsia="zh-CN"/>
              </w:rPr>
            </w:pPr>
          </w:p>
        </w:tc>
      </w:tr>
      <w:tr>
        <w:tblPrEx>
          <w:tblCellMar>
            <w:top w:w="0" w:type="dxa"/>
            <w:left w:w="108" w:type="dxa"/>
            <w:bottom w:w="0" w:type="dxa"/>
            <w:right w:w="108" w:type="dxa"/>
          </w:tblCellMar>
        </w:tblPrEx>
        <w:trPr>
          <w:trHeight w:val="804" w:hRule="atLeast"/>
        </w:trPr>
        <w:tc>
          <w:tcPr>
            <w:tcW w:w="1209" w:type="dxa"/>
            <w:vMerge w:val="continue"/>
            <w:tcBorders>
              <w:left w:val="single" w:color="auto" w:sz="4" w:space="0"/>
              <w:right w:val="single" w:color="auto" w:sz="4" w:space="0"/>
            </w:tcBorders>
          </w:tcPr>
          <w:p>
            <w:pPr>
              <w:spacing w:line="560" w:lineRule="exact"/>
              <w:jc w:val="center"/>
              <w:rPr>
                <w:rFonts w:hint="eastAsia" w:ascii="方正黑体_GBK" w:hAnsi="方正黑体_GBK" w:eastAsia="方正黑体_GBK" w:cs="方正黑体_GBK"/>
                <w:sz w:val="24"/>
                <w:szCs w:val="24"/>
              </w:rPr>
            </w:pPr>
          </w:p>
        </w:tc>
        <w:tc>
          <w:tcPr>
            <w:tcW w:w="7940" w:type="dxa"/>
            <w:gridSpan w:val="6"/>
            <w:tcBorders>
              <w:top w:val="single" w:color="auto" w:sz="4" w:space="0"/>
              <w:left w:val="nil"/>
              <w:bottom w:val="single" w:color="auto" w:sz="4" w:space="0"/>
              <w:right w:val="single" w:color="auto" w:sz="4" w:space="0"/>
            </w:tcBorders>
          </w:tcPr>
          <w:p>
            <w:pPr>
              <w:numPr>
                <w:ilvl w:val="0"/>
                <w:numId w:val="0"/>
              </w:numPr>
              <w:spacing w:after="0" w:line="440" w:lineRule="exact"/>
              <w:jc w:val="left"/>
              <w:rPr>
                <w:rFonts w:hint="default" w:ascii="方正仿宋_GBK" w:hAnsi="方正仿宋_GBK" w:eastAsia="方正仿宋_GBK" w:cs="方正仿宋_GBK"/>
                <w:b/>
                <w:sz w:val="24"/>
                <w:szCs w:val="24"/>
                <w:highlight w:val="yellow"/>
                <w:lang w:val="en-US" w:eastAsia="zh-CN"/>
              </w:rPr>
            </w:pPr>
            <w:r>
              <w:rPr>
                <w:rFonts w:hint="eastAsia" w:ascii="方正仿宋_GBK" w:hAnsi="方正仿宋_GBK" w:eastAsia="方正仿宋_GBK" w:cs="方正仿宋_GBK"/>
                <w:sz w:val="24"/>
                <w:szCs w:val="24"/>
              </w:rPr>
              <w:t>项目完成情况</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已完成8个养老服务站的运营支撑，八个养老服务站分别结合自身实际，依托传统节假日开展养老活动如读书，看报、包粽子、夹珠子，送慰问，座谈会，健康知识讲座，老龄政策宣传等养老活动，为辖区特困，失独，失能老人，高龄老人送服务上门，提供水电气，合作医疗、意外险等代办代缴服务。</w:t>
            </w:r>
          </w:p>
        </w:tc>
      </w:tr>
      <w:tr>
        <w:tblPrEx>
          <w:tblCellMar>
            <w:top w:w="0" w:type="dxa"/>
            <w:left w:w="108" w:type="dxa"/>
            <w:bottom w:w="0" w:type="dxa"/>
            <w:right w:w="108" w:type="dxa"/>
          </w:tblCellMar>
        </w:tblPrEx>
        <w:trPr>
          <w:trHeight w:val="907" w:hRule="atLeast"/>
        </w:trPr>
        <w:tc>
          <w:tcPr>
            <w:tcW w:w="1209" w:type="dxa"/>
            <w:vMerge w:val="continue"/>
            <w:tcBorders>
              <w:left w:val="single" w:color="auto" w:sz="4" w:space="0"/>
              <w:right w:val="single" w:color="auto" w:sz="4" w:space="0"/>
            </w:tcBorders>
          </w:tcPr>
          <w:p>
            <w:pPr>
              <w:spacing w:line="560" w:lineRule="exact"/>
              <w:jc w:val="center"/>
              <w:rPr>
                <w:rFonts w:hint="eastAsia" w:ascii="方正黑体_GBK" w:hAnsi="方正黑体_GBK" w:eastAsia="方正黑体_GBK" w:cs="方正黑体_GBK"/>
                <w:sz w:val="24"/>
                <w:szCs w:val="24"/>
              </w:rPr>
            </w:pPr>
          </w:p>
        </w:tc>
        <w:tc>
          <w:tcPr>
            <w:tcW w:w="7940" w:type="dxa"/>
            <w:gridSpan w:val="6"/>
            <w:tcBorders>
              <w:top w:val="single" w:color="auto" w:sz="4" w:space="0"/>
              <w:left w:val="nil"/>
              <w:bottom w:val="single" w:color="auto" w:sz="4" w:space="0"/>
              <w:right w:val="single" w:color="auto" w:sz="4" w:space="0"/>
            </w:tcBorders>
          </w:tcPr>
          <w:p>
            <w:pPr>
              <w:spacing w:after="0" w:line="440" w:lineRule="exact"/>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资金使用情况：</w:t>
            </w:r>
          </w:p>
          <w:p>
            <w:pPr>
              <w:spacing w:after="0" w:line="440" w:lineRule="exact"/>
              <w:jc w:val="left"/>
              <w:rPr>
                <w:rFonts w:hint="default" w:ascii="方正仿宋_GBK" w:hAnsi="方正仿宋_GBK" w:eastAsia="方正仿宋_GBK" w:cs="方正仿宋_GBK"/>
                <w:b/>
                <w:sz w:val="24"/>
                <w:szCs w:val="24"/>
                <w:lang w:val="en-US" w:eastAsia="zh-CN"/>
              </w:rPr>
            </w:pPr>
            <w:r>
              <w:rPr>
                <w:rFonts w:hint="eastAsia" w:ascii="方正仿宋_GBK" w:hAnsi="方正仿宋_GBK" w:eastAsia="方正仿宋_GBK" w:cs="方正仿宋_GBK"/>
                <w:sz w:val="24"/>
                <w:szCs w:val="24"/>
                <w:lang w:val="en-US" w:eastAsia="zh-CN"/>
              </w:rPr>
              <w:t>桂福养老运营补贴2.45元，沙地服务站10.2万，经开养老服务站6.6万，老君山养老服务站3.4万，合计22.65万。</w:t>
            </w:r>
          </w:p>
        </w:tc>
      </w:tr>
      <w:tr>
        <w:tblPrEx>
          <w:tblCellMar>
            <w:top w:w="0" w:type="dxa"/>
            <w:left w:w="108" w:type="dxa"/>
            <w:bottom w:w="0" w:type="dxa"/>
            <w:right w:w="108" w:type="dxa"/>
          </w:tblCellMar>
        </w:tblPrEx>
        <w:trPr>
          <w:trHeight w:val="822" w:hRule="atLeast"/>
        </w:trPr>
        <w:tc>
          <w:tcPr>
            <w:tcW w:w="1209" w:type="dxa"/>
            <w:vMerge w:val="continue"/>
            <w:tcBorders>
              <w:left w:val="single" w:color="auto" w:sz="4" w:space="0"/>
              <w:bottom w:val="single" w:color="auto" w:sz="4" w:space="0"/>
              <w:right w:val="single" w:color="auto" w:sz="4" w:space="0"/>
            </w:tcBorders>
          </w:tcPr>
          <w:p>
            <w:pPr>
              <w:spacing w:line="560" w:lineRule="exact"/>
              <w:jc w:val="center"/>
              <w:rPr>
                <w:rFonts w:hint="eastAsia" w:ascii="方正黑体_GBK" w:hAnsi="方正黑体_GBK" w:eastAsia="方正黑体_GBK" w:cs="方正黑体_GBK"/>
                <w:sz w:val="24"/>
                <w:szCs w:val="24"/>
              </w:rPr>
            </w:pPr>
          </w:p>
        </w:tc>
        <w:tc>
          <w:tcPr>
            <w:tcW w:w="7940" w:type="dxa"/>
            <w:gridSpan w:val="6"/>
            <w:tcBorders>
              <w:top w:val="single" w:color="auto" w:sz="4" w:space="0"/>
              <w:left w:val="nil"/>
              <w:bottom w:val="single" w:color="auto" w:sz="4" w:space="0"/>
              <w:right w:val="single" w:color="auto" w:sz="4" w:space="0"/>
            </w:tcBorders>
          </w:tcPr>
          <w:p>
            <w:pPr>
              <w:spacing w:after="0" w:line="440" w:lineRule="exact"/>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实际效果：</w:t>
            </w:r>
          </w:p>
          <w:p>
            <w:pPr>
              <w:numPr>
                <w:ilvl w:val="0"/>
                <w:numId w:val="0"/>
              </w:numPr>
              <w:spacing w:after="0" w:line="440" w:lineRule="exact"/>
              <w:rPr>
                <w:rFonts w:hint="eastAsia" w:ascii="方正仿宋_GBK" w:hAnsi="方正仿宋_GBK" w:eastAsia="方正仿宋_GBK" w:cs="方正仿宋_GBK"/>
                <w:lang w:eastAsia="zh-CN"/>
              </w:rPr>
            </w:pPr>
            <w:r>
              <w:rPr>
                <w:rFonts w:hint="eastAsia" w:ascii="方正仿宋_GBK" w:hAnsi="方正仿宋_GBK" w:eastAsia="方正仿宋_GBK" w:cs="方正仿宋_GBK"/>
                <w:sz w:val="24"/>
                <w:szCs w:val="24"/>
                <w:lang w:val="en-US" w:eastAsia="zh-CN"/>
              </w:rPr>
              <w:t>洛碛镇依托8个社区养老服务站，开展各类养老活动（见附件）。</w:t>
            </w:r>
            <w:r>
              <w:rPr>
                <w:rFonts w:hint="eastAsia" w:ascii="方正仿宋_GBK" w:hAnsi="方正仿宋_GBK" w:eastAsia="方正仿宋_GBK" w:cs="方正仿宋_GBK"/>
              </w:rPr>
              <w:t>服务老年人人次</w:t>
            </w:r>
            <w:r>
              <w:rPr>
                <w:rFonts w:hint="eastAsia" w:ascii="方正仿宋_GBK" w:hAnsi="方正仿宋_GBK" w:eastAsia="方正仿宋_GBK" w:cs="方正仿宋_GBK"/>
                <w:lang w:val="en-US" w:eastAsia="zh-CN"/>
              </w:rPr>
              <w:t>1100</w:t>
            </w:r>
            <w:r>
              <w:rPr>
                <w:rFonts w:hint="eastAsia" w:ascii="方正仿宋_GBK" w:hAnsi="方正仿宋_GBK" w:eastAsia="方正仿宋_GBK" w:cs="方正仿宋_GBK"/>
              </w:rPr>
              <w:t>余人次，重点老人点对点服务上门巡查</w:t>
            </w:r>
            <w:r>
              <w:rPr>
                <w:rFonts w:hint="eastAsia" w:ascii="方正仿宋_GBK" w:hAnsi="方正仿宋_GBK" w:eastAsia="方正仿宋_GBK" w:cs="方正仿宋_GBK"/>
                <w:lang w:val="en-US" w:eastAsia="zh-CN"/>
              </w:rPr>
              <w:t>680</w:t>
            </w:r>
            <w:r>
              <w:rPr>
                <w:rFonts w:hint="eastAsia" w:ascii="方正仿宋_GBK" w:hAnsi="方正仿宋_GBK" w:eastAsia="方正仿宋_GBK" w:cs="方正仿宋_GBK"/>
              </w:rPr>
              <w:t>余人次，电话查访</w:t>
            </w:r>
            <w:r>
              <w:rPr>
                <w:rFonts w:hint="eastAsia" w:ascii="方正仿宋_GBK" w:hAnsi="方正仿宋_GBK" w:eastAsia="方正仿宋_GBK" w:cs="方正仿宋_GBK"/>
                <w:lang w:val="en-US" w:eastAsia="zh-CN"/>
              </w:rPr>
              <w:t>800</w:t>
            </w:r>
            <w:r>
              <w:rPr>
                <w:rFonts w:hint="eastAsia" w:ascii="方正仿宋_GBK" w:hAnsi="方正仿宋_GBK" w:eastAsia="方正仿宋_GBK" w:cs="方正仿宋_GBK"/>
              </w:rPr>
              <w:t>余人次，上门服务</w:t>
            </w:r>
            <w:r>
              <w:rPr>
                <w:rFonts w:hint="eastAsia" w:ascii="方正仿宋_GBK" w:hAnsi="方正仿宋_GBK" w:eastAsia="方正仿宋_GBK" w:cs="方正仿宋_GBK"/>
                <w:lang w:val="en-US" w:eastAsia="zh-CN"/>
              </w:rPr>
              <w:t>600</w:t>
            </w:r>
            <w:r>
              <w:rPr>
                <w:rFonts w:hint="eastAsia" w:ascii="方正仿宋_GBK" w:hAnsi="方正仿宋_GBK" w:eastAsia="方正仿宋_GBK" w:cs="方正仿宋_GBK"/>
              </w:rPr>
              <w:t>次，服务站大型集体活动</w:t>
            </w:r>
            <w:r>
              <w:rPr>
                <w:rFonts w:hint="eastAsia" w:ascii="方正仿宋_GBK" w:hAnsi="方正仿宋_GBK" w:eastAsia="方正仿宋_GBK" w:cs="方正仿宋_GBK"/>
                <w:lang w:val="en-US" w:eastAsia="zh-CN"/>
              </w:rPr>
              <w:t>8</w:t>
            </w:r>
            <w:r>
              <w:rPr>
                <w:rFonts w:hint="eastAsia" w:ascii="方正仿宋_GBK" w:hAnsi="方正仿宋_GBK" w:eastAsia="方正仿宋_GBK" w:cs="方正仿宋_GBK"/>
              </w:rPr>
              <w:t>次，日常运营活动</w:t>
            </w:r>
            <w:r>
              <w:rPr>
                <w:rFonts w:hint="eastAsia" w:ascii="方正仿宋_GBK" w:hAnsi="方正仿宋_GBK" w:eastAsia="方正仿宋_GBK" w:cs="方正仿宋_GBK"/>
                <w:lang w:val="en-US" w:eastAsia="zh-CN"/>
              </w:rPr>
              <w:t>180</w:t>
            </w:r>
            <w:r>
              <w:rPr>
                <w:rFonts w:hint="eastAsia" w:ascii="方正仿宋_GBK" w:hAnsi="方正仿宋_GBK" w:eastAsia="方正仿宋_GBK" w:cs="方正仿宋_GBK"/>
              </w:rPr>
              <w:t>余次</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lang w:val="en-US" w:eastAsia="zh-CN"/>
              </w:rPr>
              <w:t>提供代办代缴服务300余次，发放慰问物资6000余元，提供疫情防控服务，更好的服务了本镇的老年人，提升老人的幸福感、获得感、安全感</w:t>
            </w:r>
            <w:r>
              <w:rPr>
                <w:rFonts w:hint="eastAsia" w:ascii="方正仿宋_GBK" w:hAnsi="方正仿宋_GBK" w:eastAsia="方正仿宋_GBK" w:cs="方正仿宋_GBK"/>
                <w:lang w:eastAsia="zh-CN"/>
              </w:rPr>
              <w:t>。</w:t>
            </w:r>
          </w:p>
          <w:p>
            <w:pPr>
              <w:spacing w:after="0" w:line="440" w:lineRule="exact"/>
              <w:jc w:val="left"/>
              <w:rPr>
                <w:rFonts w:hint="default" w:ascii="方正仿宋_GBK" w:hAnsi="方正仿宋_GBK" w:eastAsia="方正仿宋_GBK" w:cs="方正仿宋_GBK"/>
                <w:sz w:val="24"/>
                <w:szCs w:val="24"/>
                <w:lang w:val="en-US" w:eastAsia="zh-CN"/>
              </w:rPr>
            </w:pPr>
          </w:p>
        </w:tc>
      </w:tr>
      <w:tr>
        <w:tblPrEx>
          <w:tblCellMar>
            <w:top w:w="0" w:type="dxa"/>
            <w:left w:w="108" w:type="dxa"/>
            <w:bottom w:w="0" w:type="dxa"/>
            <w:right w:w="108" w:type="dxa"/>
          </w:tblCellMar>
        </w:tblPrEx>
        <w:trPr>
          <w:trHeight w:val="1130" w:hRule="atLeast"/>
        </w:trPr>
        <w:tc>
          <w:tcPr>
            <w:tcW w:w="1209" w:type="dxa"/>
            <w:vMerge w:val="restart"/>
            <w:tcBorders>
              <w:top w:val="single" w:color="auto" w:sz="4" w:space="0"/>
              <w:left w:val="single" w:color="auto" w:sz="4" w:space="0"/>
              <w:right w:val="single" w:color="auto" w:sz="4" w:space="0"/>
            </w:tcBorders>
          </w:tcPr>
          <w:p>
            <w:pPr>
              <w:spacing w:line="560" w:lineRule="exact"/>
              <w:contextualSpacing/>
              <w:jc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项</w:t>
            </w:r>
          </w:p>
          <w:p>
            <w:pPr>
              <w:spacing w:line="560" w:lineRule="exact"/>
              <w:contextualSpacing/>
              <w:jc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目</w:t>
            </w:r>
          </w:p>
          <w:p>
            <w:pPr>
              <w:spacing w:line="560" w:lineRule="exact"/>
              <w:contextualSpacing/>
              <w:jc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依</w:t>
            </w:r>
          </w:p>
          <w:p>
            <w:pPr>
              <w:spacing w:line="560" w:lineRule="exact"/>
              <w:contextualSpacing/>
              <w:jc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据</w:t>
            </w:r>
          </w:p>
        </w:tc>
        <w:tc>
          <w:tcPr>
            <w:tcW w:w="7940" w:type="dxa"/>
            <w:gridSpan w:val="6"/>
            <w:tcBorders>
              <w:top w:val="single" w:color="auto" w:sz="4" w:space="0"/>
              <w:left w:val="nil"/>
              <w:bottom w:val="single" w:color="auto" w:sz="4" w:space="0"/>
              <w:right w:val="single" w:color="auto" w:sz="4" w:space="0"/>
            </w:tcBorders>
          </w:tcPr>
          <w:p>
            <w:pPr>
              <w:spacing w:after="0" w:line="440" w:lineRule="exact"/>
              <w:jc w:val="left"/>
              <w:rPr>
                <w:rFonts w:hint="default"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rPr>
              <w:t>立项依据：</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渝北区养老服务业扶持资金管理办法</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渝北民〔2021〕222号</w:t>
            </w:r>
          </w:p>
        </w:tc>
      </w:tr>
      <w:tr>
        <w:tblPrEx>
          <w:tblCellMar>
            <w:top w:w="0" w:type="dxa"/>
            <w:left w:w="108" w:type="dxa"/>
            <w:bottom w:w="0" w:type="dxa"/>
            <w:right w:w="108" w:type="dxa"/>
          </w:tblCellMar>
        </w:tblPrEx>
        <w:trPr>
          <w:trHeight w:val="789" w:hRule="atLeast"/>
        </w:trPr>
        <w:tc>
          <w:tcPr>
            <w:tcW w:w="1209" w:type="dxa"/>
            <w:vMerge w:val="continue"/>
            <w:tcBorders>
              <w:left w:val="single" w:color="auto" w:sz="4" w:space="0"/>
              <w:bottom w:val="single" w:color="auto" w:sz="4" w:space="0"/>
              <w:right w:val="single" w:color="auto" w:sz="4" w:space="0"/>
            </w:tcBorders>
          </w:tcPr>
          <w:p>
            <w:pPr>
              <w:spacing w:line="560" w:lineRule="exact"/>
              <w:jc w:val="center"/>
              <w:rPr>
                <w:rFonts w:hint="eastAsia" w:ascii="方正黑体_GBK" w:hAnsi="方正黑体_GBK" w:eastAsia="方正黑体_GBK" w:cs="方正黑体_GBK"/>
                <w:sz w:val="24"/>
                <w:szCs w:val="24"/>
              </w:rPr>
            </w:pPr>
          </w:p>
        </w:tc>
        <w:tc>
          <w:tcPr>
            <w:tcW w:w="7940" w:type="dxa"/>
            <w:gridSpan w:val="6"/>
            <w:tcBorders>
              <w:top w:val="single" w:color="auto" w:sz="4" w:space="0"/>
              <w:left w:val="nil"/>
              <w:bottom w:val="single" w:color="auto" w:sz="4" w:space="0"/>
              <w:right w:val="single" w:color="auto" w:sz="4" w:space="0"/>
            </w:tcBorders>
          </w:tcPr>
          <w:p>
            <w:pPr>
              <w:spacing w:after="0" w:line="440" w:lineRule="exact"/>
              <w:jc w:val="left"/>
              <w:rPr>
                <w:rFonts w:hint="default" w:ascii="方正仿宋_GBK" w:hAnsi="方正仿宋_GBK" w:eastAsia="方正仿宋_GBK" w:cs="方正仿宋_GBK"/>
                <w:b/>
                <w:bCs/>
                <w:sz w:val="24"/>
                <w:szCs w:val="24"/>
                <w:lang w:val="en-US" w:eastAsia="zh-CN"/>
              </w:rPr>
            </w:pPr>
            <w:r>
              <w:rPr>
                <w:rFonts w:hint="eastAsia" w:ascii="方正仿宋_GBK" w:hAnsi="方正仿宋_GBK" w:eastAsia="方正仿宋_GBK" w:cs="方正仿宋_GBK"/>
                <w:sz w:val="24"/>
                <w:szCs w:val="24"/>
              </w:rPr>
              <w:t>采购方式：</w:t>
            </w:r>
            <w:r>
              <w:rPr>
                <w:rFonts w:hint="eastAsia" w:ascii="方正仿宋_GBK" w:hAnsi="方正仿宋_GBK" w:eastAsia="方正仿宋_GBK" w:cs="方正仿宋_GBK"/>
                <w:sz w:val="24"/>
                <w:szCs w:val="24"/>
                <w:lang w:val="en-US" w:eastAsia="zh-CN"/>
              </w:rPr>
              <w:t xml:space="preserve"> 直接拨付运营企业和村居委会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209" w:type="dxa"/>
            <w:vMerge w:val="restart"/>
          </w:tcPr>
          <w:p>
            <w:pPr>
              <w:spacing w:line="560" w:lineRule="exact"/>
              <w:contextualSpacing/>
              <w:jc w:val="center"/>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绩效评价及其他</w:t>
            </w:r>
          </w:p>
        </w:tc>
        <w:tc>
          <w:tcPr>
            <w:tcW w:w="7940" w:type="dxa"/>
            <w:gridSpan w:val="6"/>
          </w:tcPr>
          <w:p>
            <w:pPr>
              <w:spacing w:line="220" w:lineRule="atLeast"/>
              <w:jc w:val="left"/>
              <w:rPr>
                <w:rFonts w:hint="default"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rPr>
              <w:t>绩效评价</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 xml:space="preserve"> 向辖区老年人提供了丰富多彩的养老服务，</w:t>
            </w:r>
            <w:r>
              <w:rPr>
                <w:rFonts w:hint="eastAsia" w:ascii="方正仿宋_GBK" w:hAnsi="方正仿宋_GBK" w:eastAsia="方正仿宋_GBK" w:cs="方正仿宋_GBK"/>
                <w:sz w:val="24"/>
                <w:szCs w:val="24"/>
              </w:rPr>
              <w:t>提高了</w:t>
            </w:r>
            <w:r>
              <w:rPr>
                <w:rFonts w:hint="eastAsia" w:ascii="方正仿宋_GBK" w:hAnsi="方正仿宋_GBK" w:eastAsia="方正仿宋_GBK" w:cs="方正仿宋_GBK"/>
                <w:sz w:val="24"/>
                <w:szCs w:val="24"/>
                <w:lang w:eastAsia="zh-CN"/>
              </w:rPr>
              <w:t>辖区老年人的幸福感和</w:t>
            </w:r>
            <w:r>
              <w:rPr>
                <w:rFonts w:hint="eastAsia" w:ascii="方正仿宋_GBK" w:hAnsi="方正仿宋_GBK" w:eastAsia="方正仿宋_GBK" w:cs="方正仿宋_GBK"/>
                <w:sz w:val="24"/>
                <w:szCs w:val="24"/>
              </w:rPr>
              <w:t>社区服务满意度，增强了社会影响力。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209" w:type="dxa"/>
            <w:vMerge w:val="continue"/>
          </w:tcPr>
          <w:p>
            <w:pPr>
              <w:spacing w:line="560" w:lineRule="exact"/>
              <w:contextualSpacing/>
              <w:jc w:val="center"/>
              <w:rPr>
                <w:rFonts w:hint="eastAsia" w:ascii="方正仿宋_GBK" w:hAnsi="方正仿宋_GBK" w:eastAsia="方正仿宋_GBK" w:cs="方正仿宋_GBK"/>
                <w:sz w:val="24"/>
                <w:szCs w:val="24"/>
              </w:rPr>
            </w:pPr>
          </w:p>
        </w:tc>
        <w:tc>
          <w:tcPr>
            <w:tcW w:w="7940" w:type="dxa"/>
            <w:gridSpan w:val="6"/>
          </w:tcPr>
          <w:p>
            <w:pPr>
              <w:jc w:val="lef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审计结果：</w:t>
            </w:r>
            <w:r>
              <w:rPr>
                <w:rFonts w:hint="eastAsia" w:ascii="方正仿宋_GBK" w:hAnsi="方正仿宋_GBK" w:eastAsia="方正仿宋_GBK" w:cs="方正仿宋_GBK"/>
                <w:sz w:val="24"/>
                <w:szCs w:val="24"/>
                <w:lang w:val="en-US" w:eastAsia="zh-CN"/>
              </w:rPr>
              <w:t>未审计</w:t>
            </w:r>
            <w:r>
              <w:rPr>
                <w:rFonts w:hint="eastAsia" w:ascii="方正仿宋_GBK" w:hAnsi="方正仿宋_GBK" w:eastAsia="方正仿宋_GBK" w:cs="方正仿宋_GBK"/>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09" w:type="dxa"/>
            <w:vMerge w:val="continue"/>
          </w:tcPr>
          <w:p>
            <w:pPr>
              <w:spacing w:line="560" w:lineRule="exact"/>
              <w:contextualSpacing/>
              <w:jc w:val="center"/>
              <w:rPr>
                <w:rFonts w:hint="eastAsia" w:ascii="方正仿宋_GBK" w:hAnsi="方正仿宋_GBK" w:eastAsia="方正仿宋_GBK" w:cs="方正仿宋_GBK"/>
                <w:sz w:val="24"/>
                <w:szCs w:val="24"/>
              </w:rPr>
            </w:pPr>
          </w:p>
        </w:tc>
        <w:tc>
          <w:tcPr>
            <w:tcW w:w="7940" w:type="dxa"/>
            <w:gridSpan w:val="6"/>
          </w:tcPr>
          <w:p>
            <w:pPr>
              <w:jc w:val="left"/>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rPr>
              <w:t>是否接受投诉及其他：</w:t>
            </w:r>
            <w:r>
              <w:rPr>
                <w:rFonts w:hint="eastAsia" w:ascii="方正仿宋_GBK" w:hAnsi="方正仿宋_GBK" w:eastAsia="方正仿宋_GBK" w:cs="方正仿宋_GBK"/>
                <w:sz w:val="24"/>
                <w:szCs w:val="24"/>
                <w:lang w:eastAsia="zh-CN"/>
              </w:rPr>
              <w:t>否</w:t>
            </w:r>
          </w:p>
        </w:tc>
      </w:tr>
    </w:tbl>
    <w:p>
      <w:pPr>
        <w:spacing w:line="220" w:lineRule="atLeast"/>
        <w:jc w:val="center"/>
        <w:rPr>
          <w:rFonts w:hint="eastAsia" w:ascii="方正仿宋_GBK" w:hAnsi="方正仿宋_GBK" w:eastAsia="方正仿宋_GBK" w:cs="方正仿宋_GBK"/>
          <w:sz w:val="24"/>
          <w:szCs w:val="24"/>
        </w:rPr>
      </w:pPr>
    </w:p>
    <w:p>
      <w:pPr>
        <w:spacing w:line="220" w:lineRule="atLeast"/>
        <w:jc w:val="center"/>
        <w:rPr>
          <w:rFonts w:hint="eastAsia" w:ascii="方正仿宋_GBK" w:hAnsi="方正仿宋_GBK" w:eastAsia="方正仿宋_GBK" w:cs="方正仿宋_GBK"/>
          <w:sz w:val="24"/>
          <w:szCs w:val="24"/>
        </w:rPr>
      </w:pPr>
    </w:p>
    <w:p>
      <w:pPr>
        <w:spacing w:line="220" w:lineRule="atLeast"/>
        <w:jc w:val="center"/>
        <w:rPr>
          <w:rFonts w:hint="eastAsia" w:ascii="方正仿宋_GBK" w:hAnsi="方正仿宋_GBK" w:eastAsia="方正仿宋_GBK" w:cs="方正仿宋_GBK"/>
          <w:sz w:val="32"/>
          <w:szCs w:val="32"/>
        </w:rPr>
      </w:pPr>
    </w:p>
    <w:p>
      <w:pPr>
        <w:spacing w:line="220" w:lineRule="atLeast"/>
        <w:jc w:val="center"/>
        <w:rPr>
          <w:rFonts w:hint="eastAsia" w:ascii="方正仿宋_GBK" w:hAnsi="方正仿宋_GBK" w:eastAsia="方正仿宋_GBK" w:cs="方正仿宋_GBK"/>
          <w:sz w:val="32"/>
          <w:szCs w:val="32"/>
        </w:rPr>
      </w:pPr>
    </w:p>
    <w:p>
      <w:pPr>
        <w:spacing w:line="220" w:lineRule="atLeast"/>
        <w:jc w:val="center"/>
        <w:rPr>
          <w:rFonts w:hint="eastAsia" w:ascii="方正仿宋_GBK" w:hAnsi="方正仿宋_GBK" w:eastAsia="方正仿宋_GBK" w:cs="方正仿宋_GBK"/>
          <w:sz w:val="32"/>
          <w:szCs w:val="32"/>
        </w:rPr>
      </w:pPr>
    </w:p>
    <w:p>
      <w:pPr>
        <w:spacing w:line="220" w:lineRule="atLeast"/>
        <w:jc w:val="center"/>
        <w:rPr>
          <w:rFonts w:hint="eastAsia" w:ascii="方正仿宋_GBK" w:hAnsi="方正仿宋_GBK" w:eastAsia="方正仿宋_GBK" w:cs="方正仿宋_GBK"/>
          <w:sz w:val="32"/>
          <w:szCs w:val="32"/>
        </w:rPr>
      </w:pPr>
    </w:p>
    <w:p>
      <w:pPr>
        <w:spacing w:line="220" w:lineRule="atLeast"/>
        <w:jc w:val="center"/>
        <w:rPr>
          <w:rFonts w:hint="eastAsia" w:ascii="方正仿宋_GBK" w:hAnsi="方正仿宋_GBK" w:eastAsia="方正仿宋_GBK" w:cs="方正仿宋_GBK"/>
          <w:sz w:val="32"/>
          <w:szCs w:val="32"/>
        </w:rPr>
      </w:pPr>
    </w:p>
    <w:p>
      <w:pPr>
        <w:spacing w:line="220" w:lineRule="atLeast"/>
        <w:jc w:val="center"/>
        <w:rPr>
          <w:rFonts w:hint="eastAsia" w:ascii="方正仿宋_GBK" w:hAnsi="方正仿宋_GBK" w:eastAsia="方正仿宋_GBK" w:cs="方正仿宋_GBK"/>
          <w:sz w:val="32"/>
          <w:szCs w:val="32"/>
        </w:rPr>
      </w:pPr>
    </w:p>
    <w:p>
      <w:pPr>
        <w:spacing w:line="220" w:lineRule="atLeast"/>
        <w:jc w:val="center"/>
        <w:rPr>
          <w:rFonts w:hint="eastAsia" w:ascii="方正仿宋_GBK" w:hAnsi="方正仿宋_GBK" w:eastAsia="方正仿宋_GBK" w:cs="方正仿宋_GBK"/>
          <w:sz w:val="32"/>
          <w:szCs w:val="32"/>
        </w:rPr>
      </w:pPr>
    </w:p>
    <w:p>
      <w:pPr>
        <w:spacing w:line="220" w:lineRule="atLeast"/>
        <w:jc w:val="center"/>
        <w:rPr>
          <w:rFonts w:hint="eastAsia" w:ascii="方正仿宋_GBK" w:hAnsi="方正仿宋_GBK" w:eastAsia="方正仿宋_GBK" w:cs="方正仿宋_GBK"/>
          <w:sz w:val="32"/>
          <w:szCs w:val="32"/>
        </w:rPr>
      </w:pPr>
    </w:p>
    <w:p>
      <w:pPr>
        <w:keepNext w:val="0"/>
        <w:keepLines w:val="0"/>
        <w:pageBreakBefore w:val="0"/>
        <w:widowControl/>
        <w:kinsoku/>
        <w:wordWrap/>
        <w:overflowPunct/>
        <w:topLinePunct w:val="0"/>
        <w:autoSpaceDE/>
        <w:autoSpaceDN/>
        <w:bidi w:val="0"/>
        <w:adjustRightInd w:val="0"/>
        <w:snapToGrid w:val="0"/>
        <w:spacing w:after="0" w:line="560" w:lineRule="exact"/>
        <w:jc w:val="left"/>
        <w:textAlignment w:val="auto"/>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lang w:eastAsia="zh-CN"/>
        </w:rPr>
        <w:t>附件</w:t>
      </w:r>
      <w:bookmarkStart w:id="0" w:name="_GoBack"/>
      <w:bookmarkEnd w:id="0"/>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效果图</w:t>
      </w:r>
    </w:p>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方正小标宋_GBK" w:hAnsi="方正小标宋_GBK" w:eastAsia="方正小标宋_GBK" w:cs="方正小标宋_GBK"/>
          <w:sz w:val="44"/>
          <w:szCs w:val="44"/>
          <w:lang w:eastAsia="zh-CN"/>
        </w:rPr>
      </w:pPr>
    </w:p>
    <w:p>
      <w:pPr>
        <w:spacing w:line="220" w:lineRule="atLeast"/>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drawing>
          <wp:inline distT="0" distB="0" distL="114300" distR="114300">
            <wp:extent cx="5265420" cy="2962910"/>
            <wp:effectExtent l="0" t="0" r="11430" b="8890"/>
            <wp:docPr id="1" name="图片 1" descr="d6f5c4b886e1c233d746b7ef1be7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6f5c4b886e1c233d746b7ef1be7ad0"/>
                    <pic:cNvPicPr>
                      <a:picLocks noChangeAspect="1"/>
                    </pic:cNvPicPr>
                  </pic:nvPicPr>
                  <pic:blipFill>
                    <a:blip r:embed="rId6"/>
                    <a:stretch>
                      <a:fillRect/>
                    </a:stretch>
                  </pic:blipFill>
                  <pic:spPr>
                    <a:xfrm>
                      <a:off x="0" y="0"/>
                      <a:ext cx="5265420" cy="2962910"/>
                    </a:xfrm>
                    <a:prstGeom prst="rect">
                      <a:avLst/>
                    </a:prstGeom>
                  </pic:spPr>
                </pic:pic>
              </a:graphicData>
            </a:graphic>
          </wp:inline>
        </w:drawing>
      </w:r>
    </w:p>
    <w:p>
      <w:pPr>
        <w:spacing w:line="220" w:lineRule="atLeast"/>
        <w:jc w:val="center"/>
        <w:rPr>
          <w:rFonts w:hint="eastAsia" w:ascii="方正仿宋_GBK" w:hAnsi="方正仿宋_GBK" w:eastAsia="方正仿宋_GBK" w:cs="方正仿宋_GBK"/>
          <w:sz w:val="24"/>
          <w:szCs w:val="24"/>
          <w:lang w:eastAsia="zh-CN"/>
        </w:rPr>
      </w:pPr>
    </w:p>
    <w:p>
      <w:pPr>
        <w:spacing w:line="220" w:lineRule="atLeast"/>
        <w:jc w:val="center"/>
        <w:rPr>
          <w:rFonts w:hint="eastAsia" w:ascii="方正仿宋_GBK" w:hAnsi="方正仿宋_GBK" w:eastAsia="方正仿宋_GBK" w:cs="方正仿宋_GBK"/>
          <w:sz w:val="24"/>
          <w:szCs w:val="24"/>
          <w:lang w:eastAsia="zh-CN"/>
        </w:rPr>
      </w:pPr>
    </w:p>
    <w:p>
      <w:pPr>
        <w:spacing w:line="220" w:lineRule="atLeast"/>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drawing>
          <wp:inline distT="0" distB="0" distL="114300" distR="114300">
            <wp:extent cx="5255260" cy="3942080"/>
            <wp:effectExtent l="0" t="0" r="2540" b="1270"/>
            <wp:docPr id="2" name="图片 2" descr="5f46794c8fbd51442f93ef7e4f7e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f46794c8fbd51442f93ef7e4f7e268"/>
                    <pic:cNvPicPr>
                      <a:picLocks noChangeAspect="1"/>
                    </pic:cNvPicPr>
                  </pic:nvPicPr>
                  <pic:blipFill>
                    <a:blip r:embed="rId7"/>
                    <a:stretch>
                      <a:fillRect/>
                    </a:stretch>
                  </pic:blipFill>
                  <pic:spPr>
                    <a:xfrm>
                      <a:off x="0" y="0"/>
                      <a:ext cx="5255260" cy="3942080"/>
                    </a:xfrm>
                    <a:prstGeom prst="rect">
                      <a:avLst/>
                    </a:prstGeom>
                  </pic:spPr>
                </pic:pic>
              </a:graphicData>
            </a:graphic>
          </wp:inline>
        </w:drawing>
      </w:r>
    </w:p>
    <w:p>
      <w:pPr>
        <w:spacing w:line="220" w:lineRule="atLeast"/>
        <w:jc w:val="center"/>
        <w:rPr>
          <w:rFonts w:hint="eastAsia" w:ascii="方正仿宋_GBK" w:hAnsi="方正仿宋_GBK" w:eastAsia="方正仿宋_GBK" w:cs="方正仿宋_GBK"/>
          <w:sz w:val="24"/>
          <w:szCs w:val="24"/>
          <w:lang w:eastAsia="zh-CN"/>
        </w:rPr>
      </w:pPr>
    </w:p>
    <w:p>
      <w:pPr>
        <w:spacing w:line="220" w:lineRule="atLeast"/>
        <w:jc w:val="both"/>
        <w:rPr>
          <w:rFonts w:hint="eastAsia" w:ascii="方正仿宋_GBK" w:hAnsi="方正仿宋_GBK" w:eastAsia="方正仿宋_GBK" w:cs="方正仿宋_GBK"/>
          <w:sz w:val="24"/>
          <w:szCs w:val="24"/>
          <w:lang w:eastAsia="zh-CN"/>
        </w:rPr>
      </w:pPr>
    </w:p>
    <w:p>
      <w:pPr>
        <w:spacing w:line="220" w:lineRule="atLeast"/>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drawing>
          <wp:inline distT="0" distB="0" distL="114300" distR="114300">
            <wp:extent cx="5253990" cy="3940175"/>
            <wp:effectExtent l="0" t="0" r="3810" b="3175"/>
            <wp:docPr id="3" name="图片 3" descr="445f6bae6661b47269d1678144ca3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45f6bae6661b47269d1678144ca3c5"/>
                    <pic:cNvPicPr>
                      <a:picLocks noChangeAspect="1"/>
                    </pic:cNvPicPr>
                  </pic:nvPicPr>
                  <pic:blipFill>
                    <a:blip r:embed="rId8"/>
                    <a:stretch>
                      <a:fillRect/>
                    </a:stretch>
                  </pic:blipFill>
                  <pic:spPr>
                    <a:xfrm>
                      <a:off x="0" y="0"/>
                      <a:ext cx="5253990" cy="3940175"/>
                    </a:xfrm>
                    <a:prstGeom prst="rect">
                      <a:avLst/>
                    </a:prstGeom>
                  </pic:spPr>
                </pic:pic>
              </a:graphicData>
            </a:graphic>
          </wp:inline>
        </w:drawing>
      </w:r>
    </w:p>
    <w:p>
      <w:pPr>
        <w:spacing w:line="220" w:lineRule="atLeast"/>
        <w:jc w:val="center"/>
        <w:rPr>
          <w:rFonts w:hint="eastAsia" w:ascii="方正仿宋_GBK" w:hAnsi="方正仿宋_GBK" w:eastAsia="方正仿宋_GBK" w:cs="方正仿宋_GBK"/>
          <w:sz w:val="24"/>
          <w:szCs w:val="24"/>
          <w:lang w:eastAsia="zh-CN"/>
        </w:rPr>
      </w:pPr>
    </w:p>
    <w:p>
      <w:pPr>
        <w:spacing w:line="220" w:lineRule="atLeast"/>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drawing>
          <wp:inline distT="0" distB="0" distL="114300" distR="114300">
            <wp:extent cx="5253990" cy="3940175"/>
            <wp:effectExtent l="0" t="0" r="3810" b="3175"/>
            <wp:docPr id="4" name="图片 4" descr="1e3c584147bed983621937d353968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e3c584147bed983621937d353968a3"/>
                    <pic:cNvPicPr>
                      <a:picLocks noChangeAspect="1"/>
                    </pic:cNvPicPr>
                  </pic:nvPicPr>
                  <pic:blipFill>
                    <a:blip r:embed="rId9"/>
                    <a:stretch>
                      <a:fillRect/>
                    </a:stretch>
                  </pic:blipFill>
                  <pic:spPr>
                    <a:xfrm>
                      <a:off x="0" y="0"/>
                      <a:ext cx="5253990" cy="3940175"/>
                    </a:xfrm>
                    <a:prstGeom prst="rect">
                      <a:avLst/>
                    </a:prstGeom>
                  </pic:spPr>
                </pic:pic>
              </a:graphicData>
            </a:graphic>
          </wp:inline>
        </w:drawing>
      </w:r>
    </w:p>
    <w:p>
      <w:pPr>
        <w:spacing w:line="220" w:lineRule="atLeast"/>
        <w:jc w:val="center"/>
        <w:rPr>
          <w:rFonts w:hint="eastAsia" w:ascii="方正仿宋_GBK" w:hAnsi="方正仿宋_GBK" w:eastAsia="方正仿宋_GBK" w:cs="方正仿宋_GBK"/>
          <w:sz w:val="24"/>
          <w:szCs w:val="24"/>
          <w:lang w:eastAsia="zh-CN"/>
        </w:rPr>
      </w:pPr>
    </w:p>
    <w:p>
      <w:pPr>
        <w:spacing w:line="220" w:lineRule="atLeast"/>
        <w:jc w:val="center"/>
        <w:rPr>
          <w:rFonts w:hint="eastAsia" w:ascii="方正仿宋_GBK" w:hAnsi="方正仿宋_GBK" w:eastAsia="方正仿宋_GBK" w:cs="方正仿宋_GBK"/>
          <w:sz w:val="24"/>
          <w:szCs w:val="24"/>
          <w:lang w:eastAsia="zh-CN"/>
        </w:rPr>
      </w:pPr>
    </w:p>
    <w:p>
      <w:pPr>
        <w:spacing w:line="220" w:lineRule="atLeast"/>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drawing>
          <wp:inline distT="0" distB="0" distL="114300" distR="114300">
            <wp:extent cx="5234940" cy="3926205"/>
            <wp:effectExtent l="0" t="0" r="3810" b="17145"/>
            <wp:docPr id="5" name="图片 5" descr="a52b8685e870d1dd0f106bcf1cb85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52b8685e870d1dd0f106bcf1cb85c6"/>
                    <pic:cNvPicPr>
                      <a:picLocks noChangeAspect="1"/>
                    </pic:cNvPicPr>
                  </pic:nvPicPr>
                  <pic:blipFill>
                    <a:blip r:embed="rId10"/>
                    <a:stretch>
                      <a:fillRect/>
                    </a:stretch>
                  </pic:blipFill>
                  <pic:spPr>
                    <a:xfrm>
                      <a:off x="0" y="0"/>
                      <a:ext cx="5234940" cy="3926205"/>
                    </a:xfrm>
                    <a:prstGeom prst="rect">
                      <a:avLst/>
                    </a:prstGeom>
                  </pic:spPr>
                </pic:pic>
              </a:graphicData>
            </a:graphic>
          </wp:inline>
        </w:drawing>
      </w:r>
    </w:p>
    <w:p>
      <w:pPr>
        <w:spacing w:line="220" w:lineRule="atLeast"/>
        <w:jc w:val="center"/>
        <w:rPr>
          <w:rFonts w:hint="eastAsia" w:ascii="方正仿宋_GBK" w:hAnsi="方正仿宋_GBK" w:eastAsia="方正仿宋_GBK" w:cs="方正仿宋_GBK"/>
          <w:sz w:val="24"/>
          <w:szCs w:val="24"/>
          <w:lang w:eastAsia="zh-CN"/>
        </w:rPr>
      </w:pPr>
    </w:p>
    <w:p>
      <w:pPr>
        <w:spacing w:line="220" w:lineRule="atLeast"/>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drawing>
          <wp:inline distT="0" distB="0" distL="114300" distR="114300">
            <wp:extent cx="5234940" cy="3926205"/>
            <wp:effectExtent l="0" t="0" r="3810" b="17145"/>
            <wp:docPr id="6" name="图片 6" descr="fde52b84a79648e4c58d676eaec4a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de52b84a79648e4c58d676eaec4a57"/>
                    <pic:cNvPicPr>
                      <a:picLocks noChangeAspect="1"/>
                    </pic:cNvPicPr>
                  </pic:nvPicPr>
                  <pic:blipFill>
                    <a:blip r:embed="rId11"/>
                    <a:stretch>
                      <a:fillRect/>
                    </a:stretch>
                  </pic:blipFill>
                  <pic:spPr>
                    <a:xfrm>
                      <a:off x="0" y="0"/>
                      <a:ext cx="5234940" cy="3926205"/>
                    </a:xfrm>
                    <a:prstGeom prst="rect">
                      <a:avLst/>
                    </a:prstGeom>
                  </pic:spPr>
                </pic:pic>
              </a:graphicData>
            </a:graphic>
          </wp:inline>
        </w:drawing>
      </w:r>
    </w:p>
    <w:p>
      <w:pPr>
        <w:spacing w:line="220" w:lineRule="atLeast"/>
        <w:jc w:val="center"/>
        <w:rPr>
          <w:rFonts w:hint="eastAsia" w:ascii="方正仿宋_GBK" w:hAnsi="方正仿宋_GBK" w:eastAsia="方正仿宋_GBK" w:cs="方正仿宋_GBK"/>
          <w:sz w:val="24"/>
          <w:szCs w:val="24"/>
          <w:lang w:eastAsia="zh-CN"/>
        </w:rPr>
      </w:pPr>
    </w:p>
    <w:p>
      <w:pPr>
        <w:spacing w:line="220" w:lineRule="atLeast"/>
        <w:jc w:val="center"/>
        <w:rPr>
          <w:rFonts w:hint="eastAsia" w:ascii="方正仿宋_GBK" w:hAnsi="方正仿宋_GBK" w:eastAsia="方正仿宋_GBK" w:cs="方正仿宋_GBK"/>
          <w:sz w:val="24"/>
          <w:szCs w:val="24"/>
          <w:lang w:eastAsia="zh-CN"/>
        </w:rPr>
      </w:pPr>
    </w:p>
    <w:p>
      <w:pPr>
        <w:spacing w:line="220" w:lineRule="atLeast"/>
        <w:jc w:val="center"/>
        <w:rPr>
          <w:rFonts w:hint="eastAsia" w:ascii="方正仿宋_GBK" w:hAnsi="方正仿宋_GBK" w:eastAsia="方正仿宋_GBK" w:cs="方正仿宋_GBK"/>
          <w:sz w:val="24"/>
          <w:szCs w:val="24"/>
          <w:lang w:eastAsia="zh-CN"/>
        </w:rPr>
      </w:pPr>
    </w:p>
    <w:p>
      <w:pPr>
        <w:spacing w:line="220" w:lineRule="atLeast"/>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drawing>
          <wp:inline distT="0" distB="0" distL="114300" distR="114300">
            <wp:extent cx="5274310" cy="2966720"/>
            <wp:effectExtent l="0" t="0" r="2540" b="5080"/>
            <wp:docPr id="7" name="图片 7" descr="783c635223d06c1192ba158b807ed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83c635223d06c1192ba158b807ed03"/>
                    <pic:cNvPicPr>
                      <a:picLocks noChangeAspect="1"/>
                    </pic:cNvPicPr>
                  </pic:nvPicPr>
                  <pic:blipFill>
                    <a:blip r:embed="rId12"/>
                    <a:stretch>
                      <a:fillRect/>
                    </a:stretch>
                  </pic:blipFill>
                  <pic:spPr>
                    <a:xfrm>
                      <a:off x="0" y="0"/>
                      <a:ext cx="5274310" cy="2966720"/>
                    </a:xfrm>
                    <a:prstGeom prst="rect">
                      <a:avLst/>
                    </a:prstGeom>
                  </pic:spPr>
                </pic:pic>
              </a:graphicData>
            </a:graphic>
          </wp:inline>
        </w:drawing>
      </w:r>
    </w:p>
    <w:p>
      <w:pPr>
        <w:spacing w:line="220" w:lineRule="atLeast"/>
        <w:jc w:val="center"/>
        <w:rPr>
          <w:rFonts w:hint="eastAsia" w:ascii="方正仿宋_GBK" w:hAnsi="方正仿宋_GBK" w:eastAsia="方正仿宋_GBK" w:cs="方正仿宋_GBK"/>
          <w:sz w:val="24"/>
          <w:szCs w:val="24"/>
          <w:lang w:eastAsia="zh-CN"/>
        </w:rPr>
      </w:pPr>
    </w:p>
    <w:p>
      <w:pPr>
        <w:spacing w:line="220" w:lineRule="atLeast"/>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drawing>
          <wp:inline distT="0" distB="0" distL="114300" distR="114300">
            <wp:extent cx="5269865" cy="3952240"/>
            <wp:effectExtent l="0" t="0" r="6985" b="10160"/>
            <wp:docPr id="8" name="图片 8" descr="e1dea4ee2b85873bca49fcce22d8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1dea4ee2b85873bca49fcce22d8edf"/>
                    <pic:cNvPicPr>
                      <a:picLocks noChangeAspect="1"/>
                    </pic:cNvPicPr>
                  </pic:nvPicPr>
                  <pic:blipFill>
                    <a:blip r:embed="rId13"/>
                    <a:stretch>
                      <a:fillRect/>
                    </a:stretch>
                  </pic:blipFill>
                  <pic:spPr>
                    <a:xfrm>
                      <a:off x="0" y="0"/>
                      <a:ext cx="5269865" cy="3952240"/>
                    </a:xfrm>
                    <a:prstGeom prst="rect">
                      <a:avLst/>
                    </a:prstGeom>
                  </pic:spPr>
                </pic:pic>
              </a:graphicData>
            </a:graphic>
          </wp:inline>
        </w:drawing>
      </w:r>
    </w:p>
    <w:p>
      <w:pPr>
        <w:spacing w:line="220" w:lineRule="atLeast"/>
        <w:jc w:val="both"/>
        <w:rPr>
          <w:rFonts w:hint="eastAsia" w:ascii="方正仿宋_GBK" w:hAnsi="方正仿宋_GBK" w:eastAsia="方正仿宋_GBK" w:cs="方正仿宋_GBK"/>
          <w:sz w:val="24"/>
          <w:szCs w:val="24"/>
          <w:lang w:eastAsia="zh-CN"/>
        </w:rPr>
      </w:pPr>
    </w:p>
    <w:sectPr>
      <w:pgSz w:w="11906" w:h="16838"/>
      <w:pgMar w:top="1134" w:right="1797" w:bottom="1134" w:left="1797"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B062174"/>
    <w:multiLevelType w:val="singleLevel"/>
    <w:tmpl w:val="5B062174"/>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2"/>
  </w:compat>
  <w:docVars>
    <w:docVar w:name="commondata" w:val="eyJoZGlkIjoiOTQ3NzllODE5ODQxN2ZiNGNjNDBjZWQ2YjM0NTI4ZGYifQ=="/>
  </w:docVars>
  <w:rsids>
    <w:rsidRoot w:val="00D31D50"/>
    <w:rsid w:val="000B4766"/>
    <w:rsid w:val="000D2099"/>
    <w:rsid w:val="000E6944"/>
    <w:rsid w:val="00104CC9"/>
    <w:rsid w:val="00170CF1"/>
    <w:rsid w:val="00174EF2"/>
    <w:rsid w:val="001A1BFE"/>
    <w:rsid w:val="001F2CE9"/>
    <w:rsid w:val="0020243E"/>
    <w:rsid w:val="00235838"/>
    <w:rsid w:val="00284031"/>
    <w:rsid w:val="002929DC"/>
    <w:rsid w:val="002A6601"/>
    <w:rsid w:val="002B21F8"/>
    <w:rsid w:val="00323B43"/>
    <w:rsid w:val="00337330"/>
    <w:rsid w:val="0037423A"/>
    <w:rsid w:val="003D0CCC"/>
    <w:rsid w:val="003D37D8"/>
    <w:rsid w:val="00426133"/>
    <w:rsid w:val="004358AB"/>
    <w:rsid w:val="00480793"/>
    <w:rsid w:val="00491348"/>
    <w:rsid w:val="004E3583"/>
    <w:rsid w:val="004F366D"/>
    <w:rsid w:val="00522EB7"/>
    <w:rsid w:val="005B3B4E"/>
    <w:rsid w:val="006368BE"/>
    <w:rsid w:val="00677C81"/>
    <w:rsid w:val="006C070B"/>
    <w:rsid w:val="006D1B28"/>
    <w:rsid w:val="0071290B"/>
    <w:rsid w:val="00776D58"/>
    <w:rsid w:val="007A6016"/>
    <w:rsid w:val="00831FBB"/>
    <w:rsid w:val="00835842"/>
    <w:rsid w:val="00863318"/>
    <w:rsid w:val="008A56C5"/>
    <w:rsid w:val="008B5B1D"/>
    <w:rsid w:val="008B7726"/>
    <w:rsid w:val="008E0D7E"/>
    <w:rsid w:val="009100FB"/>
    <w:rsid w:val="00934D32"/>
    <w:rsid w:val="00957DFA"/>
    <w:rsid w:val="00982EF7"/>
    <w:rsid w:val="009B3B74"/>
    <w:rsid w:val="009E3A3F"/>
    <w:rsid w:val="009F61FD"/>
    <w:rsid w:val="00A05EC2"/>
    <w:rsid w:val="00A14EB6"/>
    <w:rsid w:val="00A22847"/>
    <w:rsid w:val="00A4264F"/>
    <w:rsid w:val="00A44767"/>
    <w:rsid w:val="00A7343E"/>
    <w:rsid w:val="00A81274"/>
    <w:rsid w:val="00A923BC"/>
    <w:rsid w:val="00B1134A"/>
    <w:rsid w:val="00B13E87"/>
    <w:rsid w:val="00B16C00"/>
    <w:rsid w:val="00B25A20"/>
    <w:rsid w:val="00B87986"/>
    <w:rsid w:val="00B87FB5"/>
    <w:rsid w:val="00BB2351"/>
    <w:rsid w:val="00C35CBD"/>
    <w:rsid w:val="00C662B5"/>
    <w:rsid w:val="00D31D50"/>
    <w:rsid w:val="00D5707C"/>
    <w:rsid w:val="00D64F3E"/>
    <w:rsid w:val="00DD5E10"/>
    <w:rsid w:val="00DF04D3"/>
    <w:rsid w:val="00F3165C"/>
    <w:rsid w:val="00F503AE"/>
    <w:rsid w:val="00F733EE"/>
    <w:rsid w:val="00FC0B1E"/>
    <w:rsid w:val="014001AC"/>
    <w:rsid w:val="04697A1A"/>
    <w:rsid w:val="04ED23F9"/>
    <w:rsid w:val="06881815"/>
    <w:rsid w:val="06BB1FC3"/>
    <w:rsid w:val="06E339A6"/>
    <w:rsid w:val="0DCD3E8C"/>
    <w:rsid w:val="11E953E2"/>
    <w:rsid w:val="14377471"/>
    <w:rsid w:val="18ED2D02"/>
    <w:rsid w:val="21736120"/>
    <w:rsid w:val="259F2E44"/>
    <w:rsid w:val="30BE33DD"/>
    <w:rsid w:val="30F03A74"/>
    <w:rsid w:val="338B2C59"/>
    <w:rsid w:val="33CA3782"/>
    <w:rsid w:val="341814C2"/>
    <w:rsid w:val="37C861C0"/>
    <w:rsid w:val="3AA841E3"/>
    <w:rsid w:val="3B2576B8"/>
    <w:rsid w:val="3CDE5B63"/>
    <w:rsid w:val="3DB643A8"/>
    <w:rsid w:val="40363410"/>
    <w:rsid w:val="407E1DE9"/>
    <w:rsid w:val="43A670D6"/>
    <w:rsid w:val="45331A61"/>
    <w:rsid w:val="459F47DF"/>
    <w:rsid w:val="49D32778"/>
    <w:rsid w:val="508A2C9F"/>
    <w:rsid w:val="50962538"/>
    <w:rsid w:val="5392530B"/>
    <w:rsid w:val="53E758DD"/>
    <w:rsid w:val="573C7A40"/>
    <w:rsid w:val="5B455011"/>
    <w:rsid w:val="5D2754AB"/>
    <w:rsid w:val="5EC5077C"/>
    <w:rsid w:val="62E465A9"/>
    <w:rsid w:val="6D1A759B"/>
    <w:rsid w:val="70392CF4"/>
    <w:rsid w:val="72715040"/>
    <w:rsid w:val="775C0511"/>
    <w:rsid w:val="7B227A7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3"/>
    <w:basedOn w:val="1"/>
    <w:next w:val="1"/>
    <w:semiHidden/>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8"/>
    <w:semiHidden/>
    <w:unhideWhenUsed/>
    <w:qFormat/>
    <w:uiPriority w:val="99"/>
    <w:pPr>
      <w:tabs>
        <w:tab w:val="center" w:pos="4153"/>
        <w:tab w:val="right" w:pos="8306"/>
      </w:tabs>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jc w:val="center"/>
    </w:pPr>
    <w:rPr>
      <w:sz w:val="18"/>
      <w:szCs w:val="18"/>
    </w:rPr>
  </w:style>
  <w:style w:type="character" w:customStyle="1" w:styleId="7">
    <w:name w:val="页眉 字符"/>
    <w:basedOn w:val="6"/>
    <w:link w:val="4"/>
    <w:semiHidden/>
    <w:qFormat/>
    <w:uiPriority w:val="99"/>
    <w:rPr>
      <w:rFonts w:ascii="Tahoma" w:hAnsi="Tahoma"/>
      <w:sz w:val="18"/>
      <w:szCs w:val="18"/>
    </w:rPr>
  </w:style>
  <w:style w:type="character" w:customStyle="1" w:styleId="8">
    <w:name w:val="页脚 字符"/>
    <w:basedOn w:val="6"/>
    <w:link w:val="3"/>
    <w:semiHidden/>
    <w:qFormat/>
    <w:uiPriority w:val="99"/>
    <w:rPr>
      <w:rFonts w:ascii="Tahoma" w:hAnsi="Tahoma"/>
      <w:sz w:val="18"/>
      <w:szCs w:val="18"/>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199B1-8509-4074-9E4A-53E0B9DE34A8}">
  <ds:schemaRefs/>
</ds:datastoreItem>
</file>

<file path=docProps/app.xml><?xml version="1.0" encoding="utf-8"?>
<Properties xmlns="http://schemas.openxmlformats.org/officeDocument/2006/extended-properties" xmlns:vt="http://schemas.openxmlformats.org/officeDocument/2006/docPropsVTypes">
  <Template>Normal</Template>
  <Company>西云科技</Company>
  <Pages>6</Pages>
  <Words>946</Words>
  <Characters>1009</Characters>
  <Lines>2</Lines>
  <Paragraphs>1</Paragraphs>
  <TotalTime>46</TotalTime>
  <ScaleCrop>false</ScaleCrop>
  <LinksUpToDate>false</LinksUpToDate>
  <CharactersWithSpaces>1011</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2020-04-20T03:40:00Z</dcterms:created>
  <dc:creator>Administrator</dc:creator>
  <cp:lastModifiedBy>Administrator</cp:lastModifiedBy>
  <cp:lastPrinted>2020-04-20T03:39:00Z</cp:lastPrinted>
  <dcterms:modified xsi:type="dcterms:W3CDTF">2023-05-19T07:33:31Z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976972298_cloud</vt:lpwstr>
  </property>
  <property fmtid="{D5CDD505-2E9C-101B-9397-08002B2CF9AE}" pid="3" name="KSOProductBuildVer">
    <vt:lpwstr>2052-11.1.0.12598</vt:lpwstr>
  </property>
  <property fmtid="{D5CDD505-2E9C-101B-9397-08002B2CF9AE}" pid="4" name="ICV">
    <vt:lpwstr>31D9E8F7345E4676A5C9C710CFFA2247</vt:lpwstr>
  </property>
</Properties>
</file>