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600" w:lineRule="exact"/>
        <w:jc w:val="center"/>
        <w:rPr>
          <w:rFonts w:hint="eastAsia" w:ascii="方正小标宋_GBK" w:hAnsi="方正小标宋_GBK" w:eastAsia="方正小标宋_GBK" w:cs="方正小标宋_GBK"/>
          <w:bCs/>
          <w:sz w:val="44"/>
          <w:szCs w:val="44"/>
        </w:rPr>
      </w:pPr>
      <w:bookmarkStart w:id="0" w:name="_GoBack"/>
      <w:bookmarkEnd w:id="0"/>
      <w:r>
        <w:rPr>
          <w:rStyle w:val="10"/>
          <w:rFonts w:hint="eastAsia" w:ascii="方正小标宋_GBK" w:hAnsi="方正小标宋_GBK" w:eastAsia="方正小标宋_GBK" w:cs="方正小标宋_GBK"/>
          <w:b w:val="0"/>
          <w:bCs/>
          <w:sz w:val="44"/>
          <w:szCs w:val="44"/>
        </w:rPr>
        <w:t>重庆市渝北区人民政府龙塔街道办事处</w:t>
      </w:r>
    </w:p>
    <w:p>
      <w:pPr>
        <w:pStyle w:val="7"/>
        <w:widowControl/>
        <w:spacing w:before="0" w:beforeAutospacing="0" w:after="0" w:afterAutospacing="0" w:line="600" w:lineRule="exact"/>
        <w:jc w:val="center"/>
        <w:rPr>
          <w:rStyle w:val="10"/>
          <w:rFonts w:hint="eastAsia" w:ascii="方正小标宋_GBK" w:hAnsi="方正小标宋_GBK" w:eastAsia="方正小标宋_GBK" w:cs="方正小标宋_GBK"/>
          <w:b w:val="0"/>
          <w:bCs/>
          <w:sz w:val="44"/>
          <w:szCs w:val="44"/>
        </w:rPr>
      </w:pPr>
      <w:r>
        <w:rPr>
          <w:rStyle w:val="10"/>
          <w:rFonts w:hint="eastAsia" w:ascii="方正小标宋_GBK" w:hAnsi="方正小标宋_GBK" w:eastAsia="方正小标宋_GBK" w:cs="方正小标宋_GBK"/>
          <w:b w:val="0"/>
          <w:bCs/>
          <w:sz w:val="44"/>
          <w:szCs w:val="44"/>
        </w:rPr>
        <w:t>2022年度部门决算情况说明</w:t>
      </w:r>
    </w:p>
    <w:p>
      <w:pPr>
        <w:pStyle w:val="7"/>
        <w:widowControl/>
        <w:spacing w:before="0" w:beforeAutospacing="0" w:after="0" w:afterAutospacing="0" w:line="600" w:lineRule="exact"/>
        <w:jc w:val="center"/>
        <w:rPr>
          <w:rStyle w:val="10"/>
          <w:rFonts w:ascii="Times New Roman" w:hAnsi="Times New Roman" w:eastAsia="方正小标宋_GBK"/>
          <w:sz w:val="44"/>
          <w:szCs w:val="44"/>
        </w:rPr>
      </w:pPr>
    </w:p>
    <w:p>
      <w:pPr>
        <w:pStyle w:val="7"/>
        <w:widowControl/>
        <w:spacing w:before="0" w:beforeAutospacing="0" w:after="0" w:afterAutospacing="0" w:line="600" w:lineRule="exact"/>
        <w:ind w:firstLine="640" w:firstLineChars="200"/>
        <w:rPr>
          <w:rFonts w:ascii="Times New Roman" w:hAnsi="Times New Roman" w:eastAsia="方正黑体_GBK"/>
          <w:bCs/>
          <w:sz w:val="32"/>
          <w:szCs w:val="32"/>
        </w:rPr>
      </w:pPr>
      <w:r>
        <w:rPr>
          <w:rStyle w:val="10"/>
          <w:rFonts w:ascii="Times New Roman" w:hAnsi="Times New Roman" w:eastAsia="方正黑体_GBK"/>
          <w:b w:val="0"/>
          <w:bCs/>
          <w:sz w:val="32"/>
          <w:szCs w:val="32"/>
        </w:rPr>
        <w:t>一、部门基本情况</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（一）职能职责</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重庆市渝北区人民政府龙塔街道办事处为渝北区人民政府派驻机构，受区人民政府领导，依据法律、法规的规定，在本辖区内行使相应的政府管理职能。具体为：</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1.宣传党的路线、方针、政策，执行法律、法规、规章和上级人民政府的决定。</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2.领导、管理和积极发展街道经济，壮大街道经济实力，加强街道财政预算和收支管理，进行有关统计资料的收集、整理和汇总。</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3.负责社区管理工作，兴办社会福利事业，加强居委会管理和建设，开展便民利民的社区服务，做好拥军优属、优抚安置、殡葬改革、老龄等工作，做好民兵预备役、国防动员和征兵工作。</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4.开展社会福利、社会救济、社会保障工作，负责管理辖区内失业、下岗职工和离退休人员，做好城市低保、职工养老保险、失业保险等社会管理与服务工作，协助有关部门做好劳动就业工作，配合有关部门做好防汛、防火、防震、防灾、救灾和抢险工作。</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5.负责辖区内市容、环境卫生、绿化美化、环境保护、综合治理等城市管理工作，负责本辖区物业管理的指导、监督、调解和协调工作，组织单位和社区居民开展爱国卫生运动，落实门前三包责任制。</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6.开展精神文明建设，负责计划生育、教育、文化、卫生、体育等工作。</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7.协调市场监管、税务、统计、科普、农业、商业等部门关系。</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8.维护辖区内社会稳定，组织实施社会治安综合治理规划，搞好辖区内的安全生产工作。</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9.参与检查、督促新建改建公共建筑、市政设施配套项目的落实、验收工作，协助有关部门对其使用进行管理监督。</w:t>
      </w:r>
    </w:p>
    <w:p>
      <w:pPr>
        <w:pStyle w:val="7"/>
        <w:widowControl/>
        <w:spacing w:before="0" w:beforeAutospacing="0" w:after="0" w:afterAutospacing="0" w:line="600" w:lineRule="exact"/>
        <w:ind w:firstLine="640" w:firstLineChars="200"/>
        <w:rPr>
          <w:rFonts w:hint="eastAsia" w:ascii="仿宋_GB2312" w:hAnsi="仿宋_GB2312" w:eastAsia="仿宋_GB2312" w:cs="仿宋_GB2312"/>
          <w:sz w:val="32"/>
        </w:rPr>
      </w:pPr>
      <w:r>
        <w:rPr>
          <w:rFonts w:hint="eastAsia" w:ascii="方正仿宋_GBK" w:hAnsi="方正仿宋_GBK" w:eastAsia="方正仿宋_GBK" w:cs="方正仿宋_GBK"/>
          <w:sz w:val="32"/>
        </w:rPr>
        <w:t>10.承办区政府交办的其他工作。</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（二）机构设置</w:t>
      </w:r>
    </w:p>
    <w:p>
      <w:pPr>
        <w:pStyle w:val="7"/>
        <w:widowControl/>
        <w:spacing w:before="0" w:beforeAutospacing="0" w:after="0" w:afterAutospacing="0" w:line="600" w:lineRule="exact"/>
        <w:ind w:firstLine="640" w:firstLineChars="200"/>
        <w:rPr>
          <w:rFonts w:hint="eastAsia" w:ascii="仿宋_GB2312" w:hAnsi="仿宋_GB2312" w:eastAsia="仿宋_GB2312" w:cs="仿宋_GB2312"/>
          <w:sz w:val="32"/>
        </w:rPr>
      </w:pPr>
      <w:r>
        <w:rPr>
          <w:rFonts w:hint="eastAsia" w:ascii="方正仿宋_GBK" w:hAnsi="方正仿宋_GBK" w:eastAsia="方正仿宋_GBK" w:cs="方正仿宋_GBK"/>
          <w:sz w:val="32"/>
        </w:rPr>
        <w:t>重庆市渝北区人民政府龙塔街道办事处内设机构16个。其中，行政机构10个，事业机构6个。行政机构分别为：党政办公室、党群工作办公室、人大工委办公室、经济发展办公室（统计办公室）、民政和社区事务办公室（卫生健康办公室）、平安建设办公室、规划建设管理环保办公室、财政办公室、应急管理办公室、综合行政执法办公室；事业机构分别为：社区事务服务中心、社区文化服务中心、劳动就业和社会保障服务所、退役军人服务站、综合行政执法大队、物业管理服务中心。</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（三）单位构成</w:t>
      </w:r>
    </w:p>
    <w:p>
      <w:pPr>
        <w:pStyle w:val="7"/>
        <w:widowControl/>
        <w:spacing w:before="0" w:beforeAutospacing="0" w:after="0" w:afterAutospacing="0" w:line="600" w:lineRule="exact"/>
        <w:ind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从预算单位构成看，纳入本单位2022年度</w:t>
      </w:r>
      <w:r>
        <w:rPr>
          <w:rFonts w:ascii="Times New Roman" w:hAnsi="Times New Roman" w:eastAsia="方正仿宋_GBK"/>
          <w:kern w:val="2"/>
          <w:sz w:val="32"/>
          <w:szCs w:val="32"/>
        </w:rPr>
        <w:t>决算编制的二级预算单位主要包括龙塔街道办事处（本级）以及六个事业单位</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分别</w:t>
      </w:r>
      <w:r>
        <w:rPr>
          <w:rFonts w:ascii="方正仿宋_GBK" w:hAnsi="方正仿宋_GBK" w:eastAsia="方正仿宋_GBK" w:cs="方正仿宋_GBK"/>
          <w:kern w:val="2"/>
          <w:sz w:val="32"/>
          <w:szCs w:val="32"/>
        </w:rPr>
        <w:t>是：</w:t>
      </w:r>
      <w:r>
        <w:rPr>
          <w:rFonts w:hint="eastAsia" w:ascii="方正仿宋_GBK" w:hAnsi="方正仿宋_GBK" w:eastAsia="方正仿宋_GBK" w:cs="方正仿宋_GBK"/>
          <w:kern w:val="2"/>
          <w:sz w:val="32"/>
          <w:szCs w:val="32"/>
        </w:rPr>
        <w:t>社区事务服务中心、社区文化服务中心、劳动就业和社会保障服务所、退役军人服务站、综合行政执法大队、物业管理服务中心。</w:t>
      </w:r>
    </w:p>
    <w:p>
      <w:pPr>
        <w:pStyle w:val="7"/>
        <w:widowControl/>
        <w:spacing w:before="0" w:beforeAutospacing="0" w:after="0" w:afterAutospacing="0" w:line="600" w:lineRule="exact"/>
        <w:ind w:firstLine="640" w:firstLineChars="200"/>
        <w:rPr>
          <w:rStyle w:val="10"/>
          <w:rFonts w:ascii="Times New Roman" w:hAnsi="Times New Roman" w:eastAsia="方正黑体_GBK"/>
          <w:b w:val="0"/>
          <w:bCs/>
          <w:sz w:val="32"/>
          <w:szCs w:val="32"/>
        </w:rPr>
      </w:pPr>
      <w:r>
        <w:rPr>
          <w:rStyle w:val="10"/>
          <w:rFonts w:ascii="Times New Roman" w:hAnsi="Times New Roman" w:eastAsia="方正黑体_GBK"/>
          <w:b w:val="0"/>
          <w:bCs/>
          <w:sz w:val="32"/>
          <w:szCs w:val="32"/>
        </w:rPr>
        <w:t>二、部门决算情况说明</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（一）收入支出决算总体情况说明</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总体情况。2022年度收入总计7,880.95万元，支出总计7,880.95万元。收、支较上年决算数增加626.41万元,增长8.6%，主要原因一是受2022年新冠疫情影响，疫情防控开支有所增长；二是新增龙塔社区公园公厕新建工程、老旧小区改造、残疾人综合服务站运行经费等项目。</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收入情况。2022年度收入合计7,880.95万元，收入较上年决算数增加626.41万元,增长8.6%，主要原因一是受2022年新冠疫情影响，疫情防控开支有所增长；二是新增龙塔社区公园公厕新建工程、老旧小区改造、残疾人综合服务站运行经费等项目，其中：财政拨款收入7,880.95万元，占100%。</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支出情况。2022年度支出合计7,880.95万元，较上年决算数增加626.14万元,增长8.6%，主要原因一是受2022年新冠疫情影响，疫情防控开支有所增长；二是新增龙塔社区公园公厕新建工程、老旧小区改造、残疾人综合服务站运行经费等项目，其中：基本支出3776.51万元，占47.9%；项目支出4104.44万元，占52.1%。</w:t>
      </w:r>
    </w:p>
    <w:p>
      <w:pPr>
        <w:pStyle w:val="7"/>
        <w:widowControl/>
        <w:spacing w:before="0" w:beforeAutospacing="0" w:after="0" w:afterAutospacing="0" w:line="600" w:lineRule="exact"/>
        <w:ind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4.结转结余情况。2022年度年末结转和结余0万元，较上年决算数一致。</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（二）财政拨款收入支出决算总体情况说明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财政拨款收、支总计7,880.95万元，与2021年相比，财政拨款收、支总计各增加626.41万元，增长8.6%，主要原因一是受2022年新冠疫情影响，疫情防控开支有所增长；二是新增龙塔社区公园公厕新建工程、老旧小区改造、残疾人综合服务站运行经费等项目。</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（三）一般公共预算财政拨款收入支出决算情况说明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收入情况。2022年度一般公共预算财政拨款收入7,748.42万元，较上年决算数增加684.49万元，增长9.7%。主要原因一是受2022年新冠疫情影响，疫情防控开支有所增长；二是新增龙塔社区公园公厕新建工程、老旧小区改造、残疾人综合服务站运行经费等项目。较年初预算数增加809.27万元，增长11.7%，主要原因是年中追加了疫情防控、城市管理及其他民政保障经费等。</w:t>
      </w:r>
      <w:r>
        <w:rPr>
          <w:rFonts w:hint="eastAsia" w:ascii="方正仿宋_GBK" w:hAnsi="方正仿宋_GBK" w:eastAsia="方正仿宋_GBK" w:cs="方正仿宋_GBK"/>
          <w:sz w:val="32"/>
          <w:szCs w:val="32"/>
        </w:rPr>
        <w:t>此外，年初财政拨款结转和结余为0万元。</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支出情况。2022年度一般公共预算财政拨款支出7,748.42万元，较上年决算数增加684.49万元，增长9.7%。主要原因一是受2022年新冠疫情影响，疫情防控开支有所增长；二是新增龙塔社区公园公厕新建工程、老旧小区改造、残疾人综合服务站运行经费等项目。较年初预算数增加809.27万元，增长11.7%，主要原因是年中追加了疫情防控、城市管理及其他民政保障经费等。</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3.结转结余情况。2022年度年末一般公共预算财政拨款结转和结余0万元，较上年决算数一致。</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4.比较情况。本单位2022年度一般公共预算财政拨款支出主要用于以下几个方面：</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（1）一般公共服务支出1,283.38万元，占16.6%，较年初预算数减少60.09万元，下降4.5%，主要原因是严格落实市、区两级要求，压缩公用经费开支。</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（2）国防支出28.48万元，占0.4%，较年初预算数减少2.48万元，下降8%，主要原因是两防一体化建设支出减少。</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（3）公共安全支出986.15万元，占12.7%，较年初预算数增加64.26万元，增长7%，主要原因是追加了网格化管理经费拨款、社区矫正及安置帮教经费等。</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（4）文化旅游体育与传媒支出94.96万元，占1.2%，较年初预算数减少41.50万元，下降30.4%。主要原因是受新冠疫情影响，2022年下半年开展的文体活动减少。</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（5）社会保障与就业支出3,134.05万元，占40.5%，较年初预算数减少21.62万元，下降0.7%，主要原因是受新冠疫情影响，社区养老服务设施运营补贴未能在年底前完成考核发放。</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（6）卫生健康支出970.99万元，占12.5%，较年初预算数增加771.44万元，增长386.6%，主要原因是用于新冠疫情防控的经费增加。</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（7）节能环保支出0.32万元，占比小于0.1%，较年初预算数减少19.58万元，下降98.4%，主要原因是受疫情防控工作影响，部分生态促治及环保工作延期到2023年进行。</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（8）城乡社区支出637.36万元，占8.2%，较年初预算数增加170.29万元，增长36.5%，主要原因是追加了老旧小区改造等项目。</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（9）农林水支出126.98万元，占1.7%，较年初预算数减少25.18万元，下降16.6%，主要原因是受疫情防控工作影响，下半年部分项目活动未能开展。</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（10）交通运输支出0万元，占0%，较年初预算数减少2.5万元，下降100%，主要原因是该项目为上年结余资金，项目在2021年已完工。</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（11）商业服务业等支出56.57万元，占0.7%，较年初预算数减少14.45万元，下降20.4%。主要原因是受新冠疫情防控工作的影响，部分菜市场管理工作经费将在考核合格后发放。</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（12）住房保障支出386.26万元，占5.0%，较年初预算数增加324.00万元，增长520.3%，主要原因是年中追加了老旧小区改造项目等。</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（13）灾害防治及应急管理支出42.89万元，占0.6%，较年初预算数减少33.31万元，下降43.7%，主要原因是工作内容进行了调整，相应的经费调整到了公共安全支出。</w:t>
      </w:r>
    </w:p>
    <w:p>
      <w:pPr>
        <w:pStyle w:val="7"/>
        <w:widowControl/>
        <w:spacing w:before="0" w:beforeAutospacing="0" w:after="0" w:afterAutospacing="0" w:line="600" w:lineRule="exact"/>
        <w:ind w:firstLine="640" w:firstLineChars="200"/>
        <w:rPr>
          <w:rStyle w:val="10"/>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rPr>
        <w:t>（四）一般公共预算财政拨款基本支出决算情况说明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一般公共预算财政拨款基本支出3,776.51万元，其中：人员经费3,068.73万元，较上年决算数增加619.8万元，增长25.3%，主要原因是增人增资，人员经费用途主要包括基本工资、津贴补贴、奖金、其他社会保障缴费、绩效工资、社区工作者补贴等；公用经费707.78万元，较上年决算数减少84.19万元，下降10.6%，主要原因是严格落实市、区两级要求，压缩各项公用经费的开支，公用经费用途主要包括办公费、印刷费、水费、电费、邮电费、物业管理费、差旅费、工会经费、福利费、其他交通费用、会议费、培训费、劳务费、公务接待费、公务用车运行维护费、维修(护)费、其他商品服务支出。</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（五）政府性基金预算收支决算情况说明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政府性基金预算财政拨款年初结转结余0万元，年末结转结余0万元。本年收入132.53万元，较上年决算数减少58.08万元，下降30.5%，主要原因是社区养老服务站建设工程及智能门禁二期建设项目已完工。较年初预算数增加29.08万元，增长28.1%，主要原因是年中追加社区养老服务设施运营补贴等项目。本年支出132.53万元，较上年决算数减少58.08万元，下降30.5%，主要原因是社区养老服务站建设工程及智能门禁二期建设项目已完工。较年初预算数增加29.08万元，增长28.1%，主要原因是年中追加社区养老服务设施运营补贴等项目，2022年项目经费主要用于龙塔社区公园公厕新建工程、社区养老服务站运营等开支。</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（六）国有资本经营预算财政拨款支出决算情况说明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本单位2022年度无国有资本经营预算财政拨款支出。</w:t>
      </w:r>
    </w:p>
    <w:p>
      <w:pPr>
        <w:pStyle w:val="7"/>
        <w:widowControl/>
        <w:spacing w:before="0" w:beforeAutospacing="0" w:after="0" w:afterAutospacing="0" w:line="600" w:lineRule="exact"/>
        <w:ind w:firstLine="640" w:firstLineChars="200"/>
        <w:rPr>
          <w:rStyle w:val="10"/>
          <w:rFonts w:ascii="Times New Roman" w:hAnsi="Times New Roman" w:eastAsia="方正黑体_GBK"/>
          <w:b w:val="0"/>
          <w:bCs/>
          <w:sz w:val="32"/>
          <w:szCs w:val="32"/>
        </w:rPr>
      </w:pPr>
      <w:r>
        <w:rPr>
          <w:rStyle w:val="10"/>
          <w:rFonts w:ascii="Times New Roman" w:hAnsi="Times New Roman" w:eastAsia="方正黑体_GBK"/>
          <w:b w:val="0"/>
          <w:bCs/>
          <w:sz w:val="32"/>
          <w:szCs w:val="32"/>
        </w:rPr>
        <w:t>三、“三公”经费情况说明</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（一）“三公”经费支出总体情况说明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三公”经费支出共计22.90万元，较年初预算数减少13.3万元，下降36.7%，主要原因是从严控制各项“三公”经费，压缩公务接待费、公务用车运行维护费等开支。较上年支出数减少14.24万元，降低38.3%，主要原因一是进一步控制本单位公务接待经费支出标准，不报销任何超范围、超标准及与公务活动无关的费用；二是严格落实公车使用规定，降低公务用车运行维护成本。</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（二）“三公”经费分项支出情况</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2022年度本单位因公出国（境）费用0万元，与预算数一致，与上年决算数一致。</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2022年度本单位公务车购置费0万元，与预算数一致，与上年决算数一致。</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公务车运行维护费11.7万元，主要用于公务用车的燃油费、保养费、维修费、过路过桥费、保险费等开支。费用支出较年初预算数减少12.3万元，下降51.3%，主要原因是严格落实公车使用规定，降低公务用车运行维护成本。较上年支出数减少3.68万元，下降23.9%，主要原因是严格落实公车使用规定，降低公务用车运行维护成本。</w:t>
      </w:r>
    </w:p>
    <w:p>
      <w:pPr>
        <w:pStyle w:val="7"/>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公务接待费11.2万元，主要用于接待其他部门来本单位的检查、考察、学习、交流等。费用支出较年初预算数减少1万元，下降8.2%，主要原因是从严控制本单位公务接待经费支出标准，不报销任何超范围、超标准及与公务活动无关的费用。附表中的年初数与2022年度部门决算报表中的年初数不一致的原因是部门决算填报时出现失误，现已对附表中的年初数进行了更正。较上年支出数减少10.56万元，下降48.5%，主要原因是从严控制本单位公务接待经费支出标准，不报销任何超范围、超标准及与公务活动无关的费用。</w:t>
      </w:r>
    </w:p>
    <w:p>
      <w:pPr>
        <w:pStyle w:val="7"/>
        <w:widowControl/>
        <w:spacing w:before="0" w:beforeAutospacing="0" w:after="0" w:afterAutospacing="0" w:line="600" w:lineRule="exact"/>
        <w:ind w:firstLine="640" w:firstLineChars="200"/>
        <w:rPr>
          <w:rStyle w:val="10"/>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rPr>
        <w:t>（三）“三公”经费实物量情况</w:t>
      </w:r>
    </w:p>
    <w:p>
      <w:pPr>
        <w:pStyle w:val="7"/>
        <w:spacing w:before="0" w:beforeAutospacing="0" w:after="0" w:afterAutospacing="0"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rPr>
        <w:t>2022年度本单位因公出国（境）共计0个团组，0人；公务用车购置0辆，公务车保有量为2辆；国内公务接待209批次，2,882人，其中：国内外事接待0批次，0人；国（境）外公务接待0批次，0人。2022年本单位人均接待费38.86元，车均购置费0万元，车均维护费5.85万元。</w:t>
      </w:r>
    </w:p>
    <w:p>
      <w:pPr>
        <w:pStyle w:val="7"/>
        <w:widowControl/>
        <w:spacing w:before="0" w:beforeAutospacing="0" w:after="0" w:afterAutospacing="0" w:line="600" w:lineRule="exact"/>
        <w:ind w:firstLine="640" w:firstLineChars="200"/>
        <w:rPr>
          <w:rStyle w:val="10"/>
          <w:rFonts w:ascii="Times New Roman" w:hAnsi="Times New Roman" w:eastAsia="方正黑体_GBK"/>
          <w:b w:val="0"/>
          <w:bCs/>
          <w:sz w:val="32"/>
          <w:szCs w:val="32"/>
        </w:rPr>
      </w:pPr>
      <w:r>
        <w:rPr>
          <w:rStyle w:val="10"/>
          <w:rFonts w:ascii="Times New Roman" w:hAnsi="Times New Roman" w:eastAsia="方正黑体_GBK"/>
          <w:b w:val="0"/>
          <w:bCs/>
          <w:sz w:val="32"/>
          <w:szCs w:val="32"/>
        </w:rPr>
        <w:t>四、其他需要说明的事项</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（一）财政拨款会议费和培训费情况说明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会议费支出0万元，较上年决算数减少3.09万元，下降100%，主要原因是会议场所均使用本单位会议室，减少会议费开支。2022年度本单位培训费支出31.97万元，较上年决算数增加23.23万元，增长265%，主要原因一是增加党员干部培训学习经费；二是受新冠疫情影响，增加了疫情防控培训开支。</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（二）机关运行经费支出情况说明</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2022年度本单位机关运行经费支出529.61万元，主要用于保障机关运行的各类办公费、物业管理费、水电燃气费、劳务费等。机关运行经费较上年决算数减少了77.57万元，下降12.8%，主要原因是厉行节约，压减机关运行经费开支。</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（三）国有资产占用情况说明</w:t>
      </w:r>
    </w:p>
    <w:p>
      <w:pPr>
        <w:pStyle w:val="7"/>
        <w:widowControl/>
        <w:spacing w:before="0" w:beforeAutospacing="0" w:after="0" w:afterAutospacing="0" w:line="600" w:lineRule="exact"/>
        <w:ind w:firstLine="640" w:firstLineChars="200"/>
        <w:rPr>
          <w:rFonts w:ascii="Times New Roman" w:hAnsi="Times New Roman" w:eastAsia="方正仿宋_GBK"/>
          <w:kern w:val="2"/>
          <w:sz w:val="32"/>
          <w:szCs w:val="32"/>
        </w:rPr>
      </w:pPr>
      <w:r>
        <w:rPr>
          <w:rFonts w:hint="eastAsia" w:ascii="方正仿宋_GBK" w:hAnsi="方正仿宋_GBK" w:eastAsia="方正仿宋_GBK" w:cs="方正仿宋_GBK"/>
          <w:kern w:val="2"/>
          <w:sz w:val="32"/>
          <w:szCs w:val="32"/>
        </w:rPr>
        <w:t>截至2022年12月31日，本单位共有车辆2辆，其中：副部（省）级及以上领导用车0辆、主要领导干部用车0辆、机要通信用车0辆、应急保障用车2辆、执法执勤用车0辆，特种专</w:t>
      </w:r>
      <w:r>
        <w:rPr>
          <w:rFonts w:hint="eastAsia" w:ascii="方正仿宋_GBK" w:hAnsi="方正仿宋_GBK" w:eastAsia="方正仿宋_GBK" w:cs="方正仿宋_GBK"/>
          <w:spacing w:val="2"/>
          <w:kern w:val="2"/>
          <w:sz w:val="32"/>
          <w:szCs w:val="32"/>
        </w:rPr>
        <w:t>业技术用车0 辆，离退休干部用车0辆，其他用车0辆。单价</w:t>
      </w:r>
      <w:r>
        <w:rPr>
          <w:rFonts w:hint="eastAsia" w:ascii="方正仿宋_GBK" w:hAnsi="方正仿宋_GBK" w:eastAsia="方正仿宋_GBK" w:cs="方正仿宋_GBK"/>
          <w:kern w:val="2"/>
          <w:sz w:val="32"/>
          <w:szCs w:val="32"/>
        </w:rPr>
        <w:t>100万元（含）以上设备（不含车辆）0台（套）。</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（四）政府采购支出说明</w:t>
      </w:r>
    </w:p>
    <w:p>
      <w:pPr>
        <w:pStyle w:val="7"/>
        <w:widowControl/>
        <w:spacing w:before="0" w:beforeAutospacing="0" w:after="0" w:afterAutospacing="0" w:line="600" w:lineRule="exact"/>
        <w:ind w:firstLine="640" w:firstLineChars="200"/>
        <w:rPr>
          <w:rFonts w:ascii="Times New Roman" w:hAnsi="Times New Roman" w:eastAsia="方正仿宋_GBK"/>
          <w:kern w:val="2"/>
          <w:sz w:val="32"/>
          <w:szCs w:val="32"/>
        </w:rPr>
      </w:pPr>
      <w:r>
        <w:rPr>
          <w:rFonts w:hint="eastAsia" w:ascii="方正仿宋_GBK" w:hAnsi="方正仿宋_GBK" w:eastAsia="方正仿宋_GBK" w:cs="方正仿宋_GBK"/>
          <w:kern w:val="2"/>
          <w:sz w:val="32"/>
          <w:szCs w:val="32"/>
        </w:rPr>
        <w:t>2022年度本单位政府采购支出总额76.72万元，其中：政府采购货物支出76.72万元、政府采购工程支出0万元、政府采购服务支出0万元。授予中小企业合同金额76.72万元，占政府采购支出总额的100%，其中：授予小微企业合同金额76.72万元，占政府采购支出总额的100%。主要用于办公设备及办公家具</w:t>
      </w:r>
      <w:r>
        <w:rPr>
          <w:rFonts w:ascii="Times New Roman" w:hAnsi="Times New Roman" w:eastAsia="方正仿宋_GBK"/>
          <w:kern w:val="2"/>
          <w:sz w:val="32"/>
          <w:szCs w:val="32"/>
        </w:rPr>
        <w:t>。</w:t>
      </w:r>
    </w:p>
    <w:p>
      <w:pPr>
        <w:pStyle w:val="7"/>
        <w:widowControl/>
        <w:spacing w:before="0" w:beforeAutospacing="0" w:after="0" w:afterAutospacing="0" w:line="600" w:lineRule="exact"/>
        <w:ind w:firstLine="640" w:firstLineChars="200"/>
        <w:rPr>
          <w:rStyle w:val="10"/>
          <w:rFonts w:ascii="Times New Roman" w:hAnsi="Times New Roman" w:eastAsia="方正黑体_GBK"/>
          <w:b w:val="0"/>
          <w:bCs/>
          <w:sz w:val="32"/>
          <w:szCs w:val="32"/>
        </w:rPr>
      </w:pPr>
      <w:r>
        <w:rPr>
          <w:rStyle w:val="10"/>
          <w:rFonts w:ascii="Times New Roman" w:hAnsi="Times New Roman" w:eastAsia="方正黑体_GBK"/>
          <w:b w:val="0"/>
          <w:bCs/>
          <w:sz w:val="32"/>
          <w:szCs w:val="32"/>
        </w:rPr>
        <w:t>五、预算绩效管理情况说明</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（一）预算绩效管理工作开展情况</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根据预算绩效管理要求，我单位对部门181个项目开展了绩</w:t>
      </w:r>
      <w:r>
        <w:rPr>
          <w:rFonts w:hint="eastAsia" w:ascii="方正仿宋_GBK" w:hAnsi="方正仿宋_GBK" w:eastAsia="方正仿宋_GBK" w:cs="方正仿宋_GBK"/>
          <w:spacing w:val="4"/>
          <w:kern w:val="2"/>
          <w:sz w:val="32"/>
          <w:szCs w:val="32"/>
        </w:rPr>
        <w:t>效自评，其中，以填报自评表形式开展自评181项，涉及资金</w:t>
      </w:r>
      <w:r>
        <w:rPr>
          <w:rFonts w:hint="eastAsia" w:ascii="方正仿宋_GBK" w:hAnsi="方正仿宋_GBK" w:eastAsia="方正仿宋_GBK" w:cs="方正仿宋_GBK"/>
          <w:kern w:val="2"/>
          <w:sz w:val="32"/>
          <w:szCs w:val="32"/>
        </w:rPr>
        <w:t>4104.44万元。</w:t>
      </w:r>
    </w:p>
    <w:p>
      <w:pPr>
        <w:pStyle w:val="7"/>
        <w:widowControl/>
        <w:spacing w:before="0" w:beforeAutospacing="0" w:after="0" w:afterAutospacing="0" w:line="600" w:lineRule="exact"/>
        <w:ind w:firstLine="640" w:firstLineChars="200"/>
        <w:rPr>
          <w:rStyle w:val="10"/>
          <w:rFonts w:ascii="方正楷体_GBK" w:hAnsi="方正楷体_GBK" w:eastAsia="方正楷体_GBK" w:cs="方正楷体_GBK"/>
          <w:b w:val="0"/>
          <w:bCs/>
          <w:sz w:val="32"/>
          <w:szCs w:val="32"/>
        </w:rPr>
      </w:pPr>
      <w:r>
        <w:rPr>
          <w:rStyle w:val="10"/>
          <w:rFonts w:ascii="方正楷体_GBK" w:hAnsi="方正楷体_GBK" w:eastAsia="方正楷体_GBK" w:cs="方正楷体_GBK"/>
          <w:b w:val="0"/>
          <w:bCs/>
          <w:sz w:val="32"/>
          <w:szCs w:val="32"/>
        </w:rPr>
        <w:t>（二）绩效自评结果</w:t>
      </w:r>
    </w:p>
    <w:p>
      <w:pPr>
        <w:pStyle w:val="7"/>
        <w:widowControl/>
        <w:spacing w:before="0" w:beforeAutospacing="0" w:after="0" w:afterAutospacing="0" w:line="600" w:lineRule="exact"/>
        <w:ind w:firstLine="640" w:firstLineChars="200"/>
        <w:rPr>
          <w:rFonts w:hint="eastAsia" w:ascii="Times New Roman" w:hAnsi="Times New Roman" w:eastAsia="方正仿宋_GBK"/>
          <w:kern w:val="2"/>
          <w:sz w:val="32"/>
          <w:szCs w:val="32"/>
        </w:rPr>
      </w:pPr>
      <w:r>
        <w:rPr>
          <w:rFonts w:ascii="Times New Roman" w:hAnsi="Times New Roman" w:eastAsia="方正仿宋_GBK"/>
          <w:kern w:val="2"/>
          <w:sz w:val="32"/>
          <w:szCs w:val="32"/>
        </w:rPr>
        <w:t>1.绩效目标自评表。</w:t>
      </w:r>
    </w:p>
    <w:p>
      <w:pPr>
        <w:pStyle w:val="7"/>
        <w:widowControl/>
        <w:spacing w:before="0" w:beforeAutospacing="0" w:after="0" w:afterAutospacing="0" w:line="600" w:lineRule="exact"/>
        <w:ind w:firstLine="640" w:firstLineChars="200"/>
        <w:rPr>
          <w:rFonts w:ascii="Times New Roman" w:hAnsi="Times New Roman" w:eastAsia="方正仿宋_GBK"/>
          <w:kern w:val="2"/>
          <w:sz w:val="32"/>
          <w:szCs w:val="32"/>
        </w:rPr>
      </w:pPr>
    </w:p>
    <w:tbl>
      <w:tblPr>
        <w:tblStyle w:val="8"/>
        <w:tblW w:w="5000" w:type="pct"/>
        <w:jc w:val="center"/>
        <w:tblLayout w:type="autofit"/>
        <w:tblCellMar>
          <w:top w:w="0" w:type="dxa"/>
          <w:left w:w="108" w:type="dxa"/>
          <w:bottom w:w="0" w:type="dxa"/>
          <w:right w:w="108" w:type="dxa"/>
        </w:tblCellMar>
      </w:tblPr>
      <w:tblGrid>
        <w:gridCol w:w="1606"/>
        <w:gridCol w:w="562"/>
        <w:gridCol w:w="47"/>
        <w:gridCol w:w="489"/>
        <w:gridCol w:w="89"/>
        <w:gridCol w:w="631"/>
        <w:gridCol w:w="225"/>
        <w:gridCol w:w="748"/>
        <w:gridCol w:w="172"/>
        <w:gridCol w:w="777"/>
        <w:gridCol w:w="116"/>
        <w:gridCol w:w="502"/>
        <w:gridCol w:w="158"/>
        <w:gridCol w:w="364"/>
        <w:gridCol w:w="185"/>
        <w:gridCol w:w="323"/>
        <w:gridCol w:w="245"/>
        <w:gridCol w:w="294"/>
        <w:gridCol w:w="335"/>
        <w:gridCol w:w="281"/>
        <w:gridCol w:w="359"/>
        <w:gridCol w:w="181"/>
        <w:gridCol w:w="372"/>
      </w:tblGrid>
      <w:tr>
        <w:tblPrEx>
          <w:tblCellMar>
            <w:top w:w="0" w:type="dxa"/>
            <w:left w:w="108" w:type="dxa"/>
            <w:bottom w:w="0" w:type="dxa"/>
            <w:right w:w="108" w:type="dxa"/>
          </w:tblCellMar>
        </w:tblPrEx>
        <w:trPr>
          <w:trHeight w:val="799" w:hRule="atLeast"/>
          <w:jc w:val="center"/>
        </w:trPr>
        <w:tc>
          <w:tcPr>
            <w:tcW w:w="5000" w:type="pct"/>
            <w:gridSpan w:val="23"/>
            <w:tcBorders>
              <w:top w:val="nil"/>
              <w:left w:val="nil"/>
              <w:bottom w:val="nil"/>
              <w:right w:val="nil"/>
            </w:tcBorders>
            <w:noWrap/>
            <w:vAlign w:val="center"/>
          </w:tcPr>
          <w:p>
            <w:pPr>
              <w:widowControl/>
              <w:jc w:val="center"/>
              <w:rPr>
                <w:rFonts w:ascii="微软雅黑" w:hAnsi="微软雅黑" w:eastAsia="微软雅黑" w:cs="宋体"/>
                <w:b/>
                <w:bCs/>
                <w:color w:val="000000"/>
                <w:kern w:val="0"/>
                <w:sz w:val="40"/>
                <w:szCs w:val="40"/>
              </w:rPr>
            </w:pPr>
            <w:r>
              <w:rPr>
                <w:rFonts w:hint="eastAsia" w:ascii="微软雅黑" w:hAnsi="微软雅黑" w:eastAsia="微软雅黑" w:cs="宋体"/>
                <w:b/>
                <w:bCs/>
                <w:color w:val="000000"/>
                <w:kern w:val="0"/>
                <w:sz w:val="40"/>
                <w:szCs w:val="40"/>
              </w:rPr>
              <w:t>2022年度部门整体绩效自评表</w:t>
            </w:r>
          </w:p>
        </w:tc>
      </w:tr>
      <w:tr>
        <w:tblPrEx>
          <w:tblCellMar>
            <w:top w:w="0" w:type="dxa"/>
            <w:left w:w="108" w:type="dxa"/>
            <w:bottom w:w="0" w:type="dxa"/>
            <w:right w:w="108" w:type="dxa"/>
          </w:tblCellMar>
        </w:tblPrEx>
        <w:trPr>
          <w:trHeight w:val="345" w:hRule="atLeast"/>
          <w:jc w:val="center"/>
        </w:trPr>
        <w:tc>
          <w:tcPr>
            <w:tcW w:w="5000" w:type="pct"/>
            <w:gridSpan w:val="23"/>
            <w:tcBorders>
              <w:top w:val="nil"/>
              <w:left w:val="nil"/>
              <w:bottom w:val="nil"/>
              <w:right w:val="nil"/>
            </w:tcBorders>
            <w:noWrap/>
            <w:vAlign w:val="center"/>
          </w:tcPr>
          <w:p>
            <w:pPr>
              <w:widowControl/>
              <w:ind w:firstLine="221" w:firstLineChars="100"/>
              <w:jc w:val="right"/>
              <w:rPr>
                <w:rFonts w:ascii="宋体" w:hAnsi="宋体" w:cs="宋体"/>
                <w:b/>
                <w:bCs/>
                <w:kern w:val="0"/>
                <w:sz w:val="22"/>
                <w:szCs w:val="22"/>
              </w:rPr>
            </w:pPr>
            <w:r>
              <w:rPr>
                <w:rFonts w:hint="eastAsia" w:ascii="宋体" w:hAnsi="宋体" w:cs="宋体"/>
                <w:b/>
                <w:bCs/>
                <w:kern w:val="0"/>
                <w:sz w:val="22"/>
                <w:szCs w:val="22"/>
              </w:rPr>
              <w:t>单位：元</w:t>
            </w:r>
          </w:p>
        </w:tc>
      </w:tr>
      <w:tr>
        <w:tblPrEx>
          <w:tblCellMar>
            <w:top w:w="0" w:type="dxa"/>
            <w:left w:w="108" w:type="dxa"/>
            <w:bottom w:w="0" w:type="dxa"/>
            <w:right w:w="108" w:type="dxa"/>
          </w:tblCellMar>
        </w:tblPrEx>
        <w:trPr>
          <w:trHeight w:val="915" w:hRule="atLeast"/>
          <w:jc w:val="center"/>
        </w:trPr>
        <w:tc>
          <w:tcPr>
            <w:tcW w:w="887" w:type="pct"/>
            <w:tcBorders>
              <w:top w:val="single" w:color="auto" w:sz="4" w:space="0"/>
              <w:left w:val="single" w:color="auto" w:sz="4" w:space="0"/>
              <w:bottom w:val="single" w:color="auto" w:sz="4" w:space="0"/>
              <w:right w:val="single" w:color="auto" w:sz="4" w:space="0"/>
            </w:tcBorders>
            <w:noWrap/>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654" w:type="pct"/>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重庆市渝北区人民政府龙塔街道办事处整体自评</w:t>
            </w:r>
          </w:p>
        </w:tc>
        <w:tc>
          <w:tcPr>
            <w:tcW w:w="472" w:type="pct"/>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001" w:type="pct"/>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50011200022P000079</w:t>
            </w:r>
          </w:p>
        </w:tc>
        <w:tc>
          <w:tcPr>
            <w:tcW w:w="364" w:type="pct"/>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616" w:type="pct"/>
            <w:gridSpan w:val="4"/>
            <w:tcBorders>
              <w:top w:val="single" w:color="auto" w:sz="4" w:space="0"/>
              <w:left w:val="nil"/>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98.80</w:t>
            </w:r>
          </w:p>
        </w:tc>
        <w:tc>
          <w:tcPr>
            <w:tcW w:w="347" w:type="pct"/>
            <w:gridSpan w:val="2"/>
            <w:tcBorders>
              <w:top w:val="single" w:color="auto" w:sz="4" w:space="0"/>
              <w:left w:val="nil"/>
              <w:bottom w:val="single" w:color="auto" w:sz="4" w:space="0"/>
              <w:right w:val="single" w:color="auto" w:sz="4" w:space="0"/>
            </w:tcBorders>
            <w:noWrap/>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59" w:type="pct"/>
            <w:gridSpan w:val="4"/>
            <w:tcBorders>
              <w:top w:val="single" w:color="auto" w:sz="4" w:space="0"/>
              <w:left w:val="nil"/>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915" w:hRule="atLeast"/>
          <w:jc w:val="center"/>
        </w:trPr>
        <w:tc>
          <w:tcPr>
            <w:tcW w:w="887"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654" w:type="pct"/>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907-重庆市渝北区人民政府龙塔街道办事处</w:t>
            </w:r>
          </w:p>
        </w:tc>
        <w:tc>
          <w:tcPr>
            <w:tcW w:w="472" w:type="pct"/>
            <w:gridSpan w:val="2"/>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001" w:type="pct"/>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002-预算科</w:t>
            </w:r>
          </w:p>
        </w:tc>
        <w:tc>
          <w:tcPr>
            <w:tcW w:w="364" w:type="pct"/>
            <w:gridSpan w:val="2"/>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616" w:type="pct"/>
            <w:gridSpan w:val="4"/>
            <w:tcBorders>
              <w:top w:val="single" w:color="auto" w:sz="4" w:space="0"/>
              <w:left w:val="nil"/>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何晓彦</w:t>
            </w:r>
          </w:p>
        </w:tc>
        <w:tc>
          <w:tcPr>
            <w:tcW w:w="347" w:type="pct"/>
            <w:gridSpan w:val="2"/>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659" w:type="pct"/>
            <w:gridSpan w:val="4"/>
            <w:tcBorders>
              <w:top w:val="single" w:color="auto" w:sz="4" w:space="0"/>
              <w:left w:val="nil"/>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86812425</w:t>
            </w:r>
          </w:p>
        </w:tc>
      </w:tr>
      <w:tr>
        <w:tblPrEx>
          <w:tblCellMar>
            <w:top w:w="0" w:type="dxa"/>
            <w:left w:w="108" w:type="dxa"/>
            <w:bottom w:w="0" w:type="dxa"/>
            <w:right w:w="108" w:type="dxa"/>
          </w:tblCellMar>
        </w:tblPrEx>
        <w:trPr>
          <w:trHeight w:val="300" w:hRule="atLeast"/>
          <w:jc w:val="center"/>
        </w:trPr>
        <w:tc>
          <w:tcPr>
            <w:tcW w:w="5000" w:type="pct"/>
            <w:gridSpan w:val="2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b/>
                <w:bCs/>
                <w:color w:val="7F7F7F"/>
                <w:kern w:val="0"/>
                <w:sz w:val="16"/>
                <w:szCs w:val="16"/>
              </w:rPr>
            </w:pPr>
            <w:r>
              <w:rPr>
                <w:rFonts w:hint="eastAsia" w:ascii="微软雅黑" w:hAnsi="微软雅黑" w:eastAsia="微软雅黑" w:cs="宋体"/>
                <w:b/>
                <w:bCs/>
                <w:color w:val="7F7F7F"/>
                <w:kern w:val="0"/>
                <w:sz w:val="16"/>
                <w:szCs w:val="16"/>
              </w:rPr>
              <w:t>资金情况</w:t>
            </w:r>
          </w:p>
        </w:tc>
      </w:tr>
      <w:tr>
        <w:tblPrEx>
          <w:tblCellMar>
            <w:top w:w="0" w:type="dxa"/>
            <w:left w:w="108" w:type="dxa"/>
            <w:bottom w:w="0" w:type="dxa"/>
            <w:right w:w="108" w:type="dxa"/>
          </w:tblCellMar>
        </w:tblPrEx>
        <w:trPr>
          <w:trHeight w:val="705" w:hRule="atLeast"/>
          <w:jc w:val="center"/>
        </w:trPr>
        <w:tc>
          <w:tcPr>
            <w:tcW w:w="1223" w:type="pct"/>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790" w:type="pct"/>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001" w:type="pct"/>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全年（调整）预算数</w:t>
            </w:r>
          </w:p>
        </w:tc>
        <w:tc>
          <w:tcPr>
            <w:tcW w:w="667" w:type="pct"/>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660" w:type="pct"/>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353" w:type="pct"/>
            <w:gridSpan w:val="2"/>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执行率权重</w:t>
            </w:r>
          </w:p>
        </w:tc>
        <w:tc>
          <w:tcPr>
            <w:tcW w:w="307" w:type="pct"/>
            <w:gridSpan w:val="2"/>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执行率得分</w:t>
            </w:r>
          </w:p>
        </w:tc>
      </w:tr>
      <w:tr>
        <w:tblPrEx>
          <w:tblCellMar>
            <w:top w:w="0" w:type="dxa"/>
            <w:left w:w="108" w:type="dxa"/>
            <w:bottom w:w="0" w:type="dxa"/>
            <w:right w:w="108" w:type="dxa"/>
          </w:tblCellMar>
        </w:tblPrEx>
        <w:trPr>
          <w:trHeight w:val="499" w:hRule="atLeast"/>
          <w:jc w:val="center"/>
        </w:trPr>
        <w:tc>
          <w:tcPr>
            <w:tcW w:w="1223" w:type="pct"/>
            <w:gridSpan w:val="3"/>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790"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70425966.94 </w:t>
            </w:r>
          </w:p>
        </w:tc>
        <w:tc>
          <w:tcPr>
            <w:tcW w:w="1001"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89076882.17 </w:t>
            </w:r>
          </w:p>
        </w:tc>
        <w:tc>
          <w:tcPr>
            <w:tcW w:w="667"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78831821.68 </w:t>
            </w:r>
          </w:p>
        </w:tc>
        <w:tc>
          <w:tcPr>
            <w:tcW w:w="660"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307" w:type="pct"/>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99" w:hRule="atLeast"/>
          <w:jc w:val="center"/>
        </w:trPr>
        <w:tc>
          <w:tcPr>
            <w:tcW w:w="1223" w:type="pct"/>
            <w:gridSpan w:val="3"/>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790"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70425966.94 </w:t>
            </w:r>
          </w:p>
        </w:tc>
        <w:tc>
          <w:tcPr>
            <w:tcW w:w="1001"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89076882.17 </w:t>
            </w:r>
          </w:p>
        </w:tc>
        <w:tc>
          <w:tcPr>
            <w:tcW w:w="667"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78831821.68 </w:t>
            </w:r>
          </w:p>
        </w:tc>
        <w:tc>
          <w:tcPr>
            <w:tcW w:w="660" w:type="pct"/>
            <w:gridSpan w:val="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88.00 </w:t>
            </w:r>
          </w:p>
        </w:tc>
        <w:tc>
          <w:tcPr>
            <w:tcW w:w="353" w:type="pct"/>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10.00</w:t>
            </w:r>
          </w:p>
        </w:tc>
        <w:tc>
          <w:tcPr>
            <w:tcW w:w="307" w:type="pct"/>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8.80 </w:t>
            </w:r>
          </w:p>
        </w:tc>
      </w:tr>
      <w:tr>
        <w:tblPrEx>
          <w:tblCellMar>
            <w:top w:w="0" w:type="dxa"/>
            <w:left w:w="108" w:type="dxa"/>
            <w:bottom w:w="0" w:type="dxa"/>
            <w:right w:w="108" w:type="dxa"/>
          </w:tblCellMar>
        </w:tblPrEx>
        <w:trPr>
          <w:trHeight w:val="300" w:hRule="atLeast"/>
          <w:jc w:val="center"/>
        </w:trPr>
        <w:tc>
          <w:tcPr>
            <w:tcW w:w="5000" w:type="pct"/>
            <w:gridSpan w:val="2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b/>
                <w:bCs/>
                <w:color w:val="7F7F7F"/>
                <w:kern w:val="0"/>
                <w:sz w:val="16"/>
                <w:szCs w:val="16"/>
              </w:rPr>
            </w:pPr>
            <w:r>
              <w:rPr>
                <w:rFonts w:hint="eastAsia" w:ascii="微软雅黑" w:hAnsi="微软雅黑" w:eastAsia="微软雅黑" w:cs="宋体"/>
                <w:b/>
                <w:bCs/>
                <w:color w:val="7F7F7F"/>
                <w:kern w:val="0"/>
                <w:sz w:val="16"/>
                <w:szCs w:val="16"/>
              </w:rPr>
              <w:t>绩效目标</w:t>
            </w:r>
          </w:p>
        </w:tc>
      </w:tr>
      <w:tr>
        <w:tblPrEx>
          <w:tblCellMar>
            <w:top w:w="0" w:type="dxa"/>
            <w:left w:w="108" w:type="dxa"/>
            <w:bottom w:w="0" w:type="dxa"/>
            <w:right w:w="108" w:type="dxa"/>
          </w:tblCellMar>
        </w:tblPrEx>
        <w:trPr>
          <w:trHeight w:val="499" w:hRule="atLeast"/>
          <w:jc w:val="center"/>
        </w:trPr>
        <w:tc>
          <w:tcPr>
            <w:tcW w:w="2013" w:type="pct"/>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1668"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1319"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rPr>
          <w:trHeight w:val="6090" w:hRule="atLeast"/>
          <w:jc w:val="center"/>
        </w:trPr>
        <w:tc>
          <w:tcPr>
            <w:tcW w:w="2013" w:type="pct"/>
            <w:gridSpan w:val="7"/>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一、开展老旧建筑消防安全整治、安全生产与自然灾害演练、各类安全生产教育活动，加强应急物资和执法装备建设；二、加强城市日常管理考核，持续开展生活垃圾分类工作，做好生态环境保护工作；三、做好干部选拔任用工作及人事人才机构编制工作；四、扎实做好疫情防控工作，推进常态化防控机制有效运转；完成阵地建设，提高社会工作专业知识和实务能力；确保困难群众资金及时发放，提高群众满意度；五、做好乡村振兴、企业服务、营商环境，商圈建设等工作，推进经济运行稳中有进；六、做好党风廉政宣传教育，细化党风廉政进网格，抓好办信办案工作；七、扎实推进双拥工作，保障优抚各项资金足额发放，有效推进基层退役军人服务工作持续健康发展；八、加快公共法律服务体系建设；九、完成居民合作医疗参保任务，推进群众就业创业相关工作；十、保障街道财政财务支出顺畅运转；按区级要求做好预决算公开工作；十一、着重强化矛盾调解，尽量杜绝大规模集访和京访；十二、维护辖区物业企业和业委会和谐稳定；十三、大力开展文体活动，保障文化中心综合楼健康有序运行。</w:t>
            </w:r>
          </w:p>
        </w:tc>
        <w:tc>
          <w:tcPr>
            <w:tcW w:w="1668" w:type="pct"/>
            <w:gridSpan w:val="8"/>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一、开展老旧建筑消防安全整治、安全生产与自然灾害演练、各类安全生产教育活动，加强应急物资和执法装备建设；二、加强城市日常管理考核，持续开展生活垃圾分类工作，做好生态环境保护工作；三、做好干部选拔任用工作及人事人才机构编制工作；四、扎实做好疫情防控工作，推进常态化防控机制有效运转；完成阵地建设，提高社会工作专业知识和实务能力，；确保困难群众资金及时发放，提高群众满意度。五、做好乡村振兴、企业服务、营商环境，商圈建设等工作，推进经济运行稳中有进；六、做好党风廉政宣传教育，细化党风廉政进网格，抓好办信办案工作；七、扎实推进双拥工作，保障优抚各项资金足额发放，有效推进基层退役军人服务工作持续健康发展；八、加快公共法律服务体系建设；九、完成居民合作医疗参保任务，推进群众就业创业相关工作；十、保障街道财政财务支出顺畅运转；按区级要求做好预决算公开工作；十一、着重强化矛盾调解，尽量杜绝大规模集访和京访；十二、维护辖区物业企业和业委会和谐稳定；十三、大力开展文体活动，保障文化中心综合楼健康有序运行。</w:t>
            </w:r>
          </w:p>
        </w:tc>
        <w:tc>
          <w:tcPr>
            <w:tcW w:w="1319" w:type="pct"/>
            <w:gridSpan w:val="8"/>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圆满完成全年目标任务</w:t>
            </w:r>
          </w:p>
        </w:tc>
      </w:tr>
      <w:tr>
        <w:tblPrEx>
          <w:tblCellMar>
            <w:top w:w="0" w:type="dxa"/>
            <w:left w:w="108" w:type="dxa"/>
            <w:bottom w:w="0" w:type="dxa"/>
            <w:right w:w="108" w:type="dxa"/>
          </w:tblCellMar>
        </w:tblPrEx>
        <w:trPr>
          <w:trHeight w:val="300" w:hRule="atLeast"/>
          <w:jc w:val="center"/>
        </w:trPr>
        <w:tc>
          <w:tcPr>
            <w:tcW w:w="5000" w:type="pct"/>
            <w:gridSpan w:val="2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b/>
                <w:bCs/>
                <w:color w:val="7F7F7F"/>
                <w:kern w:val="0"/>
                <w:sz w:val="16"/>
                <w:szCs w:val="16"/>
              </w:rPr>
            </w:pPr>
            <w:r>
              <w:rPr>
                <w:rFonts w:hint="eastAsia" w:ascii="微软雅黑" w:hAnsi="微软雅黑" w:eastAsia="微软雅黑" w:cs="宋体"/>
                <w:b/>
                <w:bCs/>
                <w:color w:val="7F7F7F"/>
                <w:kern w:val="0"/>
                <w:sz w:val="16"/>
                <w:szCs w:val="16"/>
              </w:rPr>
              <w:t>绩效指标</w:t>
            </w:r>
          </w:p>
        </w:tc>
      </w:tr>
      <w:tr>
        <w:tblPrEx>
          <w:tblCellMar>
            <w:top w:w="0" w:type="dxa"/>
            <w:left w:w="108" w:type="dxa"/>
            <w:bottom w:w="0" w:type="dxa"/>
            <w:right w:w="108" w:type="dxa"/>
          </w:tblCellMar>
        </w:tblPrEx>
        <w:trPr>
          <w:trHeight w:val="93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指标名称</w:t>
            </w:r>
          </w:p>
        </w:tc>
        <w:tc>
          <w:tcPr>
            <w:tcW w:w="336"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计量单位</w:t>
            </w:r>
          </w:p>
        </w:tc>
        <w:tc>
          <w:tcPr>
            <w:tcW w:w="31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指标性质</w:t>
            </w:r>
          </w:p>
        </w:tc>
        <w:tc>
          <w:tcPr>
            <w:tcW w:w="472"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指标值</w:t>
            </w:r>
          </w:p>
        </w:tc>
        <w:tc>
          <w:tcPr>
            <w:tcW w:w="50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全年完成值</w:t>
            </w:r>
          </w:p>
        </w:tc>
        <w:tc>
          <w:tcPr>
            <w:tcW w:w="493"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偏离度（%）</w:t>
            </w:r>
          </w:p>
        </w:tc>
        <w:tc>
          <w:tcPr>
            <w:tcW w:w="36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得分系数（%）</w:t>
            </w:r>
          </w:p>
        </w:tc>
        <w:tc>
          <w:tcPr>
            <w:tcW w:w="303"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指标权重</w:t>
            </w:r>
          </w:p>
        </w:tc>
        <w:tc>
          <w:tcPr>
            <w:tcW w:w="313"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指标得分</w:t>
            </w:r>
          </w:p>
        </w:tc>
        <w:tc>
          <w:tcPr>
            <w:tcW w:w="34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是否核心指标</w:t>
            </w:r>
          </w:p>
        </w:tc>
        <w:tc>
          <w:tcPr>
            <w:tcW w:w="353"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说明</w:t>
            </w:r>
          </w:p>
        </w:tc>
        <w:tc>
          <w:tcPr>
            <w:tcW w:w="30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区财政局建议</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开展至少一场社会就业招聘会</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国防宣传教育及征兵工作宣传率</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干部选拔公平公正</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及时协调化解物业矛盾纠纷</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科学精准从严从紧做好疫情防控</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确保本级预算收支平衡</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维稳处置及信访事项办理率</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困难群众救助保障及时、足额发放</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预决算公开及时准确</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经济平稳发展</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安全管理效率</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有所增加</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市容环境整治效果</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提高居民法律意识</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lang w:eastAsia="zh-CN"/>
              </w:rPr>
              <w:t>拥军优属</w:t>
            </w:r>
            <w:r>
              <w:rPr>
                <w:rFonts w:hint="eastAsia" w:ascii="宋体" w:hAnsi="宋体" w:cs="宋体"/>
                <w:color w:val="000000"/>
                <w:kern w:val="0"/>
                <w:sz w:val="16"/>
                <w:szCs w:val="16"/>
              </w:rPr>
              <w:t>氛围营造</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生态环境质量</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有效改善</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提升辖区参与文体活动群众的幸福感</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35"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说明：</w:t>
            </w:r>
          </w:p>
        </w:tc>
        <w:tc>
          <w:tcPr>
            <w:tcW w:w="336"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18"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472"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508"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493"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364"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303"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313"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347"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53"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07"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600" w:hRule="atLeast"/>
          <w:jc w:val="center"/>
        </w:trPr>
        <w:tc>
          <w:tcPr>
            <w:tcW w:w="4794" w:type="pct"/>
            <w:gridSpan w:val="22"/>
            <w:tcBorders>
              <w:top w:val="nil"/>
              <w:left w:val="nil"/>
              <w:bottom w:val="nil"/>
              <w:right w:val="nil"/>
            </w:tcBorders>
            <w:noWrap/>
            <w:vAlign w:val="center"/>
          </w:tcPr>
          <w:p>
            <w:pPr>
              <w:widowControl/>
              <w:jc w:val="center"/>
              <w:rPr>
                <w:rFonts w:hint="eastAsia" w:ascii="微软雅黑" w:hAnsi="微软雅黑" w:eastAsia="微软雅黑" w:cs="宋体"/>
                <w:b/>
                <w:bCs/>
                <w:color w:val="000000"/>
                <w:kern w:val="0"/>
                <w:sz w:val="40"/>
                <w:szCs w:val="40"/>
              </w:rPr>
            </w:pPr>
          </w:p>
          <w:p>
            <w:pPr>
              <w:widowControl/>
              <w:jc w:val="center"/>
              <w:rPr>
                <w:rFonts w:hint="eastAsia" w:ascii="微软雅黑" w:hAnsi="微软雅黑" w:eastAsia="微软雅黑" w:cs="宋体"/>
                <w:b/>
                <w:bCs/>
                <w:color w:val="000000"/>
                <w:kern w:val="0"/>
                <w:sz w:val="40"/>
                <w:szCs w:val="40"/>
              </w:rPr>
            </w:pPr>
          </w:p>
          <w:p>
            <w:pPr>
              <w:widowControl/>
              <w:jc w:val="center"/>
              <w:rPr>
                <w:rFonts w:hint="eastAsia" w:ascii="微软雅黑" w:hAnsi="微软雅黑" w:eastAsia="微软雅黑" w:cs="宋体"/>
                <w:b/>
                <w:bCs/>
                <w:color w:val="000000"/>
                <w:kern w:val="0"/>
                <w:sz w:val="40"/>
                <w:szCs w:val="40"/>
              </w:rPr>
            </w:pPr>
          </w:p>
          <w:p>
            <w:pPr>
              <w:widowControl/>
              <w:jc w:val="center"/>
              <w:rPr>
                <w:rFonts w:ascii="微软雅黑" w:hAnsi="微软雅黑" w:eastAsia="微软雅黑" w:cs="宋体"/>
                <w:b/>
                <w:bCs/>
                <w:color w:val="000000"/>
                <w:kern w:val="0"/>
                <w:sz w:val="40"/>
                <w:szCs w:val="40"/>
              </w:rPr>
            </w:pPr>
            <w:r>
              <w:rPr>
                <w:rFonts w:hint="eastAsia" w:ascii="微软雅黑" w:hAnsi="微软雅黑" w:eastAsia="微软雅黑" w:cs="宋体"/>
                <w:b/>
                <w:bCs/>
                <w:color w:val="000000"/>
                <w:kern w:val="0"/>
                <w:sz w:val="40"/>
                <w:szCs w:val="40"/>
              </w:rPr>
              <w:t>2022年度项目绩效自评表</w:t>
            </w:r>
          </w:p>
        </w:tc>
      </w:tr>
      <w:tr>
        <w:tblPrEx>
          <w:tblCellMar>
            <w:top w:w="0" w:type="dxa"/>
            <w:left w:w="108" w:type="dxa"/>
            <w:bottom w:w="0" w:type="dxa"/>
            <w:right w:w="108" w:type="dxa"/>
          </w:tblCellMar>
        </w:tblPrEx>
        <w:trPr>
          <w:gridAfter w:val="1"/>
          <w:wAfter w:w="206" w:type="pct"/>
          <w:trHeight w:val="199" w:hRule="atLeast"/>
          <w:jc w:val="center"/>
        </w:trPr>
        <w:tc>
          <w:tcPr>
            <w:tcW w:w="4794" w:type="pct"/>
            <w:gridSpan w:val="22"/>
            <w:tcBorders>
              <w:top w:val="nil"/>
              <w:left w:val="nil"/>
              <w:bottom w:val="single" w:color="auto" w:sz="4" w:space="0"/>
              <w:right w:val="nil"/>
            </w:tcBorders>
            <w:noWrap/>
            <w:vAlign w:val="center"/>
          </w:tcPr>
          <w:p>
            <w:pPr>
              <w:widowControl/>
              <w:ind w:firstLine="161" w:firstLineChars="100"/>
              <w:jc w:val="right"/>
              <w:rPr>
                <w:rFonts w:ascii="宋体" w:hAnsi="宋体" w:cs="宋体"/>
                <w:b/>
                <w:bCs/>
                <w:kern w:val="0"/>
                <w:sz w:val="16"/>
                <w:szCs w:val="16"/>
              </w:rPr>
            </w:pPr>
            <w:r>
              <w:rPr>
                <w:rFonts w:hint="eastAsia" w:ascii="宋体" w:hAnsi="宋体" w:cs="宋体"/>
                <w:b/>
                <w:bCs/>
                <w:kern w:val="0"/>
                <w:sz w:val="16"/>
                <w:szCs w:val="16"/>
              </w:rPr>
              <w:t>单位：元</w:t>
            </w:r>
          </w:p>
        </w:tc>
      </w:tr>
      <w:tr>
        <w:tblPrEx>
          <w:tblCellMar>
            <w:top w:w="0" w:type="dxa"/>
            <w:left w:w="108" w:type="dxa"/>
            <w:bottom w:w="0" w:type="dxa"/>
            <w:right w:w="108" w:type="dxa"/>
          </w:tblCellMar>
        </w:tblPrEx>
        <w:trPr>
          <w:gridAfter w:val="1"/>
          <w:wAfter w:w="206" w:type="pct"/>
          <w:trHeight w:val="90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60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财务软件运维费</w:t>
            </w:r>
          </w:p>
        </w:tc>
        <w:tc>
          <w:tcPr>
            <w:tcW w:w="397"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061"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50011222T000000071567</w:t>
            </w:r>
          </w:p>
        </w:tc>
        <w:tc>
          <w:tcPr>
            <w:tcW w:w="341"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568"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97.40</w:t>
            </w:r>
          </w:p>
        </w:tc>
        <w:tc>
          <w:tcPr>
            <w:tcW w:w="297"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638"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90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605" w:type="pct"/>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907-重庆市渝北区人民政府龙塔街道办事处</w:t>
            </w:r>
          </w:p>
        </w:tc>
        <w:tc>
          <w:tcPr>
            <w:tcW w:w="397"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061"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002-预算科</w:t>
            </w:r>
          </w:p>
        </w:tc>
        <w:tc>
          <w:tcPr>
            <w:tcW w:w="341"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568"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何晓彦</w:t>
            </w:r>
          </w:p>
        </w:tc>
        <w:tc>
          <w:tcPr>
            <w:tcW w:w="297"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联系电话：</w:t>
            </w:r>
          </w:p>
        </w:tc>
        <w:tc>
          <w:tcPr>
            <w:tcW w:w="638" w:type="pct"/>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86812425</w:t>
            </w:r>
          </w:p>
        </w:tc>
      </w:tr>
      <w:tr>
        <w:tblPrEx>
          <w:tblCellMar>
            <w:top w:w="0" w:type="dxa"/>
            <w:left w:w="108" w:type="dxa"/>
            <w:bottom w:w="0" w:type="dxa"/>
            <w:right w:w="108" w:type="dxa"/>
          </w:tblCellMar>
        </w:tblPrEx>
        <w:trPr>
          <w:gridAfter w:val="1"/>
          <w:wAfter w:w="206" w:type="pct"/>
          <w:trHeight w:val="402" w:hRule="atLeast"/>
          <w:jc w:val="center"/>
        </w:trPr>
        <w:tc>
          <w:tcPr>
            <w:tcW w:w="4794" w:type="pct"/>
            <w:gridSpan w:val="2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7F7F7F"/>
                <w:kern w:val="0"/>
                <w:sz w:val="16"/>
                <w:szCs w:val="16"/>
              </w:rPr>
            </w:pPr>
            <w:r>
              <w:rPr>
                <w:rFonts w:hint="eastAsia" w:ascii="宋体" w:hAnsi="宋体" w:cs="宋体"/>
                <w:b/>
                <w:bCs/>
                <w:color w:val="7F7F7F"/>
                <w:kern w:val="0"/>
                <w:sz w:val="16"/>
                <w:szCs w:val="16"/>
              </w:rPr>
              <w:t>资金情况</w:t>
            </w:r>
          </w:p>
        </w:tc>
      </w:tr>
      <w:tr>
        <w:tblPrEx>
          <w:tblCellMar>
            <w:top w:w="0" w:type="dxa"/>
            <w:left w:w="108" w:type="dxa"/>
            <w:bottom w:w="0" w:type="dxa"/>
            <w:right w:w="108" w:type="dxa"/>
          </w:tblCellMar>
        </w:tblPrEx>
        <w:trPr>
          <w:gridAfter w:val="1"/>
          <w:wAfter w:w="206" w:type="pct"/>
          <w:trHeight w:val="499" w:hRule="atLeast"/>
          <w:jc w:val="center"/>
        </w:trPr>
        <w:tc>
          <w:tcPr>
            <w:tcW w:w="119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93"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061"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全年（调整）预算数</w:t>
            </w:r>
          </w:p>
        </w:tc>
        <w:tc>
          <w:tcPr>
            <w:tcW w:w="629"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577"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34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执行率权重</w:t>
            </w:r>
          </w:p>
        </w:tc>
        <w:tc>
          <w:tcPr>
            <w:tcW w:w="29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执行率得分</w:t>
            </w:r>
          </w:p>
        </w:tc>
      </w:tr>
      <w:tr>
        <w:tblPrEx>
          <w:tblCellMar>
            <w:top w:w="0" w:type="dxa"/>
            <w:left w:w="108" w:type="dxa"/>
            <w:bottom w:w="0" w:type="dxa"/>
            <w:right w:w="108" w:type="dxa"/>
          </w:tblCellMar>
        </w:tblPrEx>
        <w:trPr>
          <w:gridAfter w:val="1"/>
          <w:wAfter w:w="206" w:type="pct"/>
          <w:trHeight w:val="499" w:hRule="atLeast"/>
          <w:jc w:val="center"/>
        </w:trPr>
        <w:tc>
          <w:tcPr>
            <w:tcW w:w="1196"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693"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30400.00 </w:t>
            </w:r>
          </w:p>
        </w:tc>
        <w:tc>
          <w:tcPr>
            <w:tcW w:w="1061"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30400.00 </w:t>
            </w:r>
          </w:p>
        </w:tc>
        <w:tc>
          <w:tcPr>
            <w:tcW w:w="6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22612.00 </w:t>
            </w:r>
          </w:p>
        </w:tc>
        <w:tc>
          <w:tcPr>
            <w:tcW w:w="577"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4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29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gridAfter w:val="1"/>
          <w:wAfter w:w="206" w:type="pct"/>
          <w:trHeight w:val="499" w:hRule="atLeast"/>
          <w:jc w:val="center"/>
        </w:trPr>
        <w:tc>
          <w:tcPr>
            <w:tcW w:w="1196" w:type="pct"/>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693"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30400.00 </w:t>
            </w:r>
          </w:p>
        </w:tc>
        <w:tc>
          <w:tcPr>
            <w:tcW w:w="1061"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30400.00 </w:t>
            </w:r>
          </w:p>
        </w:tc>
        <w:tc>
          <w:tcPr>
            <w:tcW w:w="629"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22612.00 </w:t>
            </w:r>
          </w:p>
        </w:tc>
        <w:tc>
          <w:tcPr>
            <w:tcW w:w="577" w:type="pct"/>
            <w:gridSpan w:val="4"/>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74.00 </w:t>
            </w:r>
          </w:p>
        </w:tc>
        <w:tc>
          <w:tcPr>
            <w:tcW w:w="34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10.00</w:t>
            </w:r>
          </w:p>
        </w:tc>
        <w:tc>
          <w:tcPr>
            <w:tcW w:w="29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7.40 </w:t>
            </w:r>
          </w:p>
        </w:tc>
      </w:tr>
      <w:tr>
        <w:tblPrEx>
          <w:tblCellMar>
            <w:top w:w="0" w:type="dxa"/>
            <w:left w:w="108" w:type="dxa"/>
            <w:bottom w:w="0" w:type="dxa"/>
            <w:right w:w="108" w:type="dxa"/>
          </w:tblCellMar>
        </w:tblPrEx>
        <w:trPr>
          <w:gridAfter w:val="1"/>
          <w:wAfter w:w="206" w:type="pct"/>
          <w:trHeight w:val="402" w:hRule="atLeast"/>
          <w:jc w:val="center"/>
        </w:trPr>
        <w:tc>
          <w:tcPr>
            <w:tcW w:w="4794" w:type="pct"/>
            <w:gridSpan w:val="2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7F7F7F"/>
                <w:kern w:val="0"/>
                <w:sz w:val="16"/>
                <w:szCs w:val="16"/>
              </w:rPr>
            </w:pPr>
            <w:r>
              <w:rPr>
                <w:rFonts w:hint="eastAsia" w:ascii="宋体" w:hAnsi="宋体" w:cs="宋体"/>
                <w:b/>
                <w:bCs/>
                <w:color w:val="7F7F7F"/>
                <w:kern w:val="0"/>
                <w:sz w:val="16"/>
                <w:szCs w:val="16"/>
              </w:rPr>
              <w:t>绩效目标</w:t>
            </w:r>
          </w:p>
        </w:tc>
      </w:tr>
      <w:tr>
        <w:tblPrEx>
          <w:tblCellMar>
            <w:top w:w="0" w:type="dxa"/>
            <w:left w:w="108" w:type="dxa"/>
            <w:bottom w:w="0" w:type="dxa"/>
            <w:right w:w="108" w:type="dxa"/>
          </w:tblCellMar>
        </w:tblPrEx>
        <w:trPr>
          <w:gridAfter w:val="1"/>
          <w:wAfter w:w="206" w:type="pct"/>
          <w:trHeight w:val="499" w:hRule="atLeast"/>
          <w:jc w:val="center"/>
        </w:trPr>
        <w:tc>
          <w:tcPr>
            <w:tcW w:w="1889" w:type="pct"/>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1690"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1215" w:type="pct"/>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CellMar>
            <w:top w:w="0" w:type="dxa"/>
            <w:left w:w="108" w:type="dxa"/>
            <w:bottom w:w="0" w:type="dxa"/>
            <w:right w:w="108" w:type="dxa"/>
          </w:tblCellMar>
        </w:tblPrEx>
        <w:trPr>
          <w:gridAfter w:val="1"/>
          <w:wAfter w:w="206" w:type="pct"/>
          <w:trHeight w:val="1602" w:hRule="atLeast"/>
          <w:jc w:val="center"/>
        </w:trPr>
        <w:tc>
          <w:tcPr>
            <w:tcW w:w="1889" w:type="pct"/>
            <w:gridSpan w:val="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13个社区财务软件，财政办3个财务软件的运行维护费，确保财务软件运行正常，能随时提供各类资金数据。</w:t>
            </w:r>
          </w:p>
        </w:tc>
        <w:tc>
          <w:tcPr>
            <w:tcW w:w="1690" w:type="pct"/>
            <w:gridSpan w:val="8"/>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15" w:type="pct"/>
            <w:gridSpan w:val="8"/>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全年软件正常运行，能保障财务及时查询提供各类数据。全年执行数与预算数有一定的偏差是因为2022年12月疫情影响，有一家财务软件运维费供货商未及时交发票报销。</w:t>
            </w:r>
          </w:p>
        </w:tc>
      </w:tr>
      <w:tr>
        <w:tblPrEx>
          <w:tblCellMar>
            <w:top w:w="0" w:type="dxa"/>
            <w:left w:w="108" w:type="dxa"/>
            <w:bottom w:w="0" w:type="dxa"/>
            <w:right w:w="108" w:type="dxa"/>
          </w:tblCellMar>
        </w:tblPrEx>
        <w:trPr>
          <w:gridAfter w:val="1"/>
          <w:wAfter w:w="206" w:type="pct"/>
          <w:trHeight w:val="402" w:hRule="atLeast"/>
          <w:jc w:val="center"/>
        </w:trPr>
        <w:tc>
          <w:tcPr>
            <w:tcW w:w="4794" w:type="pct"/>
            <w:gridSpan w:val="2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7F7F7F"/>
                <w:kern w:val="0"/>
                <w:sz w:val="16"/>
                <w:szCs w:val="16"/>
              </w:rPr>
            </w:pPr>
            <w:r>
              <w:rPr>
                <w:rFonts w:hint="eastAsia" w:ascii="宋体" w:hAnsi="宋体" w:cs="宋体"/>
                <w:b/>
                <w:bCs/>
                <w:color w:val="7F7F7F"/>
                <w:kern w:val="0"/>
                <w:sz w:val="16"/>
                <w:szCs w:val="16"/>
              </w:rPr>
              <w:t>绩效指标</w:t>
            </w:r>
          </w:p>
        </w:tc>
      </w:tr>
      <w:tr>
        <w:tblPrEx>
          <w:tblCellMar>
            <w:top w:w="0" w:type="dxa"/>
            <w:left w:w="108" w:type="dxa"/>
            <w:bottom w:w="0" w:type="dxa"/>
            <w:right w:w="108" w:type="dxa"/>
          </w:tblCellMar>
        </w:tblPrEx>
        <w:trPr>
          <w:gridAfter w:val="1"/>
          <w:wAfter w:w="206" w:type="pct"/>
          <w:trHeight w:val="90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指标名称</w:t>
            </w:r>
          </w:p>
        </w:tc>
        <w:tc>
          <w:tcPr>
            <w:tcW w:w="31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计量单位</w:t>
            </w:r>
          </w:p>
        </w:tc>
        <w:tc>
          <w:tcPr>
            <w:tcW w:w="29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指标性质</w:t>
            </w:r>
          </w:p>
        </w:tc>
        <w:tc>
          <w:tcPr>
            <w:tcW w:w="39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指标值</w:t>
            </w:r>
          </w:p>
        </w:tc>
        <w:tc>
          <w:tcPr>
            <w:tcW w:w="53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全年完成值</w:t>
            </w:r>
          </w:p>
        </w:tc>
        <w:tc>
          <w:tcPr>
            <w:tcW w:w="52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偏离度（%）</w:t>
            </w:r>
          </w:p>
        </w:tc>
        <w:tc>
          <w:tcPr>
            <w:tcW w:w="341"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得分系数（%）</w:t>
            </w:r>
          </w:p>
        </w:tc>
        <w:tc>
          <w:tcPr>
            <w:tcW w:w="28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指标权重</w:t>
            </w:r>
          </w:p>
        </w:tc>
        <w:tc>
          <w:tcPr>
            <w:tcW w:w="28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指标得分</w:t>
            </w:r>
          </w:p>
        </w:tc>
        <w:tc>
          <w:tcPr>
            <w:tcW w:w="29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是否核心指标</w:t>
            </w:r>
          </w:p>
        </w:tc>
        <w:tc>
          <w:tcPr>
            <w:tcW w:w="34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说明</w:t>
            </w:r>
          </w:p>
        </w:tc>
        <w:tc>
          <w:tcPr>
            <w:tcW w:w="29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区财政局建议</w:t>
            </w:r>
          </w:p>
        </w:tc>
      </w:tr>
      <w:tr>
        <w:tblPrEx>
          <w:tblCellMar>
            <w:top w:w="0" w:type="dxa"/>
            <w:left w:w="108" w:type="dxa"/>
            <w:bottom w:w="0" w:type="dxa"/>
            <w:right w:w="108" w:type="dxa"/>
          </w:tblCellMar>
        </w:tblPrEx>
        <w:trPr>
          <w:gridAfter w:val="1"/>
          <w:wAfter w:w="206" w:type="pct"/>
          <w:trHeight w:val="90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13个社区财务软件，3个财政办财务软件</w:t>
            </w:r>
          </w:p>
        </w:tc>
        <w:tc>
          <w:tcPr>
            <w:tcW w:w="31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9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39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6</w:t>
            </w:r>
          </w:p>
        </w:tc>
        <w:tc>
          <w:tcPr>
            <w:tcW w:w="53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6</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4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28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28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29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4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9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90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2022全年内</w:t>
            </w:r>
          </w:p>
        </w:tc>
        <w:tc>
          <w:tcPr>
            <w:tcW w:w="31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9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39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2022</w:t>
            </w:r>
          </w:p>
        </w:tc>
        <w:tc>
          <w:tcPr>
            <w:tcW w:w="53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2022</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4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28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28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29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4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9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90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控制在预算内</w:t>
            </w:r>
          </w:p>
        </w:tc>
        <w:tc>
          <w:tcPr>
            <w:tcW w:w="310"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96"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39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3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524"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41"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28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280"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297"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4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98" w:type="pct"/>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900"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确保街道经济活动运转正常</w:t>
            </w:r>
          </w:p>
        </w:tc>
        <w:tc>
          <w:tcPr>
            <w:tcW w:w="31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96"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39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3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52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28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28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29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4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9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499"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随时提供各类资金数据</w:t>
            </w:r>
          </w:p>
        </w:tc>
        <w:tc>
          <w:tcPr>
            <w:tcW w:w="31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96"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定性</w:t>
            </w:r>
          </w:p>
        </w:tc>
        <w:tc>
          <w:tcPr>
            <w:tcW w:w="39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优</w:t>
            </w:r>
          </w:p>
        </w:tc>
        <w:tc>
          <w:tcPr>
            <w:tcW w:w="53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w:t>
            </w:r>
          </w:p>
        </w:tc>
        <w:tc>
          <w:tcPr>
            <w:tcW w:w="52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28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28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w:t>
            </w:r>
          </w:p>
        </w:tc>
        <w:tc>
          <w:tcPr>
            <w:tcW w:w="29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4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9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499" w:hRule="atLeast"/>
          <w:jc w:val="center"/>
        </w:trPr>
        <w:tc>
          <w:tcPr>
            <w:tcW w:w="88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31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项</w:t>
            </w:r>
          </w:p>
        </w:tc>
        <w:tc>
          <w:tcPr>
            <w:tcW w:w="296"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w:t>
            </w:r>
          </w:p>
        </w:tc>
        <w:tc>
          <w:tcPr>
            <w:tcW w:w="39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53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90</w:t>
            </w:r>
          </w:p>
        </w:tc>
        <w:tc>
          <w:tcPr>
            <w:tcW w:w="524"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0</w:t>
            </w:r>
          </w:p>
        </w:tc>
        <w:tc>
          <w:tcPr>
            <w:tcW w:w="341"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100</w:t>
            </w:r>
          </w:p>
        </w:tc>
        <w:tc>
          <w:tcPr>
            <w:tcW w:w="28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28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w:t>
            </w:r>
          </w:p>
        </w:tc>
        <w:tc>
          <w:tcPr>
            <w:tcW w:w="297"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340"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298"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gridAfter w:val="1"/>
          <w:wAfter w:w="206" w:type="pct"/>
          <w:trHeight w:val="499" w:hRule="atLeast"/>
          <w:jc w:val="center"/>
        </w:trPr>
        <w:tc>
          <w:tcPr>
            <w:tcW w:w="1196"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未完成绩效目标或偏离较多的原因、改进措施及其他说明</w:t>
            </w:r>
          </w:p>
        </w:tc>
        <w:tc>
          <w:tcPr>
            <w:tcW w:w="3597" w:type="pct"/>
            <w:gridSpan w:val="20"/>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bl>
    <w:p>
      <w:pPr>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2.部门绩效评价情况</w:t>
      </w:r>
    </w:p>
    <w:p>
      <w:pPr>
        <w:spacing w:line="56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本单位未委托第三方开展绩效自评。</w:t>
      </w:r>
    </w:p>
    <w:p>
      <w:pPr>
        <w:spacing w:line="560" w:lineRule="atLeas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pStyle w:val="7"/>
        <w:widowControl/>
        <w:spacing w:before="0" w:beforeAutospacing="0" w:after="0" w:afterAutospacing="0" w:line="600"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sz w:val="32"/>
          <w:szCs w:val="32"/>
        </w:rPr>
        <w:t>本单位未有财政局委托第三方开展重点绩效评价的项目</w:t>
      </w:r>
      <w:r>
        <w:rPr>
          <w:rFonts w:ascii="Times New Roman" w:hAnsi="Times New Roman" w:eastAsia="方正仿宋_GBK"/>
          <w:sz w:val="32"/>
          <w:szCs w:val="32"/>
        </w:rPr>
        <w:t>。</w:t>
      </w:r>
    </w:p>
    <w:p>
      <w:pPr>
        <w:pStyle w:val="7"/>
        <w:widowControl/>
        <w:spacing w:before="0" w:beforeAutospacing="0" w:after="0" w:afterAutospacing="0" w:line="600" w:lineRule="exact"/>
        <w:ind w:firstLine="640" w:firstLineChars="200"/>
        <w:rPr>
          <w:rStyle w:val="10"/>
          <w:rFonts w:ascii="Times New Roman" w:hAnsi="Times New Roman" w:eastAsia="方正黑体_GBK"/>
          <w:b w:val="0"/>
          <w:bCs/>
          <w:sz w:val="32"/>
          <w:szCs w:val="32"/>
        </w:rPr>
      </w:pPr>
      <w:r>
        <w:rPr>
          <w:rStyle w:val="10"/>
          <w:rFonts w:ascii="Times New Roman" w:hAnsi="Times New Roman" w:eastAsia="方正黑体_GBK"/>
          <w:b w:val="0"/>
          <w:bCs/>
          <w:sz w:val="32"/>
          <w:szCs w:val="32"/>
        </w:rPr>
        <w:t>六、专业名词解释</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（一）财政拨款收入：</w:t>
      </w:r>
      <w:r>
        <w:rPr>
          <w:rFonts w:ascii="Times New Roman" w:hAnsi="Times New Roman" w:eastAsia="方正仿宋_GBK"/>
          <w:kern w:val="2"/>
          <w:sz w:val="32"/>
          <w:szCs w:val="32"/>
        </w:rPr>
        <w:t>指本年度从本级财政部门取得的财政拨款，包括一般公共预算财政拨款和政府性基金预算财政拨款。</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r>
        <w:rPr>
          <w:rFonts w:ascii="Times New Roman" w:hAnsi="Times New Roman"/>
        </w:rPr>
        <w:t>。</w:t>
      </w:r>
    </w:p>
    <w:p>
      <w:pPr>
        <w:pStyle w:val="7"/>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pStyle w:val="7"/>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（四）其他收入：</w:t>
      </w:r>
      <w:r>
        <w:rPr>
          <w:rFonts w:ascii="Times New Roman" w:hAnsi="Times New Roman" w:eastAsia="方正仿宋_GBK"/>
          <w:kern w:val="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hint="eastAsia" w:ascii="方正仿宋_GBK" w:hAnsi="方正仿宋_GBK" w:eastAsia="方正仿宋_GBK" w:cs="方正仿宋_GBK"/>
          <w:kern w:val="2"/>
          <w:sz w:val="32"/>
          <w:szCs w:val="32"/>
        </w:rPr>
        <w:t>从非本级</w:t>
      </w:r>
      <w:r>
        <w:rPr>
          <w:rFonts w:hint="eastAsia" w:ascii="方正仿宋_GBK" w:hAnsi="方正仿宋_GBK" w:eastAsia="方正仿宋_GBK" w:cs="方正仿宋_GBK"/>
          <w:sz w:val="32"/>
          <w:szCs w:val="32"/>
        </w:rPr>
        <w:t>财政部门取得的经费，以及行政单位收到的财政专户管理资金反映在本项内。</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pStyle w:val="7"/>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（十二）“三公”经费：</w:t>
      </w:r>
      <w:r>
        <w:rPr>
          <w:rFonts w:ascii="Times New Roman" w:hAnsi="Times New Roman" w:eastAsia="方正仿宋_GBK"/>
          <w:kern w:val="2"/>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（十三）机关运行经费：</w:t>
      </w:r>
      <w:r>
        <w:rPr>
          <w:rFonts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（十四）工资福利支出（支出经济分类科目类级）：</w:t>
      </w:r>
      <w:r>
        <w:rPr>
          <w:rFonts w:ascii="Times New Roman" w:hAnsi="Times New Roman" w:eastAsia="方正仿宋_GBK"/>
          <w:kern w:val="2"/>
          <w:sz w:val="32"/>
          <w:szCs w:val="32"/>
        </w:rPr>
        <w:t>反映单位开支的在职职工和编制外长期聘用人员的各类劳动报酬，以及为上述人员缴纳的各项社会保险费等。</w:t>
      </w:r>
    </w:p>
    <w:p>
      <w:pPr>
        <w:pStyle w:val="7"/>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pStyle w:val="7"/>
        <w:widowControl/>
        <w:spacing w:before="0" w:beforeAutospacing="0" w:after="0" w:afterAutospacing="0" w:line="600" w:lineRule="exact"/>
        <w:ind w:firstLine="640" w:firstLineChars="200"/>
        <w:rPr>
          <w:rFonts w:ascii="Times New Roman" w:hAnsi="Times New Roman"/>
        </w:rPr>
      </w:pPr>
      <w:r>
        <w:rPr>
          <w:rStyle w:val="10"/>
          <w:rFonts w:ascii="Times New Roman" w:hAnsi="Times New Roman" w:eastAsia="方正楷体_GBK"/>
          <w:b w:val="0"/>
          <w:bCs/>
          <w:sz w:val="32"/>
          <w:szCs w:val="32"/>
        </w:rPr>
        <w:t>（十七）其他资本性支出（支出经济分类科目类级）：</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pStyle w:val="7"/>
        <w:widowControl/>
        <w:spacing w:before="0" w:beforeAutospacing="0" w:after="0" w:afterAutospacing="0" w:line="600" w:lineRule="exact"/>
        <w:ind w:firstLine="640" w:firstLineChars="200"/>
        <w:rPr>
          <w:rStyle w:val="10"/>
          <w:rFonts w:ascii="Times New Roman" w:hAnsi="Times New Roman" w:eastAsia="方正黑体_GBK"/>
          <w:b w:val="0"/>
          <w:bCs/>
          <w:sz w:val="32"/>
          <w:szCs w:val="32"/>
        </w:rPr>
      </w:pPr>
      <w:r>
        <w:rPr>
          <w:rStyle w:val="10"/>
          <w:rFonts w:ascii="Times New Roman" w:hAnsi="Times New Roman" w:eastAsia="方正黑体_GBK"/>
          <w:b w:val="0"/>
          <w:bCs/>
          <w:sz w:val="32"/>
          <w:szCs w:val="32"/>
        </w:rPr>
        <w:t>七、决算公开联系方式及信息反馈渠道</w:t>
      </w:r>
    </w:p>
    <w:p>
      <w:pPr>
        <w:pStyle w:val="7"/>
        <w:widowControl/>
        <w:spacing w:before="0" w:beforeAutospacing="0" w:after="0" w:afterAutospacing="0" w:line="60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本单位决算公开信息反馈和联系方式：</w:t>
      </w:r>
    </w:p>
    <w:p>
      <w:pPr>
        <w:pStyle w:val="7"/>
        <w:widowControl/>
        <w:spacing w:before="0" w:beforeAutospacing="0" w:after="0" w:afterAutospacing="0" w:line="600" w:lineRule="exact"/>
        <w:ind w:firstLine="640" w:firstLineChars="200"/>
      </w:pPr>
      <w:r>
        <w:rPr>
          <w:rFonts w:hint="eastAsia" w:ascii="方正仿宋_GBK" w:hAnsi="方正仿宋_GBK" w:eastAsia="方正仿宋_GBK" w:cs="方正仿宋_GBK"/>
          <w:kern w:val="2"/>
          <w:sz w:val="32"/>
          <w:szCs w:val="32"/>
        </w:rPr>
        <w:t>何晓彦  023-86812425</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8240;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5US8y0QAA&#10;AAQBAAAPAAAAAAAAAAEAIAAAACIAAABkcnMvZG93bnJldi54bWxQSwECFAAUAAAACACHTuJAR6Tx&#10;euwBAAC0AwAADgAAAAAAAAABACAAAAAgAQAAZHJzL2Uyb0RvYy54bWxQSwUGAAAAAAYABgBZAQAA&#10;fg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jNkOGU0OWFmMWViOGM4ZDRjMGFiYTAyNTJhNzUifQ=="/>
  </w:docVars>
  <w:rsids>
    <w:rsidRoot w:val="004B4117"/>
    <w:rsid w:val="00015028"/>
    <w:rsid w:val="00017914"/>
    <w:rsid w:val="0002799E"/>
    <w:rsid w:val="00034E39"/>
    <w:rsid w:val="00036BBF"/>
    <w:rsid w:val="00047F93"/>
    <w:rsid w:val="00056DEA"/>
    <w:rsid w:val="000575E5"/>
    <w:rsid w:val="00082369"/>
    <w:rsid w:val="000B04B6"/>
    <w:rsid w:val="000F341D"/>
    <w:rsid w:val="0010512E"/>
    <w:rsid w:val="00112BC0"/>
    <w:rsid w:val="00112D25"/>
    <w:rsid w:val="00144E2D"/>
    <w:rsid w:val="00145C9B"/>
    <w:rsid w:val="001818BA"/>
    <w:rsid w:val="00187C8D"/>
    <w:rsid w:val="00192622"/>
    <w:rsid w:val="001928A2"/>
    <w:rsid w:val="001B5414"/>
    <w:rsid w:val="001C198E"/>
    <w:rsid w:val="001C1E2E"/>
    <w:rsid w:val="001C2264"/>
    <w:rsid w:val="001F0F54"/>
    <w:rsid w:val="00207B84"/>
    <w:rsid w:val="00225184"/>
    <w:rsid w:val="00240900"/>
    <w:rsid w:val="00245DE4"/>
    <w:rsid w:val="00260644"/>
    <w:rsid w:val="00261B25"/>
    <w:rsid w:val="00282E78"/>
    <w:rsid w:val="00283EBA"/>
    <w:rsid w:val="002D41D9"/>
    <w:rsid w:val="002E7D17"/>
    <w:rsid w:val="002F76C3"/>
    <w:rsid w:val="00305888"/>
    <w:rsid w:val="003059D8"/>
    <w:rsid w:val="00307DA5"/>
    <w:rsid w:val="00350B55"/>
    <w:rsid w:val="003605B5"/>
    <w:rsid w:val="00395461"/>
    <w:rsid w:val="003E14BE"/>
    <w:rsid w:val="003E5A54"/>
    <w:rsid w:val="00472542"/>
    <w:rsid w:val="00480F77"/>
    <w:rsid w:val="004A5A7D"/>
    <w:rsid w:val="004B4117"/>
    <w:rsid w:val="004C3ACD"/>
    <w:rsid w:val="004C5AF4"/>
    <w:rsid w:val="004C6B46"/>
    <w:rsid w:val="004C7465"/>
    <w:rsid w:val="004E6F11"/>
    <w:rsid w:val="004F60EE"/>
    <w:rsid w:val="00501E08"/>
    <w:rsid w:val="00502CE7"/>
    <w:rsid w:val="00507086"/>
    <w:rsid w:val="005076E6"/>
    <w:rsid w:val="00510FA2"/>
    <w:rsid w:val="00515FC6"/>
    <w:rsid w:val="00517FDE"/>
    <w:rsid w:val="005275AA"/>
    <w:rsid w:val="005554E7"/>
    <w:rsid w:val="0059438C"/>
    <w:rsid w:val="005B2E46"/>
    <w:rsid w:val="005B49B9"/>
    <w:rsid w:val="005E417E"/>
    <w:rsid w:val="005F5E1E"/>
    <w:rsid w:val="006007A3"/>
    <w:rsid w:val="006162E2"/>
    <w:rsid w:val="0062411D"/>
    <w:rsid w:val="006247FD"/>
    <w:rsid w:val="0063741F"/>
    <w:rsid w:val="00637B20"/>
    <w:rsid w:val="006504C1"/>
    <w:rsid w:val="006726E1"/>
    <w:rsid w:val="0068663E"/>
    <w:rsid w:val="00696F5D"/>
    <w:rsid w:val="006A3606"/>
    <w:rsid w:val="006C08CC"/>
    <w:rsid w:val="006F690C"/>
    <w:rsid w:val="00703252"/>
    <w:rsid w:val="00711584"/>
    <w:rsid w:val="00730B85"/>
    <w:rsid w:val="0073144C"/>
    <w:rsid w:val="0073192E"/>
    <w:rsid w:val="00735ED3"/>
    <w:rsid w:val="007517C2"/>
    <w:rsid w:val="00793964"/>
    <w:rsid w:val="007A6AAB"/>
    <w:rsid w:val="007B1F9F"/>
    <w:rsid w:val="007C2C3F"/>
    <w:rsid w:val="007E068E"/>
    <w:rsid w:val="007F2E2C"/>
    <w:rsid w:val="0081427C"/>
    <w:rsid w:val="008224D7"/>
    <w:rsid w:val="008224F9"/>
    <w:rsid w:val="00822E56"/>
    <w:rsid w:val="0084198B"/>
    <w:rsid w:val="008573D1"/>
    <w:rsid w:val="008913EC"/>
    <w:rsid w:val="00891DA3"/>
    <w:rsid w:val="00895D87"/>
    <w:rsid w:val="008C55C4"/>
    <w:rsid w:val="008D6DC5"/>
    <w:rsid w:val="008E5D57"/>
    <w:rsid w:val="0091331D"/>
    <w:rsid w:val="00916072"/>
    <w:rsid w:val="00921405"/>
    <w:rsid w:val="00940679"/>
    <w:rsid w:val="00960B28"/>
    <w:rsid w:val="00965CC7"/>
    <w:rsid w:val="009972FE"/>
    <w:rsid w:val="009B0071"/>
    <w:rsid w:val="009E23BC"/>
    <w:rsid w:val="009E4477"/>
    <w:rsid w:val="009F363E"/>
    <w:rsid w:val="009F66D8"/>
    <w:rsid w:val="00A102F1"/>
    <w:rsid w:val="00A46328"/>
    <w:rsid w:val="00A56AB4"/>
    <w:rsid w:val="00A62DBC"/>
    <w:rsid w:val="00A73F9B"/>
    <w:rsid w:val="00A90A0D"/>
    <w:rsid w:val="00AA33CE"/>
    <w:rsid w:val="00AE2BAA"/>
    <w:rsid w:val="00B01E14"/>
    <w:rsid w:val="00B0632F"/>
    <w:rsid w:val="00B159BB"/>
    <w:rsid w:val="00B53B71"/>
    <w:rsid w:val="00B57375"/>
    <w:rsid w:val="00B57B1F"/>
    <w:rsid w:val="00B72337"/>
    <w:rsid w:val="00B83068"/>
    <w:rsid w:val="00B84BAD"/>
    <w:rsid w:val="00B91ED1"/>
    <w:rsid w:val="00B94750"/>
    <w:rsid w:val="00BA01BF"/>
    <w:rsid w:val="00BB25C7"/>
    <w:rsid w:val="00BC1FE8"/>
    <w:rsid w:val="00BC37AE"/>
    <w:rsid w:val="00BD6F21"/>
    <w:rsid w:val="00C00A1C"/>
    <w:rsid w:val="00C42A7F"/>
    <w:rsid w:val="00C57438"/>
    <w:rsid w:val="00C714DB"/>
    <w:rsid w:val="00CA0BA8"/>
    <w:rsid w:val="00CB2554"/>
    <w:rsid w:val="00CB56BE"/>
    <w:rsid w:val="00CC76AF"/>
    <w:rsid w:val="00CD041E"/>
    <w:rsid w:val="00CF33DB"/>
    <w:rsid w:val="00D029A7"/>
    <w:rsid w:val="00D63302"/>
    <w:rsid w:val="00D82F8C"/>
    <w:rsid w:val="00D91436"/>
    <w:rsid w:val="00DA023E"/>
    <w:rsid w:val="00DB4E24"/>
    <w:rsid w:val="00DD0A33"/>
    <w:rsid w:val="00DD0C70"/>
    <w:rsid w:val="00DD1C52"/>
    <w:rsid w:val="00DE6186"/>
    <w:rsid w:val="00DF07D3"/>
    <w:rsid w:val="00E04590"/>
    <w:rsid w:val="00E568EF"/>
    <w:rsid w:val="00E67EAC"/>
    <w:rsid w:val="00E94E9A"/>
    <w:rsid w:val="00EA4C1E"/>
    <w:rsid w:val="00F20A14"/>
    <w:rsid w:val="00F567AD"/>
    <w:rsid w:val="00F60F2F"/>
    <w:rsid w:val="00F844E6"/>
    <w:rsid w:val="00FB011F"/>
    <w:rsid w:val="00FB6FB5"/>
    <w:rsid w:val="00FC7629"/>
    <w:rsid w:val="00FD4867"/>
    <w:rsid w:val="039E571A"/>
    <w:rsid w:val="0463521A"/>
    <w:rsid w:val="04FC263C"/>
    <w:rsid w:val="0A4B231E"/>
    <w:rsid w:val="0B2158FA"/>
    <w:rsid w:val="0B9F5FA0"/>
    <w:rsid w:val="0C9B792C"/>
    <w:rsid w:val="0D722221"/>
    <w:rsid w:val="0FE2548F"/>
    <w:rsid w:val="106F7BA0"/>
    <w:rsid w:val="11BA4FF9"/>
    <w:rsid w:val="183A68D8"/>
    <w:rsid w:val="18630F75"/>
    <w:rsid w:val="1A62449F"/>
    <w:rsid w:val="1D0A132C"/>
    <w:rsid w:val="1F9C2196"/>
    <w:rsid w:val="24DB6FCE"/>
    <w:rsid w:val="276F0561"/>
    <w:rsid w:val="2B07454B"/>
    <w:rsid w:val="2CD755B9"/>
    <w:rsid w:val="38EF79C0"/>
    <w:rsid w:val="3A147661"/>
    <w:rsid w:val="3C3B78E1"/>
    <w:rsid w:val="3DF14197"/>
    <w:rsid w:val="3DFB53C1"/>
    <w:rsid w:val="3F4F2FE3"/>
    <w:rsid w:val="41DE519A"/>
    <w:rsid w:val="430B09A5"/>
    <w:rsid w:val="4339318E"/>
    <w:rsid w:val="469B767E"/>
    <w:rsid w:val="46D82453"/>
    <w:rsid w:val="4CED6C9A"/>
    <w:rsid w:val="4F663FEB"/>
    <w:rsid w:val="4FC74BC1"/>
    <w:rsid w:val="57D25176"/>
    <w:rsid w:val="58C001E6"/>
    <w:rsid w:val="59F73FE8"/>
    <w:rsid w:val="60731EA2"/>
    <w:rsid w:val="63500523"/>
    <w:rsid w:val="6354291B"/>
    <w:rsid w:val="63B31DA0"/>
    <w:rsid w:val="6C48784D"/>
    <w:rsid w:val="6CFC1EF7"/>
    <w:rsid w:val="734558E5"/>
    <w:rsid w:val="75B029D8"/>
    <w:rsid w:val="7A4B5E76"/>
    <w:rsid w:val="7F2B5D6F"/>
    <w:rsid w:val="7FEF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6"/>
    <w:basedOn w:val="1"/>
    <w:next w:val="1"/>
    <w:qFormat/>
    <w:uiPriority w:val="0"/>
    <w:pPr>
      <w:ind w:left="2100"/>
    </w:pPr>
  </w:style>
  <w:style w:type="paragraph" w:styleId="4">
    <w:name w:val="Balloon Text"/>
    <w:basedOn w:val="1"/>
    <w:link w:val="11"/>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customStyle="1" w:styleId="11">
    <w:name w:val="批注框文本 Char"/>
    <w:basedOn w:val="9"/>
    <w:link w:val="4"/>
    <w:uiPriority w:val="0"/>
    <w:rPr>
      <w:rFonts w:ascii="Calibri" w:hAnsi="Calibri"/>
      <w:kern w:val="2"/>
      <w:sz w:val="18"/>
      <w:szCs w:val="18"/>
    </w:rPr>
  </w:style>
  <w:style w:type="character" w:customStyle="1" w:styleId="12">
    <w:name w:val="页脚 Char"/>
    <w:basedOn w:val="9"/>
    <w:link w:val="5"/>
    <w:uiPriority w:val="0"/>
    <w:rPr>
      <w:rFonts w:ascii="Calibri" w:hAnsi="Calibri"/>
      <w:kern w:val="2"/>
      <w:sz w:val="18"/>
      <w:szCs w:val="18"/>
    </w:rPr>
  </w:style>
  <w:style w:type="character" w:customStyle="1" w:styleId="13">
    <w:name w:val="页眉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18</Pages>
  <Words>1481</Words>
  <Characters>8444</Characters>
  <Lines>70</Lines>
  <Paragraphs>19</Paragraphs>
  <TotalTime>0</TotalTime>
  <ScaleCrop>false</ScaleCrop>
  <LinksUpToDate>false</LinksUpToDate>
  <CharactersWithSpaces>9906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2024-03-05T02:33:00Z</dcterms:created>
  <dc:creator>Administrator</dc:creator>
  <cp:lastModifiedBy>杨倩怡</cp:lastModifiedBy>
  <cp:lastPrinted>2023-09-12T07:50:00Z</cp:lastPrinted>
  <dcterms:modified xsi:type="dcterms:W3CDTF">2024-03-13T01:23:58Z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689A6F5AC2614267B12D428504F8EFB3_12</vt:lpwstr>
  </property>
</Properties>
</file>