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D3" w:rsidRDefault="00D96ED3">
      <w:pPr>
        <w:pStyle w:val="a6"/>
        <w:widowControl/>
        <w:spacing w:before="0" w:beforeAutospacing="0" w:after="0" w:afterAutospacing="0" w:line="600" w:lineRule="exact"/>
        <w:jc w:val="center"/>
        <w:rPr>
          <w:rStyle w:val="a7"/>
          <w:rFonts w:ascii="方正小标宋_GBK" w:eastAsia="方正小标宋_GBK" w:hAnsi="方正小标宋_GBK" w:cs="方正小标宋_GBK" w:hint="eastAsia"/>
          <w:b w:val="0"/>
          <w:bCs/>
          <w:sz w:val="44"/>
          <w:szCs w:val="44"/>
          <w:lang w:bidi="ar"/>
        </w:rPr>
      </w:pPr>
      <w:bookmarkStart w:id="0" w:name="_GoBack"/>
      <w:bookmarkEnd w:id="0"/>
      <w:r>
        <w:rPr>
          <w:rStyle w:val="a7"/>
          <w:rFonts w:ascii="方正小标宋_GBK" w:eastAsia="方正小标宋_GBK" w:hAnsi="方正小标宋_GBK" w:cs="方正小标宋_GBK" w:hint="eastAsia"/>
          <w:b w:val="0"/>
          <w:bCs/>
          <w:sz w:val="44"/>
          <w:szCs w:val="44"/>
          <w:lang w:bidi="ar"/>
        </w:rPr>
        <w:t>重庆市渝北区龙塔街道社区文化服务中心</w:t>
      </w:r>
    </w:p>
    <w:p w:rsidR="00D96ED3" w:rsidRDefault="00D96ED3">
      <w:pPr>
        <w:pStyle w:val="a6"/>
        <w:widowControl/>
        <w:spacing w:before="0" w:beforeAutospacing="0" w:after="0" w:afterAutospacing="0" w:line="600" w:lineRule="exact"/>
        <w:jc w:val="center"/>
        <w:rPr>
          <w:rStyle w:val="a7"/>
          <w:rFonts w:ascii="方正小标宋_GBK" w:eastAsia="方正小标宋_GBK" w:hAnsi="方正小标宋_GBK" w:cs="方正小标宋_GBK" w:hint="eastAsia"/>
          <w:b w:val="0"/>
          <w:bCs/>
          <w:sz w:val="44"/>
          <w:szCs w:val="44"/>
        </w:rPr>
      </w:pPr>
      <w:r>
        <w:rPr>
          <w:rStyle w:val="a7"/>
          <w:rFonts w:ascii="方正小标宋_GBK" w:eastAsia="方正小标宋_GBK" w:hAnsi="方正小标宋_GBK" w:cs="方正小标宋_GBK" w:hint="eastAsia"/>
          <w:b w:val="0"/>
          <w:bCs/>
          <w:sz w:val="44"/>
          <w:szCs w:val="44"/>
        </w:rPr>
        <w:t>2022年度部门决算情况说明</w:t>
      </w:r>
    </w:p>
    <w:p w:rsidR="00D96ED3" w:rsidRDefault="00D96ED3">
      <w:pPr>
        <w:pStyle w:val="a6"/>
        <w:widowControl/>
        <w:spacing w:before="0" w:beforeAutospacing="0" w:after="0" w:afterAutospacing="0" w:line="600" w:lineRule="exact"/>
        <w:jc w:val="center"/>
        <w:rPr>
          <w:rStyle w:val="a7"/>
          <w:rFonts w:ascii="方正小标宋_GBK" w:eastAsia="方正小标宋_GBK" w:hAnsi="方正小标宋_GBK" w:cs="方正小标宋_GBK" w:hint="eastAsia"/>
          <w:b w:val="0"/>
          <w:bCs/>
          <w:sz w:val="44"/>
          <w:szCs w:val="44"/>
        </w:rPr>
      </w:pPr>
    </w:p>
    <w:p w:rsidR="00D96ED3" w:rsidRDefault="00D96ED3" w:rsidP="0018167A">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一、部门基本情况</w:t>
      </w:r>
    </w:p>
    <w:p w:rsidR="00D96ED3" w:rsidRDefault="00D96ED3" w:rsidP="0018167A">
      <w:pPr>
        <w:pStyle w:val="a6"/>
        <w:widowControl/>
        <w:spacing w:before="0" w:beforeAutospacing="0" w:after="0" w:afterAutospacing="0" w:line="600" w:lineRule="exact"/>
        <w:ind w:firstLineChars="200" w:firstLine="640"/>
        <w:rPr>
          <w:rStyle w:val="a7"/>
          <w:rFonts w:ascii="方正小标宋_GBK" w:eastAsia="方正小标宋_GBK" w:hAnsi="方正小标宋_GBK" w:cs="方正小标宋_GBK" w:hint="eastAsia"/>
          <w:b w:val="0"/>
          <w:bCs/>
          <w:sz w:val="44"/>
          <w:szCs w:val="44"/>
          <w:lang w:bidi="ar"/>
        </w:rPr>
      </w:pPr>
      <w:r>
        <w:rPr>
          <w:rStyle w:val="a7"/>
          <w:rFonts w:ascii="方正楷体_GBK" w:eastAsia="方正楷体_GBK" w:hAnsi="方正楷体_GBK" w:cs="方正楷体_GBK" w:hint="eastAsia"/>
          <w:b w:val="0"/>
          <w:bCs/>
          <w:sz w:val="32"/>
          <w:szCs w:val="32"/>
        </w:rPr>
        <w:t>（一）职能职责</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Ansi="方正仿宋_GBK" w:cs="方正仿宋_GBK" w:hint="eastAsia"/>
          <w:sz w:val="32"/>
        </w:rPr>
        <w:t>重庆市渝北区龙塔街道社区文化服务中心主要承担文化、旅游和体育活动组织与指导、公共文化资源配送和流动服务、书籍报刊借阅服务、时政法制科普教育宣传、广播电视管护等职责。</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（二）机构设置</w:t>
      </w:r>
    </w:p>
    <w:p w:rsidR="00D96ED3" w:rsidRDefault="00D96ED3">
      <w:p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重庆市渝北区龙塔街道社区文化服务中心无内设机构及二级预算单位。</w:t>
      </w:r>
    </w:p>
    <w:p w:rsidR="00D96ED3" w:rsidRDefault="00D96ED3" w:rsidP="0018167A">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二、部门决算情况说明</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（一）收入支出决算总体情况说明</w:t>
      </w:r>
    </w:p>
    <w:p w:rsidR="00D96ED3" w:rsidRDefault="00D96ED3" w:rsidP="0076425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1.总体情况。2022年度收入总计107.27万元，支出总计107.27万元</w:t>
      </w:r>
      <w:r w:rsidR="00C7545E">
        <w:rPr>
          <w:rFonts w:ascii="方正仿宋_GBK" w:eastAsia="方正仿宋_GBK" w:hint="eastAsia"/>
          <w:sz w:val="32"/>
          <w:szCs w:val="32"/>
        </w:rPr>
        <w:t>。</w:t>
      </w:r>
      <w:r>
        <w:rPr>
          <w:rFonts w:ascii="方正仿宋_GBK" w:eastAsia="方正仿宋_GBK" w:hint="eastAsia"/>
          <w:sz w:val="32"/>
          <w:szCs w:val="32"/>
        </w:rPr>
        <w:t>收、支总计</w:t>
      </w:r>
      <w:r>
        <w:rPr>
          <w:rFonts w:ascii="方正仿宋_GBK" w:eastAsia="方正仿宋_GBK" w:hAnsi="方正仿宋_GBK" w:cs="方正仿宋_GBK" w:hint="eastAsia"/>
          <w:sz w:val="32"/>
          <w:szCs w:val="32"/>
        </w:rPr>
        <w:t>较上年决算数各增加</w:t>
      </w:r>
      <w:r>
        <w:rPr>
          <w:rFonts w:ascii="方正仿宋_GBK" w:eastAsia="方正仿宋_GBK" w:hint="eastAsia"/>
          <w:sz w:val="32"/>
          <w:szCs w:val="32"/>
        </w:rPr>
        <w:t>107.27</w:t>
      </w:r>
      <w:r>
        <w:rPr>
          <w:rFonts w:ascii="方正仿宋_GBK" w:eastAsia="方正仿宋_GBK" w:hAnsi="方正仿宋_GBK" w:cs="方正仿宋_GBK" w:hint="eastAsia"/>
          <w:sz w:val="32"/>
          <w:szCs w:val="32"/>
        </w:rPr>
        <w:t>万元，增长100%，主要原因是本部门2022年开始独立核算，上年数为0，故较上年决算数增长100%</w:t>
      </w:r>
      <w:r>
        <w:rPr>
          <w:rFonts w:ascii="方正仿宋_GBK" w:eastAsia="方正仿宋_GBK" w:hint="eastAsia"/>
          <w:sz w:val="32"/>
          <w:szCs w:val="32"/>
        </w:rPr>
        <w:t>。</w:t>
      </w:r>
    </w:p>
    <w:p w:rsidR="00D96ED3" w:rsidRDefault="00D96ED3" w:rsidP="0076425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2.收入情况。2022年度收入合计107.27万元，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107.27</w:t>
      </w:r>
      <w:r>
        <w:rPr>
          <w:rFonts w:ascii="方正仿宋_GBK" w:eastAsia="方正仿宋_GBK" w:hAnsi="方正仿宋_GBK" w:cs="方正仿宋_GBK" w:hint="eastAsia"/>
          <w:sz w:val="32"/>
          <w:szCs w:val="32"/>
        </w:rPr>
        <w:t>万元，增长100%，主要原因是本部门2022年开始独立核算，上年数为0，故较上年决算数增长100%</w:t>
      </w:r>
      <w:r w:rsidR="00AA5469">
        <w:rPr>
          <w:rFonts w:ascii="方正仿宋_GBK" w:eastAsia="方正仿宋_GBK" w:hint="eastAsia"/>
          <w:sz w:val="32"/>
          <w:szCs w:val="32"/>
        </w:rPr>
        <w:t>，</w:t>
      </w:r>
      <w:r>
        <w:rPr>
          <w:rFonts w:ascii="方正仿宋_GBK" w:eastAsia="方正仿宋_GBK" w:hint="eastAsia"/>
          <w:sz w:val="32"/>
          <w:szCs w:val="32"/>
        </w:rPr>
        <w:t>其中：财政拨款收入107.27万元，占100%。</w:t>
      </w:r>
    </w:p>
    <w:p w:rsidR="00D96ED3" w:rsidRDefault="00D96ED3" w:rsidP="0076425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3.支出情况。2022年度支出合计107.27万元，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107.27</w:t>
      </w:r>
      <w:r>
        <w:rPr>
          <w:rFonts w:ascii="方正仿宋_GBK" w:eastAsia="方正仿宋_GBK" w:hAnsi="方正仿宋_GBK" w:cs="方正仿宋_GBK" w:hint="eastAsia"/>
          <w:sz w:val="32"/>
          <w:szCs w:val="32"/>
        </w:rPr>
        <w:t>万元，增长100%，主要原因是本部门2022年开始独立核算，上年数为0，故较上年决算数增长100%</w:t>
      </w:r>
      <w:r w:rsidR="00A4512A">
        <w:rPr>
          <w:rFonts w:ascii="方正仿宋_GBK" w:eastAsia="方正仿宋_GBK" w:hint="eastAsia"/>
          <w:sz w:val="32"/>
          <w:szCs w:val="32"/>
        </w:rPr>
        <w:t>，</w:t>
      </w:r>
      <w:r>
        <w:rPr>
          <w:rFonts w:ascii="方正仿宋_GBK" w:eastAsia="方正仿宋_GBK" w:hint="eastAsia"/>
          <w:sz w:val="32"/>
          <w:szCs w:val="32"/>
        </w:rPr>
        <w:t>其中：基本支出56.74万元，占52.9%；项目支出50.53万元，占47.1%。</w:t>
      </w:r>
    </w:p>
    <w:p w:rsidR="00D96ED3" w:rsidRDefault="00D96ED3" w:rsidP="0076425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4.结转结余情况。2022年度年末结转和结余0万元，与上年数一致。</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（二）财政拨款收入支出决算总体情况说明</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2022年度财政拨款收、支总计107.27万元。与2021年相比，财政拨款收、支总计各增加107.27万元，增长100%，</w:t>
      </w:r>
      <w:r>
        <w:rPr>
          <w:rFonts w:ascii="方正仿宋_GBK" w:eastAsia="方正仿宋_GBK" w:hAnsi="方正仿宋_GBK" w:cs="方正仿宋_GBK" w:hint="eastAsia"/>
          <w:sz w:val="32"/>
          <w:szCs w:val="32"/>
        </w:rPr>
        <w:t>主要原因是本部门2022年开始独立核算，上年数为0，故较上年决算数增长100%</w:t>
      </w:r>
      <w:r>
        <w:rPr>
          <w:rFonts w:ascii="方正仿宋_GBK" w:eastAsia="方正仿宋_GBK" w:hint="eastAsia"/>
          <w:sz w:val="32"/>
          <w:szCs w:val="32"/>
        </w:rPr>
        <w:t>。</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（三）一般公共预算财政拨款收入支出决算情况说明</w:t>
      </w:r>
    </w:p>
    <w:p w:rsidR="00D96ED3" w:rsidRDefault="00D96ED3" w:rsidP="0076425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1.收入情况。2022年度一般公共预算财政拨款收入107.27万元，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107.27</w:t>
      </w:r>
      <w:r>
        <w:rPr>
          <w:rFonts w:ascii="方正仿宋_GBK" w:eastAsia="方正仿宋_GBK" w:hAnsi="方正仿宋_GBK" w:cs="方正仿宋_GBK" w:hint="eastAsia"/>
          <w:sz w:val="32"/>
          <w:szCs w:val="32"/>
        </w:rPr>
        <w:t>万元，增长100%，主要原因是本部门2022年开始独立核算，上年数为0，故较上年决算数增长100%</w:t>
      </w:r>
      <w:r>
        <w:rPr>
          <w:rFonts w:ascii="方正仿宋_GBK" w:eastAsia="方正仿宋_GBK" w:hint="eastAsia"/>
          <w:sz w:val="32"/>
          <w:szCs w:val="32"/>
        </w:rPr>
        <w:t>。较年初预算数减少41.60万元，下降27.9%。主要原因是受新冠疫情，文体活动开展较少。</w:t>
      </w:r>
      <w:r>
        <w:rPr>
          <w:rFonts w:ascii="方正仿宋_GBK" w:eastAsia="方正仿宋_GBK" w:hAnsi="方正仿宋_GBK" w:cs="方正仿宋_GBK" w:hint="eastAsia"/>
          <w:sz w:val="32"/>
          <w:szCs w:val="32"/>
        </w:rPr>
        <w:t>此外，年初财政拨款结转和结余为0万元。</w:t>
      </w:r>
    </w:p>
    <w:p w:rsidR="00D96ED3" w:rsidRDefault="00D96ED3" w:rsidP="0076425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2.支出情况。2022年度一般公共预算财政拨款支出107.27万元，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107.27</w:t>
      </w:r>
      <w:r>
        <w:rPr>
          <w:rFonts w:ascii="方正仿宋_GBK" w:eastAsia="方正仿宋_GBK" w:hAnsi="方正仿宋_GBK" w:cs="方正仿宋_GBK" w:hint="eastAsia"/>
          <w:sz w:val="32"/>
          <w:szCs w:val="32"/>
        </w:rPr>
        <w:t>万元，增长100%，主要原因是本部门2022年开始独立核算，上年数为0，故较上年决算数增</w:t>
      </w:r>
      <w:r>
        <w:rPr>
          <w:rFonts w:ascii="方正仿宋_GBK" w:eastAsia="方正仿宋_GBK" w:hAnsi="方正仿宋_GBK" w:cs="方正仿宋_GBK" w:hint="eastAsia"/>
          <w:sz w:val="32"/>
          <w:szCs w:val="32"/>
        </w:rPr>
        <w:lastRenderedPageBreak/>
        <w:t>长100%</w:t>
      </w:r>
      <w:r>
        <w:rPr>
          <w:rFonts w:ascii="方正仿宋_GBK" w:eastAsia="方正仿宋_GBK" w:hint="eastAsia"/>
          <w:sz w:val="32"/>
          <w:szCs w:val="32"/>
        </w:rPr>
        <w:t>。较年初预算数减少41.60万元，下降27.9%</w:t>
      </w:r>
      <w:r w:rsidR="00A4512A">
        <w:rPr>
          <w:rFonts w:ascii="方正仿宋_GBK" w:eastAsia="方正仿宋_GBK" w:hint="eastAsia"/>
          <w:sz w:val="32"/>
          <w:szCs w:val="32"/>
        </w:rPr>
        <w:t>，</w:t>
      </w:r>
      <w:r>
        <w:rPr>
          <w:rFonts w:ascii="方正仿宋_GBK" w:eastAsia="方正仿宋_GBK" w:hint="eastAsia"/>
          <w:sz w:val="32"/>
          <w:szCs w:val="32"/>
        </w:rPr>
        <w:t>主要原因是受新冠疫情</w:t>
      </w:r>
      <w:r w:rsidR="00760BE2">
        <w:rPr>
          <w:rFonts w:ascii="方正仿宋_GBK" w:eastAsia="方正仿宋_GBK" w:hint="eastAsia"/>
          <w:sz w:val="32"/>
          <w:szCs w:val="32"/>
        </w:rPr>
        <w:t>影响</w:t>
      </w:r>
      <w:r>
        <w:rPr>
          <w:rFonts w:ascii="方正仿宋_GBK" w:eastAsia="方正仿宋_GBK" w:hint="eastAsia"/>
          <w:sz w:val="32"/>
          <w:szCs w:val="32"/>
        </w:rPr>
        <w:t>，文体活动开展较少。</w:t>
      </w:r>
    </w:p>
    <w:p w:rsidR="00D96ED3" w:rsidRDefault="00D96ED3" w:rsidP="0076425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3.结转结余情况。2022年度年末一般公共预算财政拨款结转和结余0万元，与上年数一致。</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4.比较情况。本部门2022年度一般公共预算财政拨款支出主要用于以下几个方面：</w:t>
      </w:r>
    </w:p>
    <w:p w:rsidR="00D96ED3" w:rsidRDefault="00D96ED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（1）文化旅游体育与传媒支出94.96万元，占88.5%，较年初预算数减少41.50万元，下降30.4%，主要原因是受新冠疫情影响，部分活动未能开展。</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（2）社会保障与就业支出7.03万元，占6.6%，与年初预算数</w:t>
      </w:r>
      <w:r w:rsidR="007C4AD1">
        <w:rPr>
          <w:rFonts w:ascii="方正仿宋_GBK" w:eastAsia="方正仿宋_GBK" w:hint="eastAsia"/>
          <w:sz w:val="32"/>
          <w:szCs w:val="32"/>
        </w:rPr>
        <w:t>基本持平</w:t>
      </w:r>
      <w:r>
        <w:rPr>
          <w:rFonts w:ascii="方正仿宋_GBK" w:eastAsia="方正仿宋_GBK" w:hint="eastAsia"/>
          <w:sz w:val="32"/>
          <w:szCs w:val="32"/>
        </w:rPr>
        <w:t>。</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（3）卫生健康支出2.77万元，占2.6%，与年初预算数一致。</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（4）住房保障支出2.51万元，占2.3%，与年初预算数一致。</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（四）一般公共预算财政拨款基本支出决算情况说明</w:t>
      </w:r>
    </w:p>
    <w:p w:rsidR="00D96ED3" w:rsidRDefault="00D96ED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2022年度一般公共预算财政拨款基本支出56.74万元</w:t>
      </w:r>
      <w:r w:rsidR="00156390">
        <w:rPr>
          <w:rFonts w:ascii="方正仿宋_GBK" w:eastAsia="方正仿宋_GBK" w:hint="eastAsia"/>
          <w:sz w:val="32"/>
          <w:szCs w:val="32"/>
        </w:rPr>
        <w:t>，</w:t>
      </w:r>
      <w:r>
        <w:rPr>
          <w:rFonts w:ascii="方正仿宋_GBK" w:eastAsia="方正仿宋_GBK" w:hint="eastAsia"/>
          <w:sz w:val="32"/>
          <w:szCs w:val="32"/>
        </w:rPr>
        <w:t>其中</w:t>
      </w:r>
      <w:r w:rsidR="00156390">
        <w:rPr>
          <w:rFonts w:ascii="方正仿宋_GBK" w:eastAsia="方正仿宋_GBK" w:hint="eastAsia"/>
          <w:sz w:val="32"/>
          <w:szCs w:val="32"/>
        </w:rPr>
        <w:t>：</w:t>
      </w:r>
      <w:r>
        <w:rPr>
          <w:rFonts w:ascii="方正仿宋_GBK" w:eastAsia="方正仿宋_GBK" w:hint="eastAsia"/>
          <w:sz w:val="32"/>
          <w:szCs w:val="32"/>
        </w:rPr>
        <w:t>人员经费51.69万元，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51.69</w:t>
      </w:r>
      <w:r>
        <w:rPr>
          <w:rFonts w:ascii="方正仿宋_GBK" w:eastAsia="方正仿宋_GBK" w:hAnsi="方正仿宋_GBK" w:cs="方正仿宋_GBK" w:hint="eastAsia"/>
          <w:sz w:val="32"/>
          <w:szCs w:val="32"/>
        </w:rPr>
        <w:t>万元，增长100%，主要原因是本部门2022年开始独立核算，上年数为0，故较上年决算数增长100%</w:t>
      </w:r>
      <w:r w:rsidR="00156390">
        <w:rPr>
          <w:rFonts w:ascii="方正仿宋_GBK" w:eastAsia="方正仿宋_GBK" w:hAnsi="方正仿宋_GBK" w:cs="方正仿宋_GBK" w:hint="eastAsia"/>
          <w:sz w:val="32"/>
          <w:szCs w:val="32"/>
        </w:rPr>
        <w:t>，</w:t>
      </w:r>
      <w:r>
        <w:rPr>
          <w:rFonts w:ascii="方正仿宋_GBK" w:eastAsia="方正仿宋_GBK" w:hint="eastAsia"/>
          <w:sz w:val="32"/>
          <w:szCs w:val="32"/>
        </w:rPr>
        <w:t>用途主要包括</w:t>
      </w:r>
      <w:r>
        <w:rPr>
          <w:rFonts w:ascii="Times New Roman" w:eastAsia="方正仿宋_GBK" w:hAnsi="Times New Roman" w:hint="eastAsia"/>
          <w:sz w:val="32"/>
          <w:szCs w:val="32"/>
        </w:rPr>
        <w:t>基本</w:t>
      </w:r>
      <w:r>
        <w:rPr>
          <w:rFonts w:ascii="Times New Roman" w:eastAsia="方正仿宋_GBK" w:hAnsi="Times New Roman"/>
          <w:sz w:val="32"/>
          <w:szCs w:val="32"/>
        </w:rPr>
        <w:t>工资、津</w:t>
      </w:r>
      <w:r>
        <w:rPr>
          <w:rFonts w:ascii="Times New Roman" w:eastAsia="方正仿宋_GBK" w:hAnsi="Times New Roman" w:hint="eastAsia"/>
          <w:sz w:val="32"/>
          <w:szCs w:val="32"/>
        </w:rPr>
        <w:t>贴</w:t>
      </w:r>
      <w:r>
        <w:rPr>
          <w:rFonts w:ascii="Times New Roman" w:eastAsia="方正仿宋_GBK" w:hAnsi="Times New Roman"/>
          <w:sz w:val="32"/>
          <w:szCs w:val="32"/>
        </w:rPr>
        <w:t>补贴、</w:t>
      </w:r>
      <w:r>
        <w:rPr>
          <w:rFonts w:ascii="Times New Roman" w:eastAsia="方正仿宋_GBK" w:hAnsi="Times New Roman" w:hint="eastAsia"/>
          <w:sz w:val="32"/>
          <w:szCs w:val="32"/>
        </w:rPr>
        <w:t>其他</w:t>
      </w:r>
      <w:r>
        <w:rPr>
          <w:rFonts w:ascii="Times New Roman" w:eastAsia="方正仿宋_GBK" w:hAnsi="Times New Roman"/>
          <w:sz w:val="32"/>
          <w:szCs w:val="32"/>
        </w:rPr>
        <w:t>社会保障缴费</w:t>
      </w:r>
      <w:r>
        <w:rPr>
          <w:rFonts w:ascii="Times New Roman" w:eastAsia="方正仿宋_GBK" w:hAnsi="Times New Roman" w:hint="eastAsia"/>
          <w:sz w:val="32"/>
          <w:szCs w:val="32"/>
        </w:rPr>
        <w:t>、绩效工资</w:t>
      </w:r>
      <w:r>
        <w:rPr>
          <w:rFonts w:ascii="Times New Roman" w:eastAsia="方正仿宋_GBK" w:hAnsi="Times New Roman"/>
          <w:sz w:val="32"/>
          <w:szCs w:val="32"/>
        </w:rPr>
        <w:t>等</w:t>
      </w:r>
      <w:r>
        <w:rPr>
          <w:rFonts w:ascii="方正仿宋_GBK" w:eastAsia="方正仿宋_GBK" w:hint="eastAsia"/>
          <w:sz w:val="32"/>
          <w:szCs w:val="32"/>
        </w:rPr>
        <w:t>；公用经费5.05万元，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5.05</w:t>
      </w:r>
      <w:r>
        <w:rPr>
          <w:rFonts w:ascii="方正仿宋_GBK" w:eastAsia="方正仿宋_GBK" w:hAnsi="方正仿宋_GBK" w:cs="方正仿宋_GBK" w:hint="eastAsia"/>
          <w:sz w:val="32"/>
          <w:szCs w:val="32"/>
        </w:rPr>
        <w:t>万元，增长100%，主要原因是本部门2022年开始独立核算，上年数为0，故较上年决算数增长100%</w:t>
      </w:r>
      <w:r w:rsidR="00156390">
        <w:rPr>
          <w:rFonts w:ascii="方正仿宋_GBK" w:eastAsia="方正仿宋_GBK" w:hAnsi="方正仿宋_GBK" w:cs="方正仿宋_GBK" w:hint="eastAsia"/>
          <w:sz w:val="32"/>
          <w:szCs w:val="32"/>
        </w:rPr>
        <w:t>，</w:t>
      </w:r>
      <w:r>
        <w:rPr>
          <w:rFonts w:ascii="方正仿宋_GBK" w:eastAsia="方正仿宋_GBK" w:hint="eastAsia"/>
          <w:sz w:val="32"/>
          <w:szCs w:val="32"/>
        </w:rPr>
        <w:t>用途主要</w:t>
      </w:r>
      <w:r>
        <w:rPr>
          <w:rFonts w:ascii="方正仿宋_GBK" w:eastAsia="方正仿宋_GBK" w:hint="eastAsia"/>
          <w:sz w:val="32"/>
          <w:szCs w:val="32"/>
        </w:rPr>
        <w:lastRenderedPageBreak/>
        <w:t>包括办公费、印刷费、培训费等。</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（五）政府性基金预算收支决算情况说明</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本部门2022年度无政府性基金预算财政拨款收支</w:t>
      </w:r>
      <w:r w:rsidR="004B6CDC">
        <w:rPr>
          <w:rFonts w:ascii="方正仿宋_GBK" w:eastAsia="方正仿宋_GBK" w:hint="eastAsia"/>
          <w:kern w:val="2"/>
          <w:sz w:val="32"/>
          <w:szCs w:val="32"/>
        </w:rPr>
        <w:t>。</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（六）国有资本经营预算财政拨款支出决算情况说明</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本部门2022年度无国有资本经营预算财政拨款支出。</w:t>
      </w:r>
    </w:p>
    <w:p w:rsidR="00D96ED3" w:rsidRDefault="0018167A" w:rsidP="0018167A">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三、</w:t>
      </w:r>
      <w:r w:rsidR="00D96ED3">
        <w:rPr>
          <w:rStyle w:val="a7"/>
          <w:rFonts w:ascii="方正黑体_GBK" w:eastAsia="方正黑体_GBK" w:hAnsi="方正黑体_GBK" w:cs="方正黑体_GBK" w:hint="eastAsia"/>
          <w:b w:val="0"/>
          <w:bCs/>
          <w:sz w:val="32"/>
          <w:szCs w:val="32"/>
        </w:rPr>
        <w:t>“三公”经费情况说明</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（一）“三公”经费支出总体情况说明</w:t>
      </w:r>
    </w:p>
    <w:p w:rsidR="00D96ED3" w:rsidRDefault="00D96ED3">
      <w:pPr>
        <w:pStyle w:val="a6"/>
        <w:widowControl/>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2022年度“三公”经费支出共计0.6万元，与年初预算数一致。</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0.6</w:t>
      </w:r>
      <w:r>
        <w:rPr>
          <w:rFonts w:ascii="方正仿宋_GBK" w:eastAsia="方正仿宋_GBK" w:hAnsi="方正仿宋_GBK" w:cs="方正仿宋_GBK" w:hint="eastAsia"/>
          <w:sz w:val="32"/>
          <w:szCs w:val="32"/>
        </w:rPr>
        <w:t>万元，增长100%，主要原因是本部门2022年开始独立核算，上年数为0，故较上年决算数增长100%</w:t>
      </w:r>
      <w:r>
        <w:rPr>
          <w:rFonts w:ascii="方正仿宋_GBK" w:eastAsia="方正仿宋_GBK" w:hint="eastAsia"/>
          <w:kern w:val="2"/>
          <w:sz w:val="32"/>
          <w:szCs w:val="32"/>
        </w:rPr>
        <w:t>。</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（二）“三公”经费分项支出情况</w:t>
      </w:r>
    </w:p>
    <w:p w:rsidR="00D96ED3" w:rsidRDefault="00D96ED3">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2022年度本部门未发生因公出国（境）费用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D96ED3" w:rsidRDefault="00D96ED3">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2022年度本部门未发生公务车购置费用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Ansi="方正仿宋_GBK" w:cs="方正仿宋_GBK" w:hint="eastAsia"/>
          <w:kern w:val="2"/>
          <w:sz w:val="32"/>
          <w:szCs w:val="32"/>
        </w:rPr>
        <w:t>2022年度本部门</w:t>
      </w:r>
      <w:r>
        <w:rPr>
          <w:rFonts w:ascii="方正仿宋_GBK" w:eastAsia="方正仿宋_GBK" w:hAnsi="方正仿宋_GBK" w:cs="方正仿宋_GBK" w:hint="eastAsia"/>
          <w:sz w:val="32"/>
          <w:szCs w:val="32"/>
        </w:rPr>
        <w:t>未发生</w:t>
      </w:r>
      <w:r>
        <w:rPr>
          <w:rFonts w:ascii="方正仿宋_GBK" w:eastAsia="方正仿宋_GBK" w:hAnsi="方正仿宋_GBK" w:cs="方正仿宋_GBK" w:hint="eastAsia"/>
          <w:kern w:val="2"/>
          <w:sz w:val="32"/>
          <w:szCs w:val="32"/>
        </w:rPr>
        <w:t>公务车运行维护费</w:t>
      </w:r>
      <w:r>
        <w:rPr>
          <w:rFonts w:ascii="方正仿宋_GBK" w:eastAsia="方正仿宋_GBK" w:hint="eastAsia"/>
          <w:kern w:val="2"/>
          <w:sz w:val="32"/>
          <w:szCs w:val="32"/>
        </w:rPr>
        <w:t>，与年初预算数一致，与上年决算数一致</w:t>
      </w:r>
      <w:r>
        <w:rPr>
          <w:rFonts w:ascii="方正仿宋_GBK" w:eastAsia="方正仿宋_GBK" w:hAnsi="方正仿宋_GBK" w:cs="方正仿宋_GBK" w:hint="eastAsia"/>
          <w:kern w:val="2"/>
          <w:sz w:val="32"/>
          <w:szCs w:val="32"/>
        </w:rPr>
        <w:t>。</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2022年度本部门公务接待费0.6万元，主要用于</w:t>
      </w:r>
      <w:r>
        <w:rPr>
          <w:rFonts w:ascii="Times New Roman" w:eastAsia="方正仿宋_GBK" w:hAnsi="Times New Roman" w:hint="eastAsia"/>
          <w:kern w:val="2"/>
          <w:sz w:val="32"/>
          <w:szCs w:val="32"/>
        </w:rPr>
        <w:t>接待</w:t>
      </w:r>
      <w:r>
        <w:rPr>
          <w:rFonts w:ascii="Times New Roman" w:eastAsia="方正仿宋_GBK" w:hAnsi="Times New Roman"/>
          <w:kern w:val="2"/>
          <w:sz w:val="32"/>
          <w:szCs w:val="32"/>
        </w:rPr>
        <w:t>其他</w:t>
      </w:r>
      <w:r>
        <w:rPr>
          <w:rFonts w:ascii="Times New Roman" w:eastAsia="方正仿宋_GBK" w:hAnsi="Times New Roman" w:hint="eastAsia"/>
          <w:kern w:val="2"/>
          <w:sz w:val="32"/>
          <w:szCs w:val="32"/>
        </w:rPr>
        <w:t>单位</w:t>
      </w:r>
      <w:r>
        <w:rPr>
          <w:rFonts w:ascii="Times New Roman" w:eastAsia="方正仿宋_GBK" w:hAnsi="Times New Roman"/>
          <w:kern w:val="2"/>
          <w:sz w:val="32"/>
          <w:szCs w:val="32"/>
        </w:rPr>
        <w:t>来</w:t>
      </w:r>
      <w:r>
        <w:rPr>
          <w:rFonts w:ascii="Times New Roman" w:eastAsia="方正仿宋_GBK" w:hAnsi="Times New Roman" w:hint="eastAsia"/>
          <w:kern w:val="2"/>
          <w:sz w:val="32"/>
          <w:szCs w:val="32"/>
        </w:rPr>
        <w:t>本部门</w:t>
      </w:r>
      <w:r>
        <w:rPr>
          <w:rFonts w:ascii="Times New Roman" w:eastAsia="方正仿宋_GBK" w:hAnsi="Times New Roman"/>
          <w:kern w:val="2"/>
          <w:sz w:val="32"/>
          <w:szCs w:val="32"/>
        </w:rPr>
        <w:t>的</w:t>
      </w:r>
      <w:r>
        <w:rPr>
          <w:rFonts w:ascii="Times New Roman" w:eastAsia="方正仿宋_GBK" w:hAnsi="Times New Roman" w:hint="eastAsia"/>
          <w:kern w:val="2"/>
          <w:sz w:val="32"/>
          <w:szCs w:val="32"/>
        </w:rPr>
        <w:t>检查、</w:t>
      </w:r>
      <w:r>
        <w:rPr>
          <w:rFonts w:ascii="Times New Roman" w:eastAsia="方正仿宋_GBK" w:hAnsi="Times New Roman"/>
          <w:kern w:val="2"/>
          <w:sz w:val="32"/>
          <w:szCs w:val="32"/>
        </w:rPr>
        <w:t>考察、学习、交流等</w:t>
      </w:r>
      <w:r>
        <w:rPr>
          <w:rFonts w:ascii="方正仿宋_GBK" w:eastAsia="方正仿宋_GBK" w:hint="eastAsia"/>
          <w:kern w:val="2"/>
          <w:sz w:val="32"/>
          <w:szCs w:val="32"/>
        </w:rPr>
        <w:t>。</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lastRenderedPageBreak/>
        <w:t>0.6</w:t>
      </w:r>
      <w:r>
        <w:rPr>
          <w:rFonts w:ascii="方正仿宋_GBK" w:eastAsia="方正仿宋_GBK" w:hAnsi="方正仿宋_GBK" w:cs="方正仿宋_GBK" w:hint="eastAsia"/>
          <w:sz w:val="32"/>
          <w:szCs w:val="32"/>
        </w:rPr>
        <w:t>万元，增长100%，主要原因是本部门2022年开始独立核算，上年数为0，故较上年决算数增长100%</w:t>
      </w:r>
      <w:r>
        <w:rPr>
          <w:rFonts w:ascii="方正仿宋_GBK" w:eastAsia="方正仿宋_GBK" w:hint="eastAsia"/>
          <w:kern w:val="2"/>
          <w:sz w:val="32"/>
          <w:szCs w:val="32"/>
        </w:rPr>
        <w:t>。</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（三）“三公”经费实物量情况</w:t>
      </w:r>
    </w:p>
    <w:p w:rsidR="00D96ED3" w:rsidRDefault="00D96ED3" w:rsidP="0018167A">
      <w:pPr>
        <w:pStyle w:val="a6"/>
        <w:widowControl/>
        <w:spacing w:before="0" w:beforeAutospacing="0" w:after="0" w:afterAutospacing="0" w:line="600" w:lineRule="exact"/>
        <w:ind w:firstLineChars="200" w:firstLine="640"/>
      </w:pPr>
      <w:r>
        <w:rPr>
          <w:rFonts w:ascii="方正仿宋_GBK" w:eastAsia="方正仿宋_GBK" w:hint="eastAsia"/>
          <w:kern w:val="2"/>
          <w:sz w:val="32"/>
          <w:szCs w:val="32"/>
        </w:rPr>
        <w:t>2022年度本部门因公出国（境）共计0个团组，0人；公务用车购置0辆，公务车保有量为0辆；国内公务接待20批次150人，其中：国内外事接待0批次，0人；国（境）外公务接待0批次，0人。2022年本部门人均接待费40元，车均购置费0万元，车均维护费0万元。</w:t>
      </w:r>
    </w:p>
    <w:p w:rsidR="00D96ED3" w:rsidRDefault="0018167A" w:rsidP="0018167A">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四、</w:t>
      </w:r>
      <w:r w:rsidR="00D96ED3">
        <w:rPr>
          <w:rStyle w:val="a7"/>
          <w:rFonts w:ascii="方正黑体_GBK" w:eastAsia="方正黑体_GBK" w:hAnsi="方正黑体_GBK" w:cs="方正黑体_GBK" w:hint="eastAsia"/>
          <w:b w:val="0"/>
          <w:bCs/>
          <w:sz w:val="32"/>
          <w:szCs w:val="32"/>
        </w:rPr>
        <w:t>其他需要说明的事项</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（一）财政拨款会议费和培训费情况说明</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2022年度本部门会议费支出0万元，与上年数一致。培训费支出0.15万元，</w:t>
      </w:r>
      <w:r>
        <w:rPr>
          <w:rFonts w:ascii="方正仿宋_GBK" w:eastAsia="方正仿宋_GBK" w:hAnsi="方正仿宋_GBK" w:cs="方正仿宋_GBK" w:hint="eastAsia"/>
          <w:sz w:val="32"/>
          <w:szCs w:val="32"/>
        </w:rPr>
        <w:t>较上年决算数增加</w:t>
      </w:r>
      <w:r>
        <w:rPr>
          <w:rFonts w:ascii="方正仿宋_GBK" w:eastAsia="方正仿宋_GBK" w:hint="eastAsia"/>
          <w:sz w:val="32"/>
          <w:szCs w:val="32"/>
        </w:rPr>
        <w:t>0.15</w:t>
      </w:r>
      <w:r>
        <w:rPr>
          <w:rFonts w:ascii="方正仿宋_GBK" w:eastAsia="方正仿宋_GBK" w:hAnsi="方正仿宋_GBK" w:cs="方正仿宋_GBK" w:hint="eastAsia"/>
          <w:sz w:val="32"/>
          <w:szCs w:val="32"/>
        </w:rPr>
        <w:t>万元，增长100%，主要原因是本部门2022年开始独立核算，上年数为0，故较上年决算数增长100%</w:t>
      </w:r>
      <w:r>
        <w:rPr>
          <w:rFonts w:ascii="方正仿宋_GBK" w:eastAsia="方正仿宋_GBK" w:hint="eastAsia"/>
          <w:kern w:val="2"/>
          <w:sz w:val="32"/>
          <w:szCs w:val="32"/>
        </w:rPr>
        <w:t>。</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（二）机关运行经费支出情况说明</w:t>
      </w:r>
    </w:p>
    <w:p w:rsidR="00D96ED3" w:rsidRDefault="00D96ED3">
      <w:pPr>
        <w:pStyle w:val="a6"/>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按照部门决算列报口径，我单位不在机关运行经费统计范围之内。</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（三）国有资产占用情况说明</w:t>
      </w:r>
    </w:p>
    <w:p w:rsidR="00D96ED3" w:rsidRDefault="00D96ED3">
      <w:pPr>
        <w:pStyle w:val="a6"/>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截至2022年12月31日，本部门共有车辆0辆，其中</w:t>
      </w:r>
      <w:r w:rsidR="004B6CDC">
        <w:rPr>
          <w:rFonts w:ascii="方正仿宋_GBK" w:eastAsia="方正仿宋_GBK" w:hint="eastAsia"/>
          <w:kern w:val="2"/>
          <w:sz w:val="32"/>
          <w:szCs w:val="32"/>
        </w:rPr>
        <w:t>：</w:t>
      </w:r>
      <w:r>
        <w:rPr>
          <w:rFonts w:ascii="方正仿宋_GBK" w:eastAsia="方正仿宋_GBK" w:hint="eastAsia"/>
          <w:kern w:val="2"/>
          <w:sz w:val="32"/>
          <w:szCs w:val="32"/>
        </w:rPr>
        <w:t>副部（省）级及以上领导用车0辆、主要领导干部用车0辆、机要通信用车0辆、应急保障用车0辆、执法执勤用车0辆</w:t>
      </w:r>
      <w:r w:rsidR="004B6CDC">
        <w:rPr>
          <w:rFonts w:ascii="方正仿宋_GBK" w:eastAsia="方正仿宋_GBK" w:hint="eastAsia"/>
          <w:kern w:val="2"/>
          <w:sz w:val="32"/>
          <w:szCs w:val="32"/>
        </w:rPr>
        <w:t>、</w:t>
      </w:r>
      <w:r>
        <w:rPr>
          <w:rFonts w:ascii="方正仿宋_GBK" w:eastAsia="方正仿宋_GBK" w:hint="eastAsia"/>
          <w:kern w:val="2"/>
          <w:sz w:val="32"/>
          <w:szCs w:val="32"/>
        </w:rPr>
        <w:t>特种专</w:t>
      </w:r>
      <w:r>
        <w:rPr>
          <w:rFonts w:ascii="方正仿宋_GBK" w:eastAsia="方正仿宋_GBK" w:hint="eastAsia"/>
          <w:kern w:val="2"/>
          <w:sz w:val="32"/>
          <w:szCs w:val="32"/>
        </w:rPr>
        <w:lastRenderedPageBreak/>
        <w:t>业技术用车0辆</w:t>
      </w:r>
      <w:r w:rsidR="004B6CDC">
        <w:rPr>
          <w:rFonts w:ascii="方正仿宋_GBK" w:eastAsia="方正仿宋_GBK" w:hint="eastAsia"/>
          <w:kern w:val="2"/>
          <w:sz w:val="32"/>
          <w:szCs w:val="32"/>
        </w:rPr>
        <w:t>、</w:t>
      </w:r>
      <w:r>
        <w:rPr>
          <w:rFonts w:ascii="方正仿宋_GBK" w:eastAsia="方正仿宋_GBK" w:hint="eastAsia"/>
          <w:kern w:val="2"/>
          <w:sz w:val="32"/>
          <w:szCs w:val="32"/>
        </w:rPr>
        <w:t>离退休干部用车0辆</w:t>
      </w:r>
      <w:r w:rsidR="004B6CDC">
        <w:rPr>
          <w:rFonts w:ascii="方正仿宋_GBK" w:eastAsia="方正仿宋_GBK" w:hint="eastAsia"/>
          <w:kern w:val="2"/>
          <w:sz w:val="32"/>
          <w:szCs w:val="32"/>
        </w:rPr>
        <w:t>、</w:t>
      </w:r>
      <w:r>
        <w:rPr>
          <w:rFonts w:ascii="方正仿宋_GBK" w:eastAsia="方正仿宋_GBK" w:hint="eastAsia"/>
          <w:kern w:val="2"/>
          <w:sz w:val="32"/>
          <w:szCs w:val="32"/>
        </w:rPr>
        <w:t>其他用车0辆。单价100万元（含）以上设备（不含车辆）0台（套）。</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（四）政府采购支出说明</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2022年度我单位未发生政府采购事项，无相关经费支出。</w:t>
      </w:r>
    </w:p>
    <w:p w:rsidR="00D96ED3" w:rsidRDefault="00D96ED3" w:rsidP="0018167A">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五、预算绩效管理情况说明</w:t>
      </w:r>
    </w:p>
    <w:p w:rsidR="00D96ED3" w:rsidRDefault="00D96ED3"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（一）预算绩效管理工作开展情况</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根据预算绩效管理要求，我单位对部门整体和3个项目开展了绩效自评，其中，以填报自评表形式开展自评3项，涉及资金50.53万元。</w:t>
      </w:r>
    </w:p>
    <w:p w:rsidR="00D96ED3" w:rsidRPr="0018167A" w:rsidRDefault="0018167A" w:rsidP="0018167A">
      <w:pPr>
        <w:pStyle w:val="a6"/>
        <w:widowControl/>
        <w:spacing w:before="0" w:beforeAutospacing="0" w:after="0" w:afterAutospacing="0" w:line="600" w:lineRule="exact"/>
        <w:ind w:firstLineChars="200" w:firstLine="640"/>
        <w:rPr>
          <w:rStyle w:val="a7"/>
          <w:rFonts w:ascii="方正楷体_GBK" w:eastAsia="方正楷体_GBK" w:hAnsi="方正楷体_GBK" w:cs="方正楷体_GBK" w:hint="eastAsia"/>
        </w:rPr>
      </w:pPr>
      <w:r>
        <w:rPr>
          <w:rStyle w:val="a7"/>
          <w:rFonts w:ascii="方正楷体_GBK" w:eastAsia="方正楷体_GBK" w:hAnsi="方正楷体_GBK" w:cs="方正楷体_GBK" w:hint="eastAsia"/>
          <w:b w:val="0"/>
          <w:bCs/>
          <w:sz w:val="32"/>
          <w:szCs w:val="32"/>
        </w:rPr>
        <w:t>（二）</w:t>
      </w:r>
      <w:r w:rsidR="00D96ED3">
        <w:rPr>
          <w:rStyle w:val="a7"/>
          <w:rFonts w:ascii="方正楷体_GBK" w:eastAsia="方正楷体_GBK" w:hAnsi="方正楷体_GBK" w:cs="方正楷体_GBK" w:hint="eastAsia"/>
          <w:b w:val="0"/>
          <w:bCs/>
          <w:sz w:val="32"/>
          <w:szCs w:val="32"/>
        </w:rPr>
        <w:t>绩效自评结果</w:t>
      </w:r>
    </w:p>
    <w:p w:rsidR="00D96ED3" w:rsidRDefault="00D96ED3">
      <w:pPr>
        <w:pStyle w:val="a6"/>
        <w:widowControl/>
        <w:spacing w:before="0" w:beforeAutospacing="0" w:after="0" w:afterAutospacing="0" w:line="600" w:lineRule="exact"/>
        <w:ind w:firstLineChars="200" w:firstLine="640"/>
        <w:rPr>
          <w:rFonts w:ascii="Times New Roman" w:eastAsia="方正仿宋_GBK" w:hAnsi="Times New Roman" w:cs="宋体" w:hint="eastAsia"/>
          <w:sz w:val="32"/>
          <w:szCs w:val="32"/>
        </w:rPr>
      </w:pPr>
    </w:p>
    <w:tbl>
      <w:tblPr>
        <w:tblW w:w="5000" w:type="pct"/>
        <w:tblInd w:w="0" w:type="dxa"/>
        <w:tblLook w:val="0000" w:firstRow="0" w:lastRow="0" w:firstColumn="0" w:lastColumn="0" w:noHBand="0" w:noVBand="0"/>
      </w:tblPr>
      <w:tblGrid>
        <w:gridCol w:w="1703"/>
        <w:gridCol w:w="603"/>
        <w:gridCol w:w="603"/>
        <w:gridCol w:w="603"/>
        <w:gridCol w:w="948"/>
        <w:gridCol w:w="948"/>
        <w:gridCol w:w="618"/>
        <w:gridCol w:w="593"/>
        <w:gridCol w:w="605"/>
        <w:gridCol w:w="605"/>
        <w:gridCol w:w="616"/>
        <w:gridCol w:w="616"/>
      </w:tblGrid>
      <w:tr w:rsidR="00D96ED3">
        <w:trPr>
          <w:trHeight w:val="600"/>
        </w:trPr>
        <w:tc>
          <w:tcPr>
            <w:tcW w:w="5000" w:type="pct"/>
            <w:gridSpan w:val="12"/>
            <w:tcBorders>
              <w:top w:val="nil"/>
              <w:left w:val="nil"/>
              <w:bottom w:val="nil"/>
              <w:right w:val="nil"/>
            </w:tcBorders>
            <w:noWrap/>
            <w:vAlign w:val="center"/>
          </w:tcPr>
          <w:p w:rsidR="00D96ED3" w:rsidRDefault="00D96ED3">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2022年度项目绩效自评表</w:t>
            </w:r>
          </w:p>
        </w:tc>
      </w:tr>
      <w:tr w:rsidR="00D96ED3">
        <w:trPr>
          <w:trHeight w:val="199"/>
        </w:trPr>
        <w:tc>
          <w:tcPr>
            <w:tcW w:w="5000" w:type="pct"/>
            <w:gridSpan w:val="12"/>
            <w:tcBorders>
              <w:top w:val="nil"/>
              <w:left w:val="nil"/>
              <w:bottom w:val="single" w:sz="4" w:space="0" w:color="auto"/>
              <w:right w:val="nil"/>
            </w:tcBorders>
            <w:noWrap/>
            <w:vAlign w:val="center"/>
          </w:tcPr>
          <w:p w:rsidR="00D96ED3" w:rsidRDefault="00D96ED3">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D96ED3">
        <w:trPr>
          <w:trHeight w:val="900"/>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665"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镇街文化中心（站）免费开放补助经费（提前下达专项）</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50011222T000002036286</w:t>
            </w:r>
          </w:p>
        </w:tc>
        <w:tc>
          <w:tcPr>
            <w:tcW w:w="34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900"/>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665"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907-重庆市渝北区人民政府龙塔街道办事处</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002-预算科</w:t>
            </w:r>
          </w:p>
        </w:tc>
        <w:tc>
          <w:tcPr>
            <w:tcW w:w="34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左姗</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86812427</w:t>
            </w:r>
          </w:p>
        </w:tc>
      </w:tr>
      <w:tr w:rsidR="00D96ED3">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D96ED3">
        <w:trPr>
          <w:trHeight w:val="499"/>
        </w:trPr>
        <w:tc>
          <w:tcPr>
            <w:tcW w:w="1272"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668"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668"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D96ED3">
        <w:trPr>
          <w:trHeight w:val="499"/>
        </w:trPr>
        <w:tc>
          <w:tcPr>
            <w:tcW w:w="1272"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666"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668"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668"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D96ED3">
        <w:trPr>
          <w:trHeight w:val="499"/>
        </w:trPr>
        <w:tc>
          <w:tcPr>
            <w:tcW w:w="1272"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lastRenderedPageBreak/>
              <w:t>其中：财政拨款</w:t>
            </w:r>
          </w:p>
        </w:tc>
        <w:tc>
          <w:tcPr>
            <w:tcW w:w="666"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668"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50000.00 </w:t>
            </w:r>
          </w:p>
        </w:tc>
        <w:tc>
          <w:tcPr>
            <w:tcW w:w="668"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kern w:val="0"/>
                <w:sz w:val="16"/>
                <w:szCs w:val="16"/>
              </w:rPr>
            </w:pPr>
            <w:r>
              <w:rPr>
                <w:rFonts w:ascii="宋体" w:hAnsi="宋体" w:cs="宋体" w:hint="eastAsia"/>
                <w:kern w:val="0"/>
                <w:sz w:val="16"/>
                <w:szCs w:val="16"/>
              </w:rPr>
              <w:t>10.00</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D96ED3">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D96ED3">
        <w:trPr>
          <w:trHeight w:val="499"/>
        </w:trPr>
        <w:tc>
          <w:tcPr>
            <w:tcW w:w="1938" w:type="pct"/>
            <w:gridSpan w:val="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714" w:type="pct"/>
            <w:gridSpan w:val="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1348" w:type="pct"/>
            <w:gridSpan w:val="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D96ED3">
        <w:trPr>
          <w:trHeight w:val="1602"/>
        </w:trPr>
        <w:tc>
          <w:tcPr>
            <w:tcW w:w="1938" w:type="pct"/>
            <w:gridSpan w:val="4"/>
            <w:tcBorders>
              <w:top w:val="single" w:sz="4" w:space="0" w:color="auto"/>
              <w:left w:val="single" w:sz="4" w:space="0" w:color="auto"/>
              <w:bottom w:val="single" w:sz="4" w:space="0" w:color="auto"/>
              <w:right w:val="single" w:sz="4" w:space="0" w:color="auto"/>
            </w:tcBorders>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2022年提前下达镇街转移支付，镇街文化中心（站）免费开放运行经费</w:t>
            </w:r>
          </w:p>
        </w:tc>
        <w:tc>
          <w:tcPr>
            <w:tcW w:w="1714" w:type="pct"/>
            <w:gridSpan w:val="4"/>
            <w:tcBorders>
              <w:top w:val="single" w:sz="4" w:space="0" w:color="auto"/>
              <w:left w:val="single" w:sz="4" w:space="0" w:color="auto"/>
              <w:bottom w:val="single" w:sz="4" w:space="0" w:color="auto"/>
              <w:right w:val="single" w:sz="4" w:space="0" w:color="auto"/>
            </w:tcBorders>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348" w:type="pct"/>
            <w:gridSpan w:val="4"/>
            <w:tcBorders>
              <w:top w:val="single" w:sz="4" w:space="0" w:color="auto"/>
              <w:left w:val="single" w:sz="4" w:space="0" w:color="auto"/>
              <w:bottom w:val="single" w:sz="4" w:space="0" w:color="auto"/>
              <w:right w:val="single" w:sz="4" w:space="0" w:color="auto"/>
            </w:tcBorders>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圆满完成任务，保障了文化综合楼的维修维护，以及开展了部分文化活动。</w:t>
            </w:r>
          </w:p>
        </w:tc>
      </w:tr>
      <w:tr w:rsidR="00D96ED3">
        <w:trPr>
          <w:trHeight w:val="24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D96ED3">
        <w:trPr>
          <w:trHeight w:val="900"/>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52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52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p>
        </w:tc>
        <w:tc>
          <w:tcPr>
            <w:tcW w:w="34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p>
        </w:tc>
        <w:tc>
          <w:tcPr>
            <w:tcW w:w="327"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D96ED3">
        <w:trPr>
          <w:trHeight w:val="543"/>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按文件要求数量</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52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52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27"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3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33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37"/>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年内</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52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52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27"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727"/>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按文件要求执行</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3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52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52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27"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784"/>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保障公共文化服务基本运行</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有效改善</w:t>
            </w:r>
          </w:p>
        </w:tc>
        <w:tc>
          <w:tcPr>
            <w:tcW w:w="52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52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27"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99"/>
        </w:trPr>
        <w:tc>
          <w:tcPr>
            <w:tcW w:w="93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服务对象满意度</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52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52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4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327"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33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99"/>
        </w:trPr>
        <w:tc>
          <w:tcPr>
            <w:tcW w:w="1272"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3728" w:type="pct"/>
            <w:gridSpan w:val="10"/>
            <w:tcBorders>
              <w:top w:val="single" w:sz="4" w:space="0" w:color="auto"/>
              <w:left w:val="single" w:sz="4" w:space="0" w:color="auto"/>
              <w:bottom w:val="single" w:sz="4" w:space="0" w:color="auto"/>
              <w:right w:val="single" w:sz="4" w:space="0" w:color="auto"/>
            </w:tcBorders>
            <w:vAlign w:val="center"/>
          </w:tcPr>
          <w:p w:rsidR="00D96ED3" w:rsidRDefault="00D96ED3">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D96ED3" w:rsidRDefault="00D96ED3">
      <w:pPr>
        <w:spacing w:line="560" w:lineRule="atLeast"/>
        <w:rPr>
          <w:rFonts w:ascii="微软雅黑" w:eastAsia="微软雅黑" w:hAnsi="微软雅黑" w:cs="微软雅黑"/>
          <w:b/>
          <w:bCs/>
          <w:color w:val="000000"/>
          <w:kern w:val="0"/>
          <w:sz w:val="40"/>
          <w:szCs w:val="40"/>
          <w:lang w:bidi="ar"/>
        </w:rPr>
      </w:pPr>
    </w:p>
    <w:p w:rsidR="00D96ED3" w:rsidRDefault="00D96ED3">
      <w:pPr>
        <w:spacing w:line="560" w:lineRule="atLeast"/>
        <w:jc w:val="center"/>
        <w:rPr>
          <w:rFonts w:ascii="Times New Roman" w:eastAsia="方正仿宋_GBK" w:hAnsi="Times New Roman"/>
          <w:sz w:val="32"/>
          <w:szCs w:val="32"/>
        </w:rPr>
      </w:pPr>
      <w:r>
        <w:rPr>
          <w:rFonts w:ascii="微软雅黑" w:eastAsia="微软雅黑" w:hAnsi="微软雅黑" w:cs="微软雅黑"/>
          <w:b/>
          <w:bCs/>
          <w:color w:val="000000"/>
          <w:kern w:val="0"/>
          <w:sz w:val="40"/>
          <w:szCs w:val="40"/>
          <w:lang w:bidi="ar"/>
        </w:rPr>
        <w:br w:type="page"/>
      </w:r>
      <w:r>
        <w:rPr>
          <w:rFonts w:ascii="微软雅黑" w:eastAsia="微软雅黑" w:hAnsi="微软雅黑" w:cs="微软雅黑" w:hint="eastAsia"/>
          <w:b/>
          <w:bCs/>
          <w:color w:val="000000"/>
          <w:kern w:val="0"/>
          <w:sz w:val="40"/>
          <w:szCs w:val="40"/>
          <w:lang w:bidi="ar"/>
        </w:rPr>
        <w:lastRenderedPageBreak/>
        <w:t>2022</w:t>
      </w:r>
      <w:r w:rsidR="0021050A">
        <w:rPr>
          <w:rFonts w:ascii="微软雅黑" w:eastAsia="微软雅黑" w:hAnsi="微软雅黑" w:cs="微软雅黑" w:hint="eastAsia"/>
          <w:b/>
          <w:bCs/>
          <w:color w:val="000000"/>
          <w:kern w:val="0"/>
          <w:sz w:val="40"/>
          <w:szCs w:val="40"/>
          <w:lang w:bidi="ar"/>
        </w:rPr>
        <w:t>年度</w:t>
      </w:r>
      <w:r>
        <w:rPr>
          <w:rFonts w:ascii="微软雅黑" w:eastAsia="微软雅黑" w:hAnsi="微软雅黑" w:cs="微软雅黑" w:hint="eastAsia"/>
          <w:b/>
          <w:bCs/>
          <w:color w:val="000000"/>
          <w:kern w:val="0"/>
          <w:sz w:val="40"/>
          <w:szCs w:val="40"/>
          <w:lang w:bidi="ar"/>
        </w:rPr>
        <w:t>项目绩效自评表</w:t>
      </w:r>
    </w:p>
    <w:tbl>
      <w:tblPr>
        <w:tblW w:w="4963" w:type="pct"/>
        <w:tblInd w:w="0" w:type="dxa"/>
        <w:tblLook w:val="0000" w:firstRow="0" w:lastRow="0" w:firstColumn="0" w:lastColumn="0" w:noHBand="0" w:noVBand="0"/>
      </w:tblPr>
      <w:tblGrid>
        <w:gridCol w:w="1101"/>
        <w:gridCol w:w="923"/>
        <w:gridCol w:w="541"/>
        <w:gridCol w:w="619"/>
        <w:gridCol w:w="1045"/>
        <w:gridCol w:w="851"/>
        <w:gridCol w:w="619"/>
        <w:gridCol w:w="378"/>
        <w:gridCol w:w="471"/>
        <w:gridCol w:w="854"/>
        <w:gridCol w:w="739"/>
        <w:gridCol w:w="853"/>
      </w:tblGrid>
      <w:tr w:rsidR="00D96ED3">
        <w:trPr>
          <w:trHeight w:val="300"/>
        </w:trPr>
        <w:tc>
          <w:tcPr>
            <w:tcW w:w="5000" w:type="pct"/>
            <w:gridSpan w:val="12"/>
            <w:tcBorders>
              <w:top w:val="nil"/>
              <w:left w:val="nil"/>
              <w:bottom w:val="single" w:sz="4" w:space="0" w:color="auto"/>
              <w:right w:val="nil"/>
            </w:tcBorders>
            <w:noWrap/>
            <w:vAlign w:val="center"/>
          </w:tcPr>
          <w:p w:rsidR="00D96ED3" w:rsidRDefault="00D96ED3">
            <w:pPr>
              <w:widowControl/>
              <w:ind w:firstLineChars="100" w:firstLine="161"/>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单位：元</w:t>
            </w:r>
          </w:p>
        </w:tc>
      </w:tr>
      <w:tr w:rsidR="00D96ED3">
        <w:trPr>
          <w:trHeight w:val="43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项目名称：</w:t>
            </w:r>
          </w:p>
        </w:tc>
        <w:tc>
          <w:tcPr>
            <w:tcW w:w="81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中心综合楼运行管理</w:t>
            </w:r>
          </w:p>
        </w:tc>
        <w:tc>
          <w:tcPr>
            <w:tcW w:w="34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项目编码：</w:t>
            </w:r>
          </w:p>
        </w:tc>
        <w:tc>
          <w:tcPr>
            <w:tcW w:w="105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50011222T000000071364</w:t>
            </w:r>
          </w:p>
        </w:tc>
        <w:tc>
          <w:tcPr>
            <w:tcW w:w="3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自评总分：</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100.00</w:t>
            </w:r>
          </w:p>
        </w:tc>
        <w:tc>
          <w:tcPr>
            <w:tcW w:w="474"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right"/>
              <w:rPr>
                <w:rFonts w:ascii="宋体" w:hAnsi="宋体" w:cs="宋体" w:hint="eastAsia"/>
                <w:b/>
                <w:bCs/>
                <w:color w:val="000000"/>
                <w:sz w:val="16"/>
                <w:szCs w:val="16"/>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450"/>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项目主管部门：</w:t>
            </w:r>
          </w:p>
        </w:tc>
        <w:tc>
          <w:tcPr>
            <w:tcW w:w="81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907-重庆市渝北区人民政府龙塔街道办事处</w:t>
            </w:r>
          </w:p>
        </w:tc>
        <w:tc>
          <w:tcPr>
            <w:tcW w:w="34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财政归口处室：</w:t>
            </w:r>
          </w:p>
        </w:tc>
        <w:tc>
          <w:tcPr>
            <w:tcW w:w="105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002-预算科</w:t>
            </w:r>
          </w:p>
        </w:tc>
        <w:tc>
          <w:tcPr>
            <w:tcW w:w="3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部门联系人：</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左姗</w:t>
            </w:r>
          </w:p>
        </w:tc>
        <w:tc>
          <w:tcPr>
            <w:tcW w:w="47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联系电话：</w:t>
            </w:r>
          </w:p>
        </w:tc>
        <w:tc>
          <w:tcPr>
            <w:tcW w:w="886"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86812427</w:t>
            </w:r>
          </w:p>
        </w:tc>
      </w:tr>
      <w:tr w:rsidR="00D96ED3">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资金情况</w:t>
            </w:r>
          </w:p>
        </w:tc>
      </w:tr>
      <w:tr w:rsidR="00D96ED3">
        <w:trPr>
          <w:trHeight w:val="300"/>
        </w:trPr>
        <w:tc>
          <w:tcPr>
            <w:tcW w:w="1125"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center"/>
              <w:rPr>
                <w:rFonts w:ascii="宋体" w:hAnsi="宋体" w:cs="宋体" w:hint="eastAsia"/>
                <w:color w:val="000000"/>
                <w:sz w:val="16"/>
                <w:szCs w:val="16"/>
              </w:rPr>
            </w:pPr>
          </w:p>
        </w:tc>
        <w:tc>
          <w:tcPr>
            <w:tcW w:w="64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年初预算数</w:t>
            </w:r>
          </w:p>
        </w:tc>
        <w:tc>
          <w:tcPr>
            <w:tcW w:w="105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全年（调整）预算数</w:t>
            </w:r>
          </w:p>
        </w:tc>
        <w:tc>
          <w:tcPr>
            <w:tcW w:w="55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全年执行数</w:t>
            </w:r>
          </w:p>
        </w:tc>
        <w:tc>
          <w:tcPr>
            <w:tcW w:w="73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w:t>
            </w:r>
          </w:p>
        </w:tc>
        <w:tc>
          <w:tcPr>
            <w:tcW w:w="41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执行率权重</w:t>
            </w:r>
          </w:p>
        </w:tc>
        <w:tc>
          <w:tcPr>
            <w:tcW w:w="47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执行率得分</w:t>
            </w:r>
          </w:p>
        </w:tc>
      </w:tr>
      <w:tr w:rsidR="00D96ED3">
        <w:trPr>
          <w:trHeight w:val="300"/>
        </w:trPr>
        <w:tc>
          <w:tcPr>
            <w:tcW w:w="1125"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年度总金额</w:t>
            </w:r>
          </w:p>
        </w:tc>
        <w:tc>
          <w:tcPr>
            <w:tcW w:w="64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300000</w:t>
            </w:r>
          </w:p>
        </w:tc>
        <w:tc>
          <w:tcPr>
            <w:tcW w:w="105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270245.2</w:t>
            </w:r>
          </w:p>
        </w:tc>
        <w:tc>
          <w:tcPr>
            <w:tcW w:w="55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270245.2</w:t>
            </w:r>
          </w:p>
        </w:tc>
        <w:tc>
          <w:tcPr>
            <w:tcW w:w="73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300"/>
        </w:trPr>
        <w:tc>
          <w:tcPr>
            <w:tcW w:w="1125"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其中：财政拨款</w:t>
            </w:r>
          </w:p>
        </w:tc>
        <w:tc>
          <w:tcPr>
            <w:tcW w:w="64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300000</w:t>
            </w:r>
          </w:p>
        </w:tc>
        <w:tc>
          <w:tcPr>
            <w:tcW w:w="105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270245.2</w:t>
            </w:r>
          </w:p>
        </w:tc>
        <w:tc>
          <w:tcPr>
            <w:tcW w:w="55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270245.2</w:t>
            </w:r>
          </w:p>
        </w:tc>
        <w:tc>
          <w:tcPr>
            <w:tcW w:w="73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41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w:t>
            </w:r>
          </w:p>
        </w:tc>
        <w:tc>
          <w:tcPr>
            <w:tcW w:w="475"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r>
      <w:tr w:rsidR="00D96ED3">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绩效目标</w:t>
            </w:r>
          </w:p>
        </w:tc>
      </w:tr>
      <w:tr w:rsidR="00D96ED3">
        <w:trPr>
          <w:trHeight w:val="300"/>
        </w:trPr>
        <w:tc>
          <w:tcPr>
            <w:tcW w:w="1770" w:type="pct"/>
            <w:gridSpan w:val="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年初绩效目标</w:t>
            </w:r>
          </w:p>
        </w:tc>
        <w:tc>
          <w:tcPr>
            <w:tcW w:w="1608" w:type="pct"/>
            <w:gridSpan w:val="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全年（调整）绩效目标</w:t>
            </w:r>
          </w:p>
        </w:tc>
        <w:tc>
          <w:tcPr>
            <w:tcW w:w="1623" w:type="pct"/>
            <w:gridSpan w:val="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全年目标实际完成情况</w:t>
            </w:r>
          </w:p>
        </w:tc>
      </w:tr>
      <w:tr w:rsidR="00D96ED3">
        <w:trPr>
          <w:trHeight w:val="645"/>
        </w:trPr>
        <w:tc>
          <w:tcPr>
            <w:tcW w:w="1770" w:type="pct"/>
            <w:gridSpan w:val="4"/>
            <w:tcBorders>
              <w:top w:val="single" w:sz="4" w:space="0" w:color="auto"/>
              <w:left w:val="single" w:sz="4" w:space="0" w:color="auto"/>
              <w:bottom w:val="single" w:sz="4" w:space="0" w:color="auto"/>
              <w:right w:val="single" w:sz="4" w:space="0" w:color="auto"/>
            </w:tcBorders>
          </w:tcPr>
          <w:p w:rsidR="00D96ED3" w:rsidRDefault="00D96ED3">
            <w:pPr>
              <w:widowControl/>
              <w:spacing w:line="240" w:lineRule="exact"/>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1.保安服务外包费15万元（此费用为人员基本支出）；2.综合楼水电费4万（此费用为综合楼运行基本支出）；3.五金日用品3万；4.搬运人工费1万；5.建筑物附属设施设备修缮4万；6.迎接检查产生费用（采购、宣传等）3万；保障文化中心综合楼健康高效运行。</w:t>
            </w:r>
          </w:p>
        </w:tc>
        <w:tc>
          <w:tcPr>
            <w:tcW w:w="1608" w:type="pct"/>
            <w:gridSpan w:val="4"/>
            <w:tcBorders>
              <w:top w:val="single" w:sz="4" w:space="0" w:color="auto"/>
              <w:left w:val="single" w:sz="4" w:space="0" w:color="auto"/>
              <w:bottom w:val="single" w:sz="4" w:space="0" w:color="auto"/>
              <w:right w:val="single" w:sz="4" w:space="0" w:color="auto"/>
            </w:tcBorders>
          </w:tcPr>
          <w:p w:rsidR="00D96ED3" w:rsidRDefault="00D96ED3">
            <w:pPr>
              <w:spacing w:line="240" w:lineRule="exact"/>
              <w:jc w:val="left"/>
              <w:rPr>
                <w:rFonts w:ascii="宋体" w:hAnsi="宋体" w:cs="宋体" w:hint="eastAsia"/>
                <w:color w:val="000000"/>
                <w:sz w:val="16"/>
                <w:szCs w:val="16"/>
              </w:rPr>
            </w:pPr>
          </w:p>
        </w:tc>
        <w:tc>
          <w:tcPr>
            <w:tcW w:w="1623" w:type="pct"/>
            <w:gridSpan w:val="4"/>
            <w:tcBorders>
              <w:top w:val="single" w:sz="4" w:space="0" w:color="auto"/>
              <w:left w:val="single" w:sz="4" w:space="0" w:color="auto"/>
              <w:bottom w:val="single" w:sz="4" w:space="0" w:color="auto"/>
              <w:right w:val="single" w:sz="4" w:space="0" w:color="auto"/>
            </w:tcBorders>
          </w:tcPr>
          <w:p w:rsidR="00D96ED3" w:rsidRDefault="00D96ED3">
            <w:pPr>
              <w:widowControl/>
              <w:spacing w:line="240" w:lineRule="exact"/>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保障了综合楼的正常运行</w:t>
            </w:r>
          </w:p>
        </w:tc>
      </w:tr>
      <w:tr w:rsidR="00D96ED3">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绩效指标</w:t>
            </w:r>
          </w:p>
        </w:tc>
      </w:tr>
      <w:tr w:rsidR="00D96ED3">
        <w:trPr>
          <w:trHeight w:val="43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指标名称</w:t>
            </w:r>
          </w:p>
        </w:tc>
        <w:tc>
          <w:tcPr>
            <w:tcW w:w="51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计量单位</w:t>
            </w:r>
          </w:p>
        </w:tc>
        <w:tc>
          <w:tcPr>
            <w:tcW w:w="30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指标性质</w:t>
            </w:r>
          </w:p>
        </w:tc>
        <w:tc>
          <w:tcPr>
            <w:tcW w:w="34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指标值</w:t>
            </w:r>
          </w:p>
        </w:tc>
        <w:tc>
          <w:tcPr>
            <w:tcW w:w="58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全年完成值</w:t>
            </w:r>
          </w:p>
        </w:tc>
        <w:tc>
          <w:tcPr>
            <w:tcW w:w="47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偏离度（%）</w:t>
            </w:r>
          </w:p>
        </w:tc>
        <w:tc>
          <w:tcPr>
            <w:tcW w:w="3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得分系数（%）</w:t>
            </w:r>
          </w:p>
        </w:tc>
        <w:tc>
          <w:tcPr>
            <w:tcW w:w="2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指标权重</w:t>
            </w:r>
          </w:p>
        </w:tc>
        <w:tc>
          <w:tcPr>
            <w:tcW w:w="26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指标得分</w:t>
            </w:r>
          </w:p>
        </w:tc>
        <w:tc>
          <w:tcPr>
            <w:tcW w:w="47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是否核心指标</w:t>
            </w:r>
          </w:p>
        </w:tc>
        <w:tc>
          <w:tcPr>
            <w:tcW w:w="41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说明</w:t>
            </w:r>
          </w:p>
        </w:tc>
        <w:tc>
          <w:tcPr>
            <w:tcW w:w="47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市财政局建议</w:t>
            </w:r>
          </w:p>
        </w:tc>
      </w:tr>
      <w:tr w:rsidR="00D96ED3">
        <w:trPr>
          <w:trHeight w:val="43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一个中心综合楼运行维护</w:t>
            </w:r>
          </w:p>
        </w:tc>
        <w:tc>
          <w:tcPr>
            <w:tcW w:w="51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30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34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58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47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21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262"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474"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43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2022年内完成</w:t>
            </w:r>
          </w:p>
        </w:tc>
        <w:tc>
          <w:tcPr>
            <w:tcW w:w="51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30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34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p>
        </w:tc>
        <w:tc>
          <w:tcPr>
            <w:tcW w:w="58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p>
        </w:tc>
        <w:tc>
          <w:tcPr>
            <w:tcW w:w="47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21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262"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474"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43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控制在预算数内完成</w:t>
            </w:r>
          </w:p>
        </w:tc>
        <w:tc>
          <w:tcPr>
            <w:tcW w:w="51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30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34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30000</w:t>
            </w:r>
          </w:p>
        </w:tc>
        <w:tc>
          <w:tcPr>
            <w:tcW w:w="581"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30000</w:t>
            </w:r>
          </w:p>
        </w:tc>
        <w:tc>
          <w:tcPr>
            <w:tcW w:w="473"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21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262"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474"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noWrap/>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64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为群众提供业余文化活动场所</w:t>
            </w:r>
          </w:p>
        </w:tc>
        <w:tc>
          <w:tcPr>
            <w:tcW w:w="51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30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34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良</w:t>
            </w:r>
          </w:p>
        </w:tc>
        <w:tc>
          <w:tcPr>
            <w:tcW w:w="58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47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2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26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474"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64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持续为群众提供文化活动场所</w:t>
            </w:r>
          </w:p>
        </w:tc>
        <w:tc>
          <w:tcPr>
            <w:tcW w:w="51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30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34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良</w:t>
            </w:r>
          </w:p>
        </w:tc>
        <w:tc>
          <w:tcPr>
            <w:tcW w:w="58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47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2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26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474"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285"/>
        </w:trPr>
        <w:tc>
          <w:tcPr>
            <w:tcW w:w="61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51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30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34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581"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w:t>
            </w:r>
          </w:p>
        </w:tc>
        <w:tc>
          <w:tcPr>
            <w:tcW w:w="473"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2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26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474"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r>
      <w:tr w:rsidR="00D96ED3">
        <w:trPr>
          <w:trHeight w:val="645"/>
        </w:trPr>
        <w:tc>
          <w:tcPr>
            <w:tcW w:w="1125"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未完成绩效目标或偏离较多的原因、改进措施及其他说明</w:t>
            </w:r>
          </w:p>
        </w:tc>
        <w:tc>
          <w:tcPr>
            <w:tcW w:w="3875" w:type="pct"/>
            <w:gridSpan w:val="10"/>
            <w:tcBorders>
              <w:top w:val="single" w:sz="4" w:space="0" w:color="auto"/>
              <w:left w:val="single" w:sz="4" w:space="0" w:color="auto"/>
              <w:bottom w:val="single" w:sz="4" w:space="0" w:color="auto"/>
              <w:right w:val="single" w:sz="4" w:space="0" w:color="auto"/>
            </w:tcBorders>
            <w:vAlign w:val="center"/>
          </w:tcPr>
          <w:p w:rsidR="00D96ED3" w:rsidRDefault="00D96ED3">
            <w:pPr>
              <w:spacing w:line="240" w:lineRule="exact"/>
              <w:jc w:val="left"/>
              <w:rPr>
                <w:rFonts w:ascii="宋体" w:hAnsi="宋体" w:cs="宋体" w:hint="eastAsia"/>
                <w:color w:val="000000"/>
                <w:sz w:val="16"/>
                <w:szCs w:val="16"/>
              </w:rPr>
            </w:pPr>
          </w:p>
        </w:tc>
      </w:tr>
    </w:tbl>
    <w:p w:rsidR="00D96ED3" w:rsidRDefault="00D96ED3">
      <w:pPr>
        <w:rPr>
          <w:rFonts w:ascii="微软雅黑" w:eastAsia="微软雅黑" w:hAnsi="微软雅黑" w:cs="宋体"/>
          <w:b/>
          <w:bCs/>
          <w:color w:val="000000"/>
          <w:kern w:val="0"/>
          <w:sz w:val="40"/>
          <w:szCs w:val="40"/>
        </w:rPr>
      </w:pPr>
    </w:p>
    <w:p w:rsidR="00D96ED3" w:rsidRDefault="00D96ED3">
      <w:pPr>
        <w:jc w:val="center"/>
      </w:pPr>
      <w:r>
        <w:rPr>
          <w:rFonts w:ascii="微软雅黑" w:eastAsia="微软雅黑" w:hAnsi="微软雅黑" w:cs="宋体"/>
          <w:b/>
          <w:bCs/>
          <w:color w:val="000000"/>
          <w:kern w:val="0"/>
          <w:sz w:val="40"/>
          <w:szCs w:val="40"/>
        </w:rPr>
        <w:br w:type="page"/>
      </w:r>
      <w:r>
        <w:rPr>
          <w:rFonts w:ascii="微软雅黑" w:eastAsia="微软雅黑" w:hAnsi="微软雅黑" w:cs="宋体" w:hint="eastAsia"/>
          <w:b/>
          <w:bCs/>
          <w:color w:val="000000"/>
          <w:kern w:val="0"/>
          <w:sz w:val="40"/>
          <w:szCs w:val="40"/>
        </w:rPr>
        <w:lastRenderedPageBreak/>
        <w:t>2022</w:t>
      </w:r>
      <w:r w:rsidR="0021050A">
        <w:rPr>
          <w:rFonts w:ascii="微软雅黑" w:eastAsia="微软雅黑" w:hAnsi="微软雅黑" w:cs="宋体" w:hint="eastAsia"/>
          <w:b/>
          <w:bCs/>
          <w:color w:val="000000"/>
          <w:kern w:val="0"/>
          <w:sz w:val="40"/>
          <w:szCs w:val="40"/>
        </w:rPr>
        <w:t>年度</w:t>
      </w:r>
      <w:r>
        <w:rPr>
          <w:rFonts w:ascii="微软雅黑" w:eastAsia="微软雅黑" w:hAnsi="微软雅黑" w:cs="宋体" w:hint="eastAsia"/>
          <w:b/>
          <w:bCs/>
          <w:color w:val="000000"/>
          <w:kern w:val="0"/>
          <w:sz w:val="40"/>
          <w:szCs w:val="40"/>
        </w:rPr>
        <w:t>项目绩效自评表</w:t>
      </w:r>
    </w:p>
    <w:tbl>
      <w:tblPr>
        <w:tblW w:w="5315" w:type="pct"/>
        <w:tblInd w:w="0" w:type="dxa"/>
        <w:tblLayout w:type="fixed"/>
        <w:tblLook w:val="0000" w:firstRow="0" w:lastRow="0" w:firstColumn="0" w:lastColumn="0" w:noHBand="0" w:noVBand="0"/>
      </w:tblPr>
      <w:tblGrid>
        <w:gridCol w:w="1242"/>
        <w:gridCol w:w="479"/>
        <w:gridCol w:w="344"/>
        <w:gridCol w:w="597"/>
        <w:gridCol w:w="871"/>
        <w:gridCol w:w="688"/>
        <w:gridCol w:w="39"/>
        <w:gridCol w:w="536"/>
        <w:gridCol w:w="345"/>
        <w:gridCol w:w="345"/>
        <w:gridCol w:w="470"/>
        <w:gridCol w:w="676"/>
        <w:gridCol w:w="2657"/>
        <w:gridCol w:w="343"/>
      </w:tblGrid>
      <w:tr w:rsidR="00D96ED3">
        <w:trPr>
          <w:trHeight w:val="300"/>
        </w:trPr>
        <w:tc>
          <w:tcPr>
            <w:tcW w:w="5000" w:type="pct"/>
            <w:gridSpan w:val="1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ind w:firstLineChars="100" w:firstLine="161"/>
              <w:jc w:val="right"/>
              <w:rPr>
                <w:rFonts w:ascii="宋体" w:hAnsi="宋体" w:cs="宋体"/>
                <w:b/>
                <w:bCs/>
                <w:color w:val="000000"/>
                <w:kern w:val="0"/>
                <w:sz w:val="16"/>
                <w:szCs w:val="16"/>
              </w:rPr>
            </w:pPr>
            <w:r>
              <w:rPr>
                <w:rFonts w:ascii="宋体" w:hAnsi="宋体" w:cs="宋体" w:hint="eastAsia"/>
                <w:b/>
                <w:bCs/>
                <w:color w:val="000000"/>
                <w:kern w:val="0"/>
                <w:sz w:val="16"/>
                <w:szCs w:val="16"/>
              </w:rPr>
              <w:t>单位：元</w:t>
            </w:r>
          </w:p>
        </w:tc>
      </w:tr>
      <w:tr w:rsidR="00D96ED3">
        <w:trPr>
          <w:trHeight w:val="435"/>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群众文化体育活动</w:t>
            </w:r>
          </w:p>
        </w:tc>
        <w:tc>
          <w:tcPr>
            <w:tcW w:w="3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项目编码：</w:t>
            </w:r>
          </w:p>
        </w:tc>
        <w:tc>
          <w:tcPr>
            <w:tcW w:w="829" w:type="pct"/>
            <w:gridSpan w:val="3"/>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50011222T000000071361</w:t>
            </w:r>
          </w:p>
        </w:tc>
        <w:tc>
          <w:tcPr>
            <w:tcW w:w="2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80.00</w:t>
            </w:r>
          </w:p>
        </w:tc>
        <w:tc>
          <w:tcPr>
            <w:tcW w:w="2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908" w:type="pct"/>
            <w:gridSpan w:val="3"/>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5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907-重庆市渝北区人民政府龙塔街道办事处</w:t>
            </w:r>
          </w:p>
        </w:tc>
        <w:tc>
          <w:tcPr>
            <w:tcW w:w="3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829" w:type="pct"/>
            <w:gridSpan w:val="3"/>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002-预算科</w:t>
            </w:r>
          </w:p>
        </w:tc>
        <w:tc>
          <w:tcPr>
            <w:tcW w:w="2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左姗</w:t>
            </w:r>
          </w:p>
        </w:tc>
        <w:tc>
          <w:tcPr>
            <w:tcW w:w="2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908" w:type="pct"/>
            <w:gridSpan w:val="3"/>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86812427</w:t>
            </w:r>
          </w:p>
        </w:tc>
      </w:tr>
      <w:tr w:rsidR="00D96ED3">
        <w:trPr>
          <w:trHeight w:val="300"/>
        </w:trPr>
        <w:tc>
          <w:tcPr>
            <w:tcW w:w="5000" w:type="pct"/>
            <w:gridSpan w:val="1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D96ED3">
        <w:trPr>
          <w:trHeight w:val="300"/>
        </w:trPr>
        <w:tc>
          <w:tcPr>
            <w:tcW w:w="89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829" w:type="pct"/>
            <w:gridSpan w:val="3"/>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423"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1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D96ED3">
        <w:trPr>
          <w:trHeight w:val="300"/>
        </w:trPr>
        <w:tc>
          <w:tcPr>
            <w:tcW w:w="89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489"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500000</w:t>
            </w:r>
          </w:p>
        </w:tc>
        <w:tc>
          <w:tcPr>
            <w:tcW w:w="829" w:type="pct"/>
            <w:gridSpan w:val="3"/>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185047.95</w:t>
            </w:r>
          </w:p>
        </w:tc>
        <w:tc>
          <w:tcPr>
            <w:tcW w:w="45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185047.95</w:t>
            </w:r>
          </w:p>
        </w:tc>
        <w:tc>
          <w:tcPr>
            <w:tcW w:w="423"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300"/>
        </w:trPr>
        <w:tc>
          <w:tcPr>
            <w:tcW w:w="894"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489"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500000</w:t>
            </w:r>
          </w:p>
        </w:tc>
        <w:tc>
          <w:tcPr>
            <w:tcW w:w="829" w:type="pct"/>
            <w:gridSpan w:val="3"/>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185047.95</w:t>
            </w:r>
          </w:p>
        </w:tc>
        <w:tc>
          <w:tcPr>
            <w:tcW w:w="45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185047.95</w:t>
            </w:r>
          </w:p>
        </w:tc>
        <w:tc>
          <w:tcPr>
            <w:tcW w:w="423"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730"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10.00</w:t>
            </w:r>
          </w:p>
        </w:tc>
        <w:tc>
          <w:tcPr>
            <w:tcW w:w="1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w:t>
            </w:r>
          </w:p>
        </w:tc>
      </w:tr>
      <w:tr w:rsidR="00D96ED3">
        <w:trPr>
          <w:trHeight w:val="300"/>
        </w:trPr>
        <w:tc>
          <w:tcPr>
            <w:tcW w:w="5000" w:type="pct"/>
            <w:gridSpan w:val="1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D96ED3">
        <w:trPr>
          <w:trHeight w:val="300"/>
        </w:trPr>
        <w:tc>
          <w:tcPr>
            <w:tcW w:w="2192" w:type="pct"/>
            <w:gridSpan w:val="6"/>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251" w:type="pct"/>
            <w:gridSpan w:val="6"/>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155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D96ED3">
        <w:trPr>
          <w:trHeight w:val="645"/>
        </w:trPr>
        <w:tc>
          <w:tcPr>
            <w:tcW w:w="2192" w:type="pct"/>
            <w:gridSpan w:val="6"/>
            <w:tcBorders>
              <w:top w:val="single" w:sz="4" w:space="0" w:color="auto"/>
              <w:left w:val="single" w:sz="4" w:space="0" w:color="auto"/>
              <w:bottom w:val="single" w:sz="4" w:space="0" w:color="auto"/>
              <w:right w:val="single" w:sz="4" w:space="0" w:color="auto"/>
            </w:tcBorders>
          </w:tcPr>
          <w:p w:rsidR="00D96ED3" w:rsidRDefault="00D96ED3">
            <w:pPr>
              <w:widowControl/>
              <w:spacing w:after="240" w:line="240" w:lineRule="exact"/>
              <w:jc w:val="left"/>
              <w:rPr>
                <w:rFonts w:ascii="宋体" w:hAnsi="宋体" w:cs="宋体"/>
                <w:color w:val="000000"/>
                <w:kern w:val="0"/>
                <w:sz w:val="16"/>
                <w:szCs w:val="16"/>
              </w:rPr>
            </w:pPr>
            <w:r>
              <w:rPr>
                <w:rFonts w:ascii="宋体" w:hAnsi="宋体" w:cs="宋体" w:hint="eastAsia"/>
                <w:color w:val="000000"/>
                <w:kern w:val="0"/>
                <w:sz w:val="16"/>
                <w:szCs w:val="16"/>
              </w:rPr>
              <w:t>举办各类群众文体活动、全民阅读、展览、培训、文艺创作、文艺下基层、健身器材维修等以及组织人员参加上级单位主办的各类文体活动所涉及的舞台、音响、灯光、搬运、奖金、评委、宣传、教师及人员服装、补助、差旅等支出；完成上述计划活动，提高群众参与率和满意率。</w:t>
            </w:r>
          </w:p>
        </w:tc>
        <w:tc>
          <w:tcPr>
            <w:tcW w:w="1251" w:type="pct"/>
            <w:gridSpan w:val="6"/>
            <w:tcBorders>
              <w:top w:val="single" w:sz="4" w:space="0" w:color="auto"/>
              <w:left w:val="single" w:sz="4" w:space="0" w:color="auto"/>
              <w:bottom w:val="single" w:sz="4" w:space="0" w:color="auto"/>
              <w:right w:val="single" w:sz="4" w:space="0" w:color="auto"/>
            </w:tcBorders>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57" w:type="pct"/>
            <w:gridSpan w:val="2"/>
            <w:tcBorders>
              <w:top w:val="single" w:sz="4" w:space="0" w:color="auto"/>
              <w:left w:val="single" w:sz="4" w:space="0" w:color="auto"/>
              <w:bottom w:val="single" w:sz="4" w:space="0" w:color="auto"/>
              <w:right w:val="single" w:sz="4" w:space="0" w:color="auto"/>
            </w:tcBorders>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由于2022年疫情影响，下半年大部分活动未能如期开展</w:t>
            </w:r>
          </w:p>
        </w:tc>
      </w:tr>
      <w:tr w:rsidR="00D96ED3">
        <w:trPr>
          <w:trHeight w:val="300"/>
        </w:trPr>
        <w:tc>
          <w:tcPr>
            <w:tcW w:w="5000" w:type="pct"/>
            <w:gridSpan w:val="14"/>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D96ED3">
        <w:trPr>
          <w:trHeight w:val="42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24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3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45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p>
        </w:tc>
        <w:tc>
          <w:tcPr>
            <w:tcW w:w="2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2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1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市财政局建议</w:t>
            </w:r>
          </w:p>
        </w:tc>
      </w:tr>
      <w:tr w:rsidR="00D96ED3">
        <w:trPr>
          <w:trHeight w:val="84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文体活动10场；展览5场；全民阅读4场；培训5场</w:t>
            </w:r>
          </w:p>
        </w:tc>
        <w:tc>
          <w:tcPr>
            <w:tcW w:w="24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1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24</w:t>
            </w:r>
          </w:p>
        </w:tc>
        <w:tc>
          <w:tcPr>
            <w:tcW w:w="452"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18</w:t>
            </w:r>
          </w:p>
        </w:tc>
        <w:tc>
          <w:tcPr>
            <w:tcW w:w="37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25</w:t>
            </w:r>
          </w:p>
        </w:tc>
        <w:tc>
          <w:tcPr>
            <w:tcW w:w="2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4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由于2022年疫情影响，下半年大部分活动未能如期开展</w:t>
            </w:r>
          </w:p>
        </w:tc>
        <w:tc>
          <w:tcPr>
            <w:tcW w:w="1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2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2022年内完成</w:t>
            </w:r>
          </w:p>
        </w:tc>
        <w:tc>
          <w:tcPr>
            <w:tcW w:w="24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1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52"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37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4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27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控制在预算内</w:t>
            </w:r>
          </w:p>
        </w:tc>
        <w:tc>
          <w:tcPr>
            <w:tcW w:w="24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10"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500000</w:t>
            </w:r>
          </w:p>
        </w:tc>
        <w:tc>
          <w:tcPr>
            <w:tcW w:w="452"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185047.95</w:t>
            </w:r>
          </w:p>
        </w:tc>
        <w:tc>
          <w:tcPr>
            <w:tcW w:w="377"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62.99</w:t>
            </w:r>
          </w:p>
        </w:tc>
        <w:tc>
          <w:tcPr>
            <w:tcW w:w="2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79"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44"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由于2022年疫情影响，下半年大部分活动未能如期开展</w:t>
            </w:r>
          </w:p>
        </w:tc>
        <w:tc>
          <w:tcPr>
            <w:tcW w:w="178" w:type="pct"/>
            <w:tcBorders>
              <w:top w:val="single" w:sz="4" w:space="0" w:color="auto"/>
              <w:left w:val="single" w:sz="4" w:space="0" w:color="auto"/>
              <w:bottom w:val="single" w:sz="4" w:space="0" w:color="auto"/>
              <w:right w:val="single" w:sz="4" w:space="0" w:color="auto"/>
            </w:tcBorders>
            <w:noWrap/>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2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丰富群众业余文化生活</w:t>
            </w:r>
          </w:p>
        </w:tc>
        <w:tc>
          <w:tcPr>
            <w:tcW w:w="24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良</w:t>
            </w:r>
          </w:p>
        </w:tc>
        <w:tc>
          <w:tcPr>
            <w:tcW w:w="45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2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lastRenderedPageBreak/>
              <w:t>提升群众幸福感</w:t>
            </w:r>
          </w:p>
        </w:tc>
        <w:tc>
          <w:tcPr>
            <w:tcW w:w="24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3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良</w:t>
            </w:r>
          </w:p>
        </w:tc>
        <w:tc>
          <w:tcPr>
            <w:tcW w:w="45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2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420"/>
        </w:trPr>
        <w:tc>
          <w:tcPr>
            <w:tcW w:w="645"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群众满意度大于80%</w:t>
            </w:r>
          </w:p>
        </w:tc>
        <w:tc>
          <w:tcPr>
            <w:tcW w:w="24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310"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452"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80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79"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44"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78" w:type="pct"/>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D96ED3">
        <w:trPr>
          <w:trHeight w:val="645"/>
        </w:trPr>
        <w:tc>
          <w:tcPr>
            <w:tcW w:w="894" w:type="pct"/>
            <w:gridSpan w:val="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4106" w:type="pct"/>
            <w:gridSpan w:val="12"/>
            <w:tcBorders>
              <w:top w:val="single" w:sz="4" w:space="0" w:color="auto"/>
              <w:left w:val="single" w:sz="4" w:space="0" w:color="auto"/>
              <w:bottom w:val="single" w:sz="4" w:space="0" w:color="auto"/>
              <w:right w:val="single" w:sz="4" w:space="0" w:color="auto"/>
            </w:tcBorders>
            <w:vAlign w:val="center"/>
          </w:tcPr>
          <w:p w:rsidR="00D96ED3" w:rsidRDefault="00D96ED3">
            <w:pPr>
              <w:widowControl/>
              <w:spacing w:line="240" w:lineRule="exact"/>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D96ED3" w:rsidRDefault="00D96ED3">
      <w:pPr>
        <w:spacing w:line="560" w:lineRule="atLeast"/>
        <w:rPr>
          <w:rFonts w:ascii="Times New Roman" w:eastAsia="方正仿宋_GBK" w:hAnsi="Times New Roman"/>
          <w:sz w:val="32"/>
          <w:szCs w:val="32"/>
        </w:rPr>
      </w:pPr>
    </w:p>
    <w:p w:rsidR="00D96ED3" w:rsidRDefault="00D96ED3">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部门绩效评价情况</w:t>
      </w:r>
    </w:p>
    <w:p w:rsidR="00D96ED3" w:rsidRDefault="00D96ED3">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本单位未委托第三方开展绩效自评。</w:t>
      </w:r>
    </w:p>
    <w:p w:rsidR="00D96ED3" w:rsidRDefault="00D96ED3">
      <w:pPr>
        <w:spacing w:line="560" w:lineRule="atLeas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（三）财政绩效评价情况</w:t>
      </w:r>
    </w:p>
    <w:p w:rsidR="00D96ED3" w:rsidRDefault="00D96ED3">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Fonts w:ascii="Times New Roman" w:eastAsia="方正仿宋_GBK" w:hAnsi="Times New Roman" w:hint="eastAsia"/>
          <w:sz w:val="32"/>
          <w:szCs w:val="32"/>
        </w:rPr>
        <w:t>本单位未有财政局委托第三方开展重点绩效评价的项目。</w:t>
      </w:r>
    </w:p>
    <w:p w:rsidR="00D96ED3" w:rsidRDefault="00D96ED3" w:rsidP="00A90A75">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六、专业名词解释</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（一）财政拨款收入：</w:t>
      </w:r>
      <w:r>
        <w:rPr>
          <w:rFonts w:ascii="Times New Roman" w:eastAsia="方正仿宋_GBK" w:hAnsi="Times New Roman"/>
          <w:kern w:val="2"/>
          <w:sz w:val="32"/>
          <w:szCs w:val="32"/>
        </w:rPr>
        <w:t>指本年度从本级财政部门取得的财政拨款，包括一般公共预算财政拨款和政府性基金预算财政拨款。</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（二）事业收入：</w:t>
      </w:r>
      <w:r>
        <w:rPr>
          <w:rFonts w:ascii="Times New Roman" w:eastAsia="方正仿宋_GBK" w:hAnsi="Times New Roman"/>
          <w:kern w:val="2"/>
          <w:sz w:val="32"/>
          <w:szCs w:val="32"/>
        </w:rPr>
        <w:t>指事业单位开展专业业务活动及其辅助活动取得的现金流入；事业单位收到的财政专户实际核拨的教育收费等资金在此反映</w:t>
      </w:r>
      <w:r>
        <w:rPr>
          <w:rFonts w:ascii="Times New Roman" w:hAnsi="Times New Roman"/>
        </w:rPr>
        <w:t>。</w:t>
      </w:r>
    </w:p>
    <w:p w:rsidR="00D96ED3" w:rsidRDefault="00D96ED3">
      <w:pPr>
        <w:pStyle w:val="a6"/>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（三）经营收入：</w:t>
      </w:r>
      <w:r>
        <w:rPr>
          <w:rFonts w:ascii="Times New Roman" w:eastAsia="方正仿宋_GBK" w:hAnsi="Times New Roman"/>
          <w:kern w:val="2"/>
          <w:sz w:val="32"/>
          <w:szCs w:val="32"/>
        </w:rPr>
        <w:t>指事业单位在专业业务活动及其辅助活动之外开展非独立核算经营活动取得的现金流入。</w:t>
      </w:r>
    </w:p>
    <w:p w:rsidR="00D96ED3" w:rsidRDefault="00D96ED3">
      <w:pPr>
        <w:pStyle w:val="a6"/>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（四）其他收入：</w:t>
      </w:r>
      <w:r>
        <w:rPr>
          <w:rFonts w:ascii="Times New Roman" w:eastAsia="方正仿宋_GBK" w:hAnsi="Times New Roman"/>
          <w:kern w:val="2"/>
          <w:sz w:val="32"/>
          <w:szCs w:val="32"/>
        </w:rPr>
        <w:t>指单位取得的除</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w:t>
      </w:r>
      <w:r>
        <w:rPr>
          <w:rFonts w:ascii="Times New Roman" w:eastAsia="方正仿宋_GBK" w:hAnsi="Times New Roman"/>
          <w:kern w:val="2"/>
          <w:sz w:val="32"/>
          <w:szCs w:val="32"/>
        </w:rPr>
        <w:lastRenderedPageBreak/>
        <w:t>级单位取得的经费、</w:t>
      </w:r>
      <w:r>
        <w:rPr>
          <w:rFonts w:ascii="方正仿宋_GBK" w:eastAsia="方正仿宋_GBK" w:hAnsi="方正仿宋_GBK" w:cs="方正仿宋_GBK" w:hint="eastAsia"/>
          <w:kern w:val="2"/>
          <w:sz w:val="32"/>
          <w:szCs w:val="32"/>
        </w:rPr>
        <w:t>从非本级</w:t>
      </w:r>
      <w:r>
        <w:rPr>
          <w:rFonts w:ascii="方正仿宋_GBK" w:eastAsia="方正仿宋_GBK" w:hAnsi="方正仿宋_GBK" w:cs="方正仿宋_GBK" w:hint="eastAsia"/>
          <w:sz w:val="32"/>
          <w:szCs w:val="32"/>
        </w:rPr>
        <w:t>财政部门取得的经费，以及行政单位收到的财政专户管理资金反映在本项内。</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（五）使用非财政拨款结余：</w:t>
      </w:r>
      <w:r>
        <w:rPr>
          <w:rFonts w:ascii="Times New Roman" w:eastAsia="方正仿宋_GBK" w:hAnsi="Times New Roman"/>
          <w:kern w:val="2"/>
          <w:sz w:val="32"/>
          <w:szCs w:val="32"/>
        </w:rPr>
        <w:t>指单位在当年的</w:t>
      </w:r>
      <w:r>
        <w:rPr>
          <w:rFonts w:ascii="Times New Roman" w:eastAsia="方正仿宋_GBK" w:hAnsi="Times New Roman"/>
          <w:kern w:val="2"/>
          <w:sz w:val="32"/>
          <w:szCs w:val="32"/>
        </w:rPr>
        <w:t>“</w:t>
      </w:r>
      <w:r>
        <w:rPr>
          <w:rFonts w:ascii="Times New Roman" w:eastAsia="方正仿宋_GBK" w:hAnsi="Times New Roman"/>
          <w:kern w:val="2"/>
          <w:sz w:val="32"/>
          <w:szCs w:val="32"/>
        </w:rPr>
        <w:t>财政拨款收入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事业收入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经营收入</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w:t>
      </w:r>
      <w:r>
        <w:rPr>
          <w:rFonts w:ascii="Times New Roman" w:eastAsia="方正仿宋_GBK" w:hAnsi="Times New Roman"/>
          <w:kern w:val="2"/>
          <w:sz w:val="32"/>
          <w:szCs w:val="32"/>
        </w:rPr>
        <w:t>其他收入</w:t>
      </w:r>
      <w:r>
        <w:rPr>
          <w:rFonts w:ascii="Times New Roman" w:eastAsia="方正仿宋_GBK" w:hAnsi="Times New Roman"/>
          <w:kern w:val="2"/>
          <w:sz w:val="32"/>
          <w:szCs w:val="32"/>
        </w:rPr>
        <w:t>”</w:t>
      </w:r>
      <w:r>
        <w:rPr>
          <w:rFonts w:ascii="Times New Roman" w:eastAsia="方正仿宋_GBK" w:hAnsi="Times New Roman"/>
          <w:kern w:val="2"/>
          <w:sz w:val="32"/>
          <w:szCs w:val="32"/>
        </w:rPr>
        <w:t>等不足以安排当年支出的情况下，使用以前年度积累的非财政拨款结余弥补本年度收支缺口的资金。</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（六）年初结转和结余：</w:t>
      </w:r>
      <w:r>
        <w:rPr>
          <w:rFonts w:ascii="Times New Roman" w:eastAsia="方正仿宋_GBK" w:hAnsi="Times New Roman"/>
          <w:kern w:val="2"/>
          <w:sz w:val="32"/>
          <w:szCs w:val="32"/>
        </w:rPr>
        <w:t>指单位上年结转本年使用的基本支出结转、项目支出结转和结余、经营结余。</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（七）结余分配：</w:t>
      </w:r>
      <w:r>
        <w:rPr>
          <w:rFonts w:ascii="Times New Roman" w:eastAsia="方正仿宋_GBK" w:hAnsi="Times New Roman"/>
          <w:kern w:val="2"/>
          <w:sz w:val="32"/>
          <w:szCs w:val="32"/>
        </w:rPr>
        <w:t>指单位按照国家有关规定，缴纳所得税、提取专用基金、转入非财政拨款结余等当年结余的分配情况。</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（八）年末结转和结余：</w:t>
      </w:r>
      <w:r>
        <w:rPr>
          <w:rFonts w:ascii="Times New Roman" w:eastAsia="方正仿宋_GBK" w:hAnsi="Times New Roman"/>
          <w:kern w:val="2"/>
          <w:sz w:val="32"/>
          <w:szCs w:val="32"/>
        </w:rPr>
        <w:t>指单位结转下年的基本支出结转、项目支出结转和结余、经营结余。</w:t>
      </w:r>
    </w:p>
    <w:p w:rsidR="00D96ED3" w:rsidRDefault="00D96ED3">
      <w:pPr>
        <w:pStyle w:val="a6"/>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（九）基本支出：</w:t>
      </w:r>
      <w:r>
        <w:rPr>
          <w:rFonts w:ascii="Times New Roman" w:eastAsia="方正仿宋_GBK" w:hAnsi="Times New Roman"/>
          <w:kern w:val="2"/>
          <w:sz w:val="32"/>
          <w:szCs w:val="32"/>
        </w:rPr>
        <w:t>指为保障机构正常运转、完成日常工作任务而发生的人员经费和公用经费。其中：人员经费指政府收支分类经济科目中的</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；公用经费指政府收支分类经济科目中除</w:t>
      </w:r>
      <w:r>
        <w:rPr>
          <w:rFonts w:ascii="Times New Roman" w:eastAsia="方正仿宋_GBK" w:hAnsi="Times New Roman"/>
          <w:kern w:val="2"/>
          <w:sz w:val="32"/>
          <w:szCs w:val="32"/>
        </w:rPr>
        <w:t>“</w:t>
      </w:r>
      <w:r>
        <w:rPr>
          <w:rFonts w:ascii="Times New Roman" w:eastAsia="方正仿宋_GBK" w:hAnsi="Times New Roman"/>
          <w:kern w:val="2"/>
          <w:sz w:val="32"/>
          <w:szCs w:val="32"/>
        </w:rPr>
        <w:t>工资福利支出</w:t>
      </w:r>
      <w:r>
        <w:rPr>
          <w:rFonts w:ascii="Times New Roman" w:eastAsia="方正仿宋_GBK" w:hAnsi="Times New Roman"/>
          <w:kern w:val="2"/>
          <w:sz w:val="32"/>
          <w:szCs w:val="32"/>
        </w:rPr>
        <w:t>”</w:t>
      </w:r>
      <w:r>
        <w:rPr>
          <w:rFonts w:ascii="Times New Roman" w:eastAsia="方正仿宋_GBK" w:hAnsi="Times New Roman"/>
          <w:kern w:val="2"/>
          <w:sz w:val="32"/>
          <w:szCs w:val="32"/>
        </w:rPr>
        <w:t>和</w:t>
      </w:r>
      <w:r>
        <w:rPr>
          <w:rFonts w:ascii="Times New Roman" w:eastAsia="方正仿宋_GBK" w:hAnsi="Times New Roman"/>
          <w:kern w:val="2"/>
          <w:sz w:val="32"/>
          <w:szCs w:val="32"/>
        </w:rPr>
        <w:t>“</w:t>
      </w:r>
      <w:r>
        <w:rPr>
          <w:rFonts w:ascii="Times New Roman" w:eastAsia="方正仿宋_GBK" w:hAnsi="Times New Roman"/>
          <w:kern w:val="2"/>
          <w:sz w:val="32"/>
          <w:szCs w:val="32"/>
        </w:rPr>
        <w:t>对个人和家庭的补助</w:t>
      </w:r>
      <w:r>
        <w:rPr>
          <w:rFonts w:ascii="Times New Roman" w:eastAsia="方正仿宋_GBK" w:hAnsi="Times New Roman"/>
          <w:kern w:val="2"/>
          <w:sz w:val="32"/>
          <w:szCs w:val="32"/>
        </w:rPr>
        <w:t>”</w:t>
      </w:r>
      <w:r>
        <w:rPr>
          <w:rFonts w:ascii="Times New Roman" w:eastAsia="方正仿宋_GBK" w:hAnsi="Times New Roman"/>
          <w:kern w:val="2"/>
          <w:sz w:val="32"/>
          <w:szCs w:val="32"/>
        </w:rPr>
        <w:t>外的其他支出。</w:t>
      </w:r>
    </w:p>
    <w:p w:rsidR="00D96ED3" w:rsidRDefault="00D96ED3">
      <w:pPr>
        <w:pStyle w:val="a6"/>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（十）项目支出：</w:t>
      </w:r>
      <w:r>
        <w:rPr>
          <w:rFonts w:ascii="Times New Roman" w:eastAsia="方正仿宋_GBK" w:hAnsi="Times New Roman"/>
          <w:kern w:val="2"/>
          <w:sz w:val="32"/>
          <w:szCs w:val="32"/>
        </w:rPr>
        <w:t>指在基本支出之外为完成特定行政任务和事业发展目标所发生的支出。</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（十一）经营支出：</w:t>
      </w:r>
      <w:r>
        <w:rPr>
          <w:rFonts w:ascii="Times New Roman" w:eastAsia="方正仿宋_GBK" w:hAnsi="Times New Roman"/>
          <w:kern w:val="2"/>
          <w:sz w:val="32"/>
          <w:szCs w:val="32"/>
        </w:rPr>
        <w:t>指事业单位在专业业务活动及其辅助活动之外开展非独立核算经营活动发生的支出。</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lastRenderedPageBreak/>
        <w:t>（十二）</w:t>
      </w:r>
      <w:r>
        <w:rPr>
          <w:rStyle w:val="a7"/>
          <w:rFonts w:ascii="Times New Roman" w:eastAsia="方正楷体_GBK" w:hAnsi="Times New Roman"/>
          <w:b w:val="0"/>
          <w:bCs/>
          <w:sz w:val="32"/>
          <w:szCs w:val="32"/>
        </w:rPr>
        <w:t>“</w:t>
      </w:r>
      <w:r>
        <w:rPr>
          <w:rStyle w:val="a7"/>
          <w:rFonts w:ascii="Times New Roman" w:eastAsia="方正楷体_GBK" w:hAnsi="Times New Roman"/>
          <w:b w:val="0"/>
          <w:bCs/>
          <w:sz w:val="32"/>
          <w:szCs w:val="32"/>
        </w:rPr>
        <w:t>三公</w:t>
      </w:r>
      <w:r>
        <w:rPr>
          <w:rStyle w:val="a7"/>
          <w:rFonts w:ascii="Times New Roman" w:eastAsia="方正楷体_GBK" w:hAnsi="Times New Roman"/>
          <w:b w:val="0"/>
          <w:bCs/>
          <w:sz w:val="32"/>
          <w:szCs w:val="32"/>
        </w:rPr>
        <w:t>”</w:t>
      </w:r>
      <w:r>
        <w:rPr>
          <w:rStyle w:val="a7"/>
          <w:rFonts w:ascii="Times New Roman" w:eastAsia="方正楷体_GBK" w:hAnsi="Times New Roman"/>
          <w:b w:val="0"/>
          <w:bCs/>
          <w:sz w:val="32"/>
          <w:szCs w:val="32"/>
        </w:rPr>
        <w:t>经费：</w:t>
      </w:r>
      <w:r>
        <w:rPr>
          <w:rFonts w:ascii="Times New Roman" w:eastAsia="方正仿宋_GBK" w:hAnsi="Times New Roman"/>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（十三）机关运行经费：</w:t>
      </w:r>
      <w:r>
        <w:rPr>
          <w:rFonts w:ascii="Times New Roman"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96ED3" w:rsidRDefault="00D96ED3">
      <w:pPr>
        <w:pStyle w:val="a6"/>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（十四）工资福利支出（支出经济分类科目类级）：</w:t>
      </w:r>
      <w:r>
        <w:rPr>
          <w:rFonts w:ascii="Times New Roman" w:eastAsia="方正仿宋_GBK" w:hAnsi="Times New Roman"/>
          <w:kern w:val="2"/>
          <w:sz w:val="32"/>
          <w:szCs w:val="32"/>
        </w:rPr>
        <w:t>反映单位开支的在职职工和编制外长期聘用人员的各类劳动报酬，以及为上述人员缴纳的各项社会保险费等。</w:t>
      </w:r>
    </w:p>
    <w:p w:rsidR="00D96ED3" w:rsidRDefault="00D96ED3">
      <w:pPr>
        <w:pStyle w:val="a6"/>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（十五）商品和服务支出（支出经济分类科目类级）：</w:t>
      </w:r>
      <w:r>
        <w:rPr>
          <w:rFonts w:ascii="Times New Roman" w:eastAsia="方正仿宋_GBK" w:hAnsi="Times New Roman"/>
          <w:kern w:val="2"/>
          <w:sz w:val="32"/>
          <w:szCs w:val="32"/>
        </w:rPr>
        <w:t>反映单位购买商品和服务的支出（不包括用于购置固定资产的支出、战略性和应急储备支出）。</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lastRenderedPageBreak/>
        <w:t>（十六）对个人和家庭的补助（支出经济分类科目类级）：</w:t>
      </w:r>
      <w:r>
        <w:rPr>
          <w:rFonts w:ascii="Times New Roman" w:eastAsia="方正仿宋_GBK" w:hAnsi="Times New Roman"/>
          <w:kern w:val="2"/>
          <w:sz w:val="32"/>
          <w:szCs w:val="32"/>
        </w:rPr>
        <w:t>反映用于对个人和家庭的补助支出。</w:t>
      </w:r>
    </w:p>
    <w:p w:rsidR="00D96ED3" w:rsidRDefault="00D96ED3">
      <w:pPr>
        <w:pStyle w:val="a6"/>
        <w:widowControl/>
        <w:spacing w:before="0" w:beforeAutospacing="0" w:after="0" w:afterAutospacing="0" w:line="600" w:lineRule="exact"/>
        <w:ind w:firstLineChars="200" w:firstLine="640"/>
        <w:rPr>
          <w:rFonts w:ascii="Times New Roman" w:hAnsi="Times New Roman"/>
        </w:rPr>
      </w:pPr>
      <w:r>
        <w:rPr>
          <w:rStyle w:val="a7"/>
          <w:rFonts w:ascii="Times New Roman" w:eastAsia="方正楷体_GBK" w:hAnsi="Times New Roman"/>
          <w:b w:val="0"/>
          <w:bCs/>
          <w:sz w:val="32"/>
          <w:szCs w:val="32"/>
        </w:rPr>
        <w:t>（十七）其他资本性支出（支出经济分类科目类级）：</w:t>
      </w:r>
      <w:r>
        <w:rPr>
          <w:rFonts w:ascii="Times New Roman"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D96ED3" w:rsidRDefault="00D96ED3" w:rsidP="00A90A75">
      <w:pPr>
        <w:pStyle w:val="a6"/>
        <w:widowControl/>
        <w:spacing w:before="0" w:beforeAutospacing="0" w:after="0" w:afterAutospacing="0" w:line="600" w:lineRule="exact"/>
        <w:ind w:firstLineChars="200" w:firstLine="640"/>
        <w:rPr>
          <w:rStyle w:val="a7"/>
          <w:rFonts w:ascii="方正黑体_GBK" w:eastAsia="方正黑体_GBK" w:hAnsi="方正黑体_GBK" w:cs="方正黑体_GBK" w:hint="eastAsia"/>
          <w:b w:val="0"/>
          <w:bCs/>
          <w:sz w:val="32"/>
          <w:szCs w:val="32"/>
        </w:rPr>
      </w:pPr>
      <w:r>
        <w:rPr>
          <w:rStyle w:val="a7"/>
          <w:rFonts w:ascii="方正黑体_GBK" w:eastAsia="方正黑体_GBK" w:hAnsi="方正黑体_GBK" w:cs="方正黑体_GBK" w:hint="eastAsia"/>
          <w:b w:val="0"/>
          <w:bCs/>
          <w:sz w:val="32"/>
          <w:szCs w:val="32"/>
        </w:rPr>
        <w:t>七、决算公开联系方式及信息反馈渠道</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本单位决算公开信息反馈和联系方式：</w:t>
      </w:r>
    </w:p>
    <w:p w:rsidR="00D96ED3" w:rsidRDefault="00D96ED3">
      <w:pPr>
        <w:pStyle w:val="a6"/>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 xml:space="preserve">何晓彦  023-86812425 </w:t>
      </w:r>
    </w:p>
    <w:p w:rsidR="00D96ED3" w:rsidRDefault="00D96ED3">
      <w:pPr>
        <w:pStyle w:val="a6"/>
        <w:widowControl/>
        <w:spacing w:before="0" w:beforeAutospacing="0" w:after="0" w:afterAutospacing="0" w:line="600" w:lineRule="exact"/>
      </w:pPr>
    </w:p>
    <w:sectPr w:rsidR="00D96ED3">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12" w:rsidRDefault="00C25112">
      <w:r>
        <w:separator/>
      </w:r>
    </w:p>
  </w:endnote>
  <w:endnote w:type="continuationSeparator" w:id="0">
    <w:p w:rsidR="00C25112" w:rsidRDefault="00C2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D3" w:rsidRDefault="002F35D2">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ED3" w:rsidRDefault="00D96ED3">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35D2" w:rsidRPr="002F35D2">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uAIAAKc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" filled="f" stroked="f">
              <v:textbox style="mso-fit-shape-to-text:t" inset="0,0,0,0">
                <w:txbxContent>
                  <w:p w:rsidR="00D96ED3" w:rsidRDefault="00D96ED3">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35D2" w:rsidRPr="002F35D2">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12" w:rsidRDefault="00C25112">
      <w:r>
        <w:separator/>
      </w:r>
    </w:p>
  </w:footnote>
  <w:footnote w:type="continuationSeparator" w:id="0">
    <w:p w:rsidR="00C25112" w:rsidRDefault="00C25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A3195"/>
    <w:multiLevelType w:val="singleLevel"/>
    <w:tmpl w:val="86CA31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NkOGU0OWFmMWViOGM4ZDRjMGFiYTAyNTJhNzUifQ=="/>
  </w:docVars>
  <w:rsids>
    <w:rsidRoot w:val="008F1C5D"/>
    <w:rsid w:val="00013009"/>
    <w:rsid w:val="00065C53"/>
    <w:rsid w:val="000A218C"/>
    <w:rsid w:val="00134403"/>
    <w:rsid w:val="00156390"/>
    <w:rsid w:val="001610D3"/>
    <w:rsid w:val="0018167A"/>
    <w:rsid w:val="001E6C17"/>
    <w:rsid w:val="001F2716"/>
    <w:rsid w:val="001F4339"/>
    <w:rsid w:val="0021050A"/>
    <w:rsid w:val="0021695F"/>
    <w:rsid w:val="00230E9F"/>
    <w:rsid w:val="0028551C"/>
    <w:rsid w:val="002F35D2"/>
    <w:rsid w:val="002F58A4"/>
    <w:rsid w:val="00301EE5"/>
    <w:rsid w:val="00325DC9"/>
    <w:rsid w:val="003451D8"/>
    <w:rsid w:val="003653D0"/>
    <w:rsid w:val="003A30F8"/>
    <w:rsid w:val="003C6309"/>
    <w:rsid w:val="003D7B9B"/>
    <w:rsid w:val="003E1936"/>
    <w:rsid w:val="00415D42"/>
    <w:rsid w:val="00467927"/>
    <w:rsid w:val="004B4BCD"/>
    <w:rsid w:val="004B6CDC"/>
    <w:rsid w:val="004D49D1"/>
    <w:rsid w:val="004F608C"/>
    <w:rsid w:val="00516F83"/>
    <w:rsid w:val="00520B67"/>
    <w:rsid w:val="00535FEA"/>
    <w:rsid w:val="0057021F"/>
    <w:rsid w:val="005B21B7"/>
    <w:rsid w:val="005B68B3"/>
    <w:rsid w:val="00612F95"/>
    <w:rsid w:val="00654C2F"/>
    <w:rsid w:val="006D6C95"/>
    <w:rsid w:val="006E0E17"/>
    <w:rsid w:val="00760BE2"/>
    <w:rsid w:val="0076425D"/>
    <w:rsid w:val="00787D4D"/>
    <w:rsid w:val="007C4AD1"/>
    <w:rsid w:val="007F0ADA"/>
    <w:rsid w:val="007F684A"/>
    <w:rsid w:val="008E22B3"/>
    <w:rsid w:val="008F1C5D"/>
    <w:rsid w:val="009272A4"/>
    <w:rsid w:val="009B7B27"/>
    <w:rsid w:val="00A376AE"/>
    <w:rsid w:val="00A4512A"/>
    <w:rsid w:val="00A72793"/>
    <w:rsid w:val="00A901DC"/>
    <w:rsid w:val="00A90A75"/>
    <w:rsid w:val="00AA5469"/>
    <w:rsid w:val="00AC073B"/>
    <w:rsid w:val="00B14FFE"/>
    <w:rsid w:val="00B72A80"/>
    <w:rsid w:val="00B75F95"/>
    <w:rsid w:val="00C25112"/>
    <w:rsid w:val="00C7545E"/>
    <w:rsid w:val="00D02F5B"/>
    <w:rsid w:val="00D04D80"/>
    <w:rsid w:val="00D26909"/>
    <w:rsid w:val="00D75806"/>
    <w:rsid w:val="00D96ED3"/>
    <w:rsid w:val="00DA4800"/>
    <w:rsid w:val="00E50503"/>
    <w:rsid w:val="00E82857"/>
    <w:rsid w:val="00E83C93"/>
    <w:rsid w:val="00E8619E"/>
    <w:rsid w:val="00EC4641"/>
    <w:rsid w:val="00F85BC0"/>
    <w:rsid w:val="053E1E01"/>
    <w:rsid w:val="05467DC4"/>
    <w:rsid w:val="0DEB5944"/>
    <w:rsid w:val="0E63372C"/>
    <w:rsid w:val="103C001F"/>
    <w:rsid w:val="114C2DD5"/>
    <w:rsid w:val="130C46D9"/>
    <w:rsid w:val="13E75C47"/>
    <w:rsid w:val="1B984DD4"/>
    <w:rsid w:val="1ECE1085"/>
    <w:rsid w:val="20674D6C"/>
    <w:rsid w:val="21B1744D"/>
    <w:rsid w:val="230F7587"/>
    <w:rsid w:val="28D2509A"/>
    <w:rsid w:val="2B5D09F6"/>
    <w:rsid w:val="2DD67732"/>
    <w:rsid w:val="308F06C4"/>
    <w:rsid w:val="321D4C1A"/>
    <w:rsid w:val="332F78B3"/>
    <w:rsid w:val="336D7F4F"/>
    <w:rsid w:val="344C33C7"/>
    <w:rsid w:val="36794DCB"/>
    <w:rsid w:val="393521E9"/>
    <w:rsid w:val="3B8D4A18"/>
    <w:rsid w:val="3D046946"/>
    <w:rsid w:val="46065456"/>
    <w:rsid w:val="46D807AB"/>
    <w:rsid w:val="4C4D39B8"/>
    <w:rsid w:val="53632BFE"/>
    <w:rsid w:val="53B14890"/>
    <w:rsid w:val="559C3ECB"/>
    <w:rsid w:val="565F4889"/>
    <w:rsid w:val="5A6776CD"/>
    <w:rsid w:val="5C891B7C"/>
    <w:rsid w:val="5D5275A8"/>
    <w:rsid w:val="5DAD3649"/>
    <w:rsid w:val="61CA6D11"/>
    <w:rsid w:val="64954FE1"/>
    <w:rsid w:val="6719333F"/>
    <w:rsid w:val="68165AB2"/>
    <w:rsid w:val="6823745A"/>
    <w:rsid w:val="6DEF5EBE"/>
    <w:rsid w:val="6F7A1422"/>
    <w:rsid w:val="6F9E4BFE"/>
    <w:rsid w:val="709051CD"/>
    <w:rsid w:val="71531EB3"/>
    <w:rsid w:val="7252449B"/>
    <w:rsid w:val="78E82161"/>
    <w:rsid w:val="7A8B69C8"/>
    <w:rsid w:val="7ABE6719"/>
    <w:rsid w:val="7D800830"/>
    <w:rsid w:val="7F37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4"/>
    <w:rPr>
      <w:rFonts w:ascii="Calibri" w:hAnsi="Calibri"/>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Calibri" w:hAnsi="Calibri"/>
      <w:kern w:val="2"/>
      <w:sz w:val="18"/>
      <w:szCs w:val="18"/>
    </w:rPr>
  </w:style>
  <w:style w:type="paragraph" w:styleId="a6">
    <w:name w:val="Normal (Web)"/>
    <w:basedOn w:val="a"/>
    <w:pPr>
      <w:spacing w:before="100" w:beforeAutospacing="1" w:after="100" w:afterAutospacing="1"/>
      <w:jc w:val="left"/>
    </w:pPr>
    <w:rPr>
      <w:kern w:val="0"/>
      <w:sz w:val="24"/>
    </w:rPr>
  </w:style>
  <w:style w:type="character" w:styleId="a7">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2100"/>
    </w:pPr>
  </w:style>
  <w:style w:type="paragraph" w:styleId="a3">
    <w:name w:val="Body Text"/>
    <w:basedOn w:val="a"/>
    <w:next w:val="6"/>
    <w:qFormat/>
    <w:pPr>
      <w:spacing w:after="120"/>
    </w:p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4"/>
    <w:rPr>
      <w:rFonts w:ascii="Calibri" w:hAnsi="Calibri"/>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Calibri" w:hAnsi="Calibri"/>
      <w:kern w:val="2"/>
      <w:sz w:val="18"/>
      <w:szCs w:val="18"/>
    </w:rPr>
  </w:style>
  <w:style w:type="paragraph" w:styleId="a6">
    <w:name w:val="Normal (Web)"/>
    <w:basedOn w:val="a"/>
    <w:pPr>
      <w:spacing w:before="100" w:beforeAutospacing="1" w:after="100" w:afterAutospacing="1"/>
      <w:jc w:val="left"/>
    </w:pPr>
    <w:rPr>
      <w:kern w:val="0"/>
      <w:sz w:val="24"/>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986</Words>
  <Characters>5623</Characters>
  <Application>Microsoft Office Word</Application>
  <DocSecurity>0</DocSecurity>
  <Lines>46</Lines>
  <Paragraphs>13</Paragraphs>
  <ScaleCrop>false</ScaleCrop>
  <Company>Sky123.Org</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刘定杰</cp:lastModifiedBy>
  <cp:revision>2</cp:revision>
  <cp:lastPrinted>2023-09-12T07:37:00Z</cp:lastPrinted>
  <dcterms:created xsi:type="dcterms:W3CDTF">2024-03-05T02:42:00Z</dcterms:created>
  <dcterms:modified xsi:type="dcterms:W3CDTF">2024-03-05T02:42:00Z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B17CF73A77414E95A6310D7C98D2F7C0_12</vt:lpwstr>
  </property>
</Properties>
</file>