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1" w:rightFromText="181" w:horzAnchor="margin" w:tblpXSpec="center" w:tblpYSpec="top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exact"/>
          <w:jc w:val="center"/>
        </w:trPr>
        <w:tc>
          <w:tcPr>
            <w:tcW w:w="9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5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5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5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  <w:jc w:val="center"/>
        </w:trPr>
        <w:tc>
          <w:tcPr>
            <w:tcW w:w="9140" w:type="dxa"/>
            <w:vAlign w:val="bottom"/>
          </w:tcPr>
          <w:p>
            <w:pPr>
              <w:spacing w:before="240"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古路委发〔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84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中共重庆市渝北区古路镇委员会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leftChars="0" w:hanging="880" w:hangingChars="200"/>
        <w:jc w:val="both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古路镇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“文明家庭”“清洁文明户”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评比活动方案</w:t>
      </w:r>
      <w:r>
        <w:rPr>
          <w:rFonts w:hint="eastAsia" w:ascii="方正小标宋_GBK" w:eastAsia="方正小标宋_GBK"/>
          <w:sz w:val="44"/>
          <w:szCs w:val="44"/>
        </w:rPr>
        <w:t>》的通知</w:t>
      </w: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为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进一步深化群众性精神文明创建活动，不断提高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群众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文明素质和社会文明程度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现将《古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路镇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“文明家庭”“清洁文明户”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》印发给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你们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，请遵照执行。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仿宋" w:eastAsia="方正仿宋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仿宋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中共重庆市渝北区古路镇委员会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  <w:sectPr>
          <w:footerReference r:id="rId3" w:type="first"/>
          <w:pgSz w:w="11906" w:h="16838"/>
          <w:pgMar w:top="1984" w:right="1446" w:bottom="1587" w:left="1446" w:header="851" w:footer="1247" w:gutter="0"/>
          <w:pgNumType w:fmt="decimal" w:start="2"/>
          <w:cols w:space="0" w:num="1"/>
          <w:rtlGutter w:val="0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          2023年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>
      <w:pPr>
        <w:bidi w:val="0"/>
        <w:spacing w:line="594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古路镇2023年“文明家庭”“清洁文明户”</w:t>
      </w:r>
    </w:p>
    <w:p>
      <w:pPr>
        <w:bidi w:val="0"/>
        <w:spacing w:line="594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评比活动方案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4"/>
        </w:rPr>
      </w:pPr>
    </w:p>
    <w:p>
      <w:pPr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为深入贯彻落实习近平新时代中国特色社会主义思想和党的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二十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大及历次全会精神，全面落实中央、省委、市委、县委关于实施乡村振兴战略的决策部署，提高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全镇居民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文明素质，倡树优良家风、文明新风，经研究决定，拟在全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开展“文明家庭”“文明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清洁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户”创建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评比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活动，特制定本方案。</w:t>
      </w:r>
    </w:p>
    <w:p>
      <w:pPr>
        <w:keepNext/>
        <w:keepLines/>
        <w:widowControl w:val="0"/>
        <w:numPr>
          <w:ilvl w:val="0"/>
          <w:numId w:val="1"/>
        </w:numPr>
        <w:bidi w:val="0"/>
        <w:spacing w:beforeLines="0" w:beforeAutospacing="0" w:afterLines="0" w:afterAutospacing="0" w:line="594" w:lineRule="exact"/>
        <w:ind w:firstLine="640" w:firstLineChars="200"/>
        <w:jc w:val="left"/>
        <w:outlineLvl w:val="0"/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总体目标</w:t>
      </w:r>
    </w:p>
    <w:p>
      <w:pPr>
        <w:bidi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以习近平新时代中国特色社会主义思想为指导，围绕乡村振兴和精神文明建设的总目标，宣传引导广大群众从自己做起、从家庭做起，以个人面貌、家庭面貌、社会面貌的焕然一新促进村容村貌的大改变、大提升，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推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乡风文明 和美家园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。</w:t>
      </w:r>
    </w:p>
    <w:p>
      <w:pPr>
        <w:keepNext/>
        <w:keepLines/>
        <w:widowControl w:val="0"/>
        <w:numPr>
          <w:ilvl w:val="0"/>
          <w:numId w:val="1"/>
        </w:numPr>
        <w:bidi w:val="0"/>
        <w:spacing w:beforeLines="0" w:beforeAutospacing="0" w:afterLines="0" w:afterAutospacing="0" w:line="594" w:lineRule="exact"/>
        <w:ind w:firstLine="640" w:firstLineChars="200"/>
        <w:jc w:val="left"/>
        <w:outlineLvl w:val="0"/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评比范围及名额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在镇域内长期居住的家庭均可参与“文明家庭”“清洁文明户”的评比活动。各村（社区）根据实际评比出相应的“文明家庭”“清洁文明户”，并通过张贴“文明家庭”“清洁文明户”牌子进行表彰，评比活动实行动态管理，每一季度评分一次，以促进全镇村民养成健康卫生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文明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的习惯。</w:t>
      </w:r>
    </w:p>
    <w:p>
      <w:pPr>
        <w:keepNext/>
        <w:keepLines/>
        <w:widowControl w:val="0"/>
        <w:numPr>
          <w:ilvl w:val="0"/>
          <w:numId w:val="1"/>
        </w:numPr>
        <w:bidi w:val="0"/>
        <w:spacing w:beforeLines="0" w:beforeAutospacing="0" w:afterLines="0" w:afterAutospacing="0" w:line="594" w:lineRule="exact"/>
        <w:ind w:firstLine="640" w:firstLineChars="200"/>
        <w:jc w:val="left"/>
        <w:outlineLvl w:val="0"/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评比标准</w:t>
      </w:r>
    </w:p>
    <w:p>
      <w:pPr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（一）“文明家庭”评比标准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1．爱国守法。家庭成员拥护中国共产党领导，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爱党爱国爱社会主义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，树立正确的世界观、人生观、价值观，自觉维护国家利益和民族尊严。自觉遵循党和国家的方针政策，尊法学法守法用法，遵守各项规章制度、村规民约，自觉履行法定义务、社会责任和家庭责任。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2．遵德守礼。家庭成员注重社会公德、职业道德、家庭美德、个人品德养成。待人宽容，关心他人、助人为乐。维护公共卫生，爱护公共环境，遵守公共秩序，在工作生活中崇德尚礼、知行合一。奉行科学文明健康的生活理念、生活态度、生活方式，养成良好行为习惯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3．平等和谐。家庭成员之间相互尊重、理解信任、感情深厚、亲情深厚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己为家、尽心尽责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4．敬业诚信。家庭成员爱岗敬业、诚实劳动、合法经营。重信用、守承诺，真诚做人、守信做事。树立尚德守法、传承以信笃行、以诚兴业的优良品德，立足岗位践行诚信规范。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5．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6．家风淳朴。弘扬家和万事兴、忠厚传家久、百善孝为先等中华优秀传统美德。传承好家训，提醒引导、感染熏陶家庭成员。有体现传统美德、符合生活实际的新时代家规，以好家规规范家庭成员的言行。家庭成员积极参与读家书、谈家教、倡家健、秀家宝等各类家庭文化体育活动，自觉树立良好家风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7．绿色节俭。家庭环境干净整洁。家庭成员生态环保意识强，不乱扔乱丢垃圾，自觉进行垃圾分类，注重资源再利用。勤劳节俭、厉行节约，杜绝浪费。积极宣传和践行简约适度、绿色低碳的生活方式。移风易俗，弘扬时代新风，反对奢侈浪费和不合理消费，生活量入为出，婚丧嫁娶操办从俭、不铺张奢华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8．热心公益。家庭成员积极参加慈善捐助、义务劳动、无偿献血、捐献造血干细胞、社区服务等公益活动。积极参加邻里守望、扶贫济困、生态环保、养老助残、法律援助、文化体育等各类学雷锋志愿服务活动。热情关心特殊困难人员，参加结对帮扶等社会公益活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二）“清洁文明户”评比标准</w:t>
      </w:r>
    </w:p>
    <w:p>
      <w:pPr>
        <w:spacing w:line="594" w:lineRule="exact"/>
        <w:ind w:firstLine="65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1"/>
          <w:szCs w:val="31"/>
          <w:shd w:val="clear" w:color="auto" w:fill="FFFFFF"/>
        </w:rPr>
        <w:t>以户为单位进行评比。室外检查范围为住户房屋及附属设施（地坝、阳沟、粪池等）周边10米内区域。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1.垃圾收集。坚持开展垃圾分类，生活垃圾桶装、袋装化，投放到统一设置的垃圾存放点，垃圾入箱，集中收集处理。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2.整洁有序。地面、墙壁、门窗干净，做到“五清”（清垃圾、清柴草、清粪污、清沟渠、清院落），房前屋后无卫生死角、无污水积存、无暴露垃圾、无畜禽粪便、无陈年垃圾，房屋周边无杂草丛生现象。生产工具、生活用品、农用物资、柴草等物品分类，摆放整齐，做到“五归”（垃圾归桶无乱扔、柴草归齐无乱放、家禽归圈无散养、粪便归池无溢流、搭建规整无脏乱），无乱晾晒、乱张贴、乱涂写、乱悬挂、电线乱拉等现象，室内家具、物品摆放有序，“三看”（看厨房是否干净、看卧室是否整齐、看已改建完成的卫生厕所是否有蚊虫异味）达标。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3.绿化美化。房屋周边绿化布局合理，养护良好，花盆、盆景等摆放整齐。房屋周边的花草、树木、花坛等管护良好。房屋维护整修及时，与周边环境融合。积极做好农村人居环境美化工作，爱护环卫设施。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4.生态环保。提倡使用清洁能源，自觉节水、节电、节能，自觉抵制白色污染，倡导绿色消费，不使用有损环境、影响健康的生活用品。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5.习惯良好。家庭成员讲究卫生，衣着整洁、卫生习惯良好，养成“三定”（ 卫生定时打扫、物品定点摆放、畜禽定点饲养）“三勤”（勤洗、勤扫、勤捡）习惯，不乱吐乱扔，自觉维护公共环境卫生。</w:t>
      </w:r>
    </w:p>
    <w:p>
      <w:pPr>
        <w:spacing w:line="594" w:lineRule="exact"/>
        <w:ind w:firstLine="672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（三）一票否决条款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有以下情形之一的，不得申报、推荐参评：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1.家庭成员违法违纪；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2.家庭成员参与“黄、赌、毒”；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3.家庭成员参与封建迷信和非法宗教及邪教活动；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4.家庭成员在文明、诚信等方面有不良记录；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5.发生家庭暴力事件；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6.对未成年人子女监护主体责任落实不力；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7.家庭成员放弃中华人民共和国国籍；</w:t>
      </w:r>
    </w:p>
    <w:p>
      <w:pPr>
        <w:spacing w:line="594" w:lineRule="exact"/>
        <w:ind w:firstLine="67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8.家庭成员有违反社会公德、职业道德、家庭美德、个人品德的其他行为。</w:t>
      </w:r>
    </w:p>
    <w:p>
      <w:pPr>
        <w:keepNext/>
        <w:keepLines/>
        <w:widowControl w:val="0"/>
        <w:numPr>
          <w:ilvl w:val="0"/>
          <w:numId w:val="1"/>
        </w:numPr>
        <w:bidi w:val="0"/>
        <w:spacing w:beforeLines="0" w:beforeAutospacing="0" w:afterLines="0" w:afterAutospacing="0" w:line="594" w:lineRule="exact"/>
        <w:ind w:firstLine="640" w:firstLineChars="200"/>
        <w:jc w:val="left"/>
        <w:outlineLvl w:val="0"/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评比程序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宣传发动：通过村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民大会、宣传栏等多种形式宣传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方案，让广大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标准及参与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的重要意义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动员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大家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color="auto" w:fill="FFFFFF"/>
        </w:rPr>
        <w:t>积极参与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自愿申报：符合条件的家庭可向村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委会自愿申报，并提交相关材料（包括《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古路镇xx村（社区）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文明家庭申请表》《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古路镇xx村（社区）清洁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文明户申请表》、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佐证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事迹材料等）。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3.资格审核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驻村工作队、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两委成员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、党员群众代表共同组成评比小组，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条件，在对各申报家庭资格进行审核把关的基础上，认真对各申报家庭的环境卫生、遵纪守法、个人品德等方面进行深入的实地考察和调查核实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确定候选名单。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公示公告：将候选名单在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村广场公示栏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张榜公示5个工作日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，接受群众监督和举报。如有群众反映问题，评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将重新审核并作出处理。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确认颁牌表彰：结合资格审核和公示情况，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为评比出的家庭户进行表彰奖励。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对评比出并挂牌的“文明家庭”“清洁文明户”实行动态管理，每季度进行重新评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，对管理疏忽，不达标的家庭进行摘牌处理。</w:t>
      </w:r>
    </w:p>
    <w:p>
      <w:pPr>
        <w:keepNext/>
        <w:keepLines/>
        <w:widowControl w:val="0"/>
        <w:numPr>
          <w:ilvl w:val="0"/>
          <w:numId w:val="1"/>
        </w:numPr>
        <w:bidi w:val="0"/>
        <w:spacing w:beforeLines="0" w:beforeAutospacing="0" w:afterLines="0" w:afterAutospacing="0" w:line="594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工作要求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1.高度重视，精心组织。各村居要积极配合镇文化服务中心工作，认真选拔，按时完成各阶段工作，确保评比活动不搞形式，走过场。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2.大力宣传，形成氛围。各村（社区）要利用多种形式广泛宣传，利用评比活动推动和美乡村建设深入开展，在全镇营造人人争当“文明家庭”“清洁文明户”的良好氛围。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3.面向基层，依靠群众。评比过程中要坚持公平、公正、公开、民主的原则，坚持标准，保证质量，严禁弄虚作，要使评出的“文明家庭”“清洁文明户”获得群众认可、站的住脚。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及时上报相关信息。各村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于11月25日前将本次评比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正式建议名单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报送至镇文化服务中心向秋野处，并于每季度动态管理后及时上报信息。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</w:pP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984" w:right="1474" w:bottom="1587" w:left="1474" w:header="851" w:footer="1134" w:gutter="0"/>
          <w:pgNumType w:fmt="decimal" w:start="2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附件：渝北区古路镇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“文明家庭”“清洁文明户”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名单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2"/>
        <w:tblW w:w="8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475"/>
        <w:gridCol w:w="2835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渝北区古路镇“文明家庭”“清洁文明户”名单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评选单位（盖章）：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文明家庭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清洁文明户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填表人：                       日期：</w:t>
      </w:r>
    </w:p>
    <w:p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Fonts w:hint="default"/>
        </w:rPr>
      </w:pP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 xml:space="preserve">渝北区古路镇党政办公室   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Style w:val="16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 xml:space="preserve">     20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16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Style w:val="16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16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Style w:val="16"/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9" w:type="first"/>
      <w:footerReference r:id="rId8" w:type="default"/>
      <w:pgSz w:w="11906" w:h="16838"/>
      <w:pgMar w:top="1020" w:right="1502" w:bottom="1191" w:left="1502" w:header="851" w:footer="1134" w:gutter="0"/>
      <w:pgNumType w:fmt="decimal" w:start="8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AE34"/>
    <w:multiLevelType w:val="singleLevel"/>
    <w:tmpl w:val="7B63AE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5FD04C18"/>
    <w:rsid w:val="0020560A"/>
    <w:rsid w:val="0204501C"/>
    <w:rsid w:val="03674BED"/>
    <w:rsid w:val="03A70424"/>
    <w:rsid w:val="062C48C8"/>
    <w:rsid w:val="063226C9"/>
    <w:rsid w:val="06794316"/>
    <w:rsid w:val="067A5464"/>
    <w:rsid w:val="06CA359D"/>
    <w:rsid w:val="07987EF6"/>
    <w:rsid w:val="09113757"/>
    <w:rsid w:val="09986623"/>
    <w:rsid w:val="0ABC2A08"/>
    <w:rsid w:val="0B266665"/>
    <w:rsid w:val="0C283F46"/>
    <w:rsid w:val="0D062AA9"/>
    <w:rsid w:val="0DBA7B18"/>
    <w:rsid w:val="0E42618A"/>
    <w:rsid w:val="0FB23DF6"/>
    <w:rsid w:val="0FDA6244"/>
    <w:rsid w:val="100F5F90"/>
    <w:rsid w:val="125E6C41"/>
    <w:rsid w:val="16A72547"/>
    <w:rsid w:val="1757551B"/>
    <w:rsid w:val="19001B94"/>
    <w:rsid w:val="1A5333E5"/>
    <w:rsid w:val="1A665E14"/>
    <w:rsid w:val="1A925E28"/>
    <w:rsid w:val="1B872A6E"/>
    <w:rsid w:val="1C1C5687"/>
    <w:rsid w:val="1C3A5710"/>
    <w:rsid w:val="1D035363"/>
    <w:rsid w:val="1DA601C9"/>
    <w:rsid w:val="20232FE1"/>
    <w:rsid w:val="20373F61"/>
    <w:rsid w:val="21790C15"/>
    <w:rsid w:val="217B6B16"/>
    <w:rsid w:val="229B0630"/>
    <w:rsid w:val="22D2007C"/>
    <w:rsid w:val="233E436C"/>
    <w:rsid w:val="23A04089"/>
    <w:rsid w:val="24551019"/>
    <w:rsid w:val="254B0FBE"/>
    <w:rsid w:val="25BE1DF8"/>
    <w:rsid w:val="265965D0"/>
    <w:rsid w:val="27DB4308"/>
    <w:rsid w:val="295521C3"/>
    <w:rsid w:val="2A2412BE"/>
    <w:rsid w:val="2A643F77"/>
    <w:rsid w:val="2B3404F1"/>
    <w:rsid w:val="2B7D0FCD"/>
    <w:rsid w:val="2B8D0B33"/>
    <w:rsid w:val="2BA953F6"/>
    <w:rsid w:val="2C1725D4"/>
    <w:rsid w:val="2C1F0A81"/>
    <w:rsid w:val="2C3044A0"/>
    <w:rsid w:val="2C717A89"/>
    <w:rsid w:val="2E366227"/>
    <w:rsid w:val="2FB13FBB"/>
    <w:rsid w:val="2FB477CB"/>
    <w:rsid w:val="304A1F8F"/>
    <w:rsid w:val="305D0127"/>
    <w:rsid w:val="32033360"/>
    <w:rsid w:val="324C4EF4"/>
    <w:rsid w:val="32591FFA"/>
    <w:rsid w:val="347E2132"/>
    <w:rsid w:val="34E753F2"/>
    <w:rsid w:val="35C259A8"/>
    <w:rsid w:val="3618058F"/>
    <w:rsid w:val="36373588"/>
    <w:rsid w:val="364A15AE"/>
    <w:rsid w:val="364E66CE"/>
    <w:rsid w:val="36662A54"/>
    <w:rsid w:val="36950276"/>
    <w:rsid w:val="375E3D66"/>
    <w:rsid w:val="37F140E1"/>
    <w:rsid w:val="395E41FC"/>
    <w:rsid w:val="3A39385D"/>
    <w:rsid w:val="3AB20D72"/>
    <w:rsid w:val="3ACE4D55"/>
    <w:rsid w:val="3B1275C1"/>
    <w:rsid w:val="3B492EA8"/>
    <w:rsid w:val="3CF71A90"/>
    <w:rsid w:val="3DFB2D06"/>
    <w:rsid w:val="3E28579F"/>
    <w:rsid w:val="3F9A383A"/>
    <w:rsid w:val="3FFA6C9C"/>
    <w:rsid w:val="4208760F"/>
    <w:rsid w:val="42AC20E3"/>
    <w:rsid w:val="42D331C0"/>
    <w:rsid w:val="42E432F8"/>
    <w:rsid w:val="446806A8"/>
    <w:rsid w:val="44B24350"/>
    <w:rsid w:val="44F43CB9"/>
    <w:rsid w:val="45C229D5"/>
    <w:rsid w:val="47D31276"/>
    <w:rsid w:val="48304878"/>
    <w:rsid w:val="487F18D9"/>
    <w:rsid w:val="489C4B4C"/>
    <w:rsid w:val="48AA66B8"/>
    <w:rsid w:val="48B432F4"/>
    <w:rsid w:val="48D0295E"/>
    <w:rsid w:val="49965AFF"/>
    <w:rsid w:val="4AF20664"/>
    <w:rsid w:val="4B1D495C"/>
    <w:rsid w:val="4B4B4143"/>
    <w:rsid w:val="4CDD764A"/>
    <w:rsid w:val="4D1C36CE"/>
    <w:rsid w:val="4D877E53"/>
    <w:rsid w:val="4DDC22D3"/>
    <w:rsid w:val="520F6FEF"/>
    <w:rsid w:val="52287B99"/>
    <w:rsid w:val="526312D2"/>
    <w:rsid w:val="527C12C8"/>
    <w:rsid w:val="528D23C9"/>
    <w:rsid w:val="531A3FF9"/>
    <w:rsid w:val="533A3104"/>
    <w:rsid w:val="53717CF1"/>
    <w:rsid w:val="538677D0"/>
    <w:rsid w:val="53C67808"/>
    <w:rsid w:val="54873B39"/>
    <w:rsid w:val="551E5284"/>
    <w:rsid w:val="56153623"/>
    <w:rsid w:val="56443857"/>
    <w:rsid w:val="564D6A9A"/>
    <w:rsid w:val="568226EF"/>
    <w:rsid w:val="5721445A"/>
    <w:rsid w:val="57AC1143"/>
    <w:rsid w:val="57D579A2"/>
    <w:rsid w:val="590652F6"/>
    <w:rsid w:val="59CA3CC4"/>
    <w:rsid w:val="5A435C22"/>
    <w:rsid w:val="5A4D79E2"/>
    <w:rsid w:val="5AA114F3"/>
    <w:rsid w:val="5AA57746"/>
    <w:rsid w:val="5B04097E"/>
    <w:rsid w:val="5B8E2FA9"/>
    <w:rsid w:val="5BB433FB"/>
    <w:rsid w:val="5C543066"/>
    <w:rsid w:val="5CA06AF2"/>
    <w:rsid w:val="5DCE0A5C"/>
    <w:rsid w:val="5EBE2E80"/>
    <w:rsid w:val="5EE36447"/>
    <w:rsid w:val="5F1A6D73"/>
    <w:rsid w:val="5FD04C18"/>
    <w:rsid w:val="60BF1230"/>
    <w:rsid w:val="61447578"/>
    <w:rsid w:val="62041AC4"/>
    <w:rsid w:val="621E2206"/>
    <w:rsid w:val="623946CF"/>
    <w:rsid w:val="62504DEB"/>
    <w:rsid w:val="62B71723"/>
    <w:rsid w:val="63A73D16"/>
    <w:rsid w:val="646A2197"/>
    <w:rsid w:val="65C46811"/>
    <w:rsid w:val="66845C7B"/>
    <w:rsid w:val="668E586B"/>
    <w:rsid w:val="66F34673"/>
    <w:rsid w:val="69B9050A"/>
    <w:rsid w:val="69C16400"/>
    <w:rsid w:val="6A4C6D10"/>
    <w:rsid w:val="6A770C72"/>
    <w:rsid w:val="6A953A3C"/>
    <w:rsid w:val="6AA04583"/>
    <w:rsid w:val="6AE16160"/>
    <w:rsid w:val="6B1B5180"/>
    <w:rsid w:val="6B791B3F"/>
    <w:rsid w:val="6B7979E8"/>
    <w:rsid w:val="6B7B2C0C"/>
    <w:rsid w:val="6BC65DD2"/>
    <w:rsid w:val="6CD46E5E"/>
    <w:rsid w:val="6D070DC9"/>
    <w:rsid w:val="6DCF605A"/>
    <w:rsid w:val="6DDE7BD9"/>
    <w:rsid w:val="6E1D0C21"/>
    <w:rsid w:val="6E957AC0"/>
    <w:rsid w:val="70086F05"/>
    <w:rsid w:val="70902C4E"/>
    <w:rsid w:val="70B52D71"/>
    <w:rsid w:val="71DB7BAD"/>
    <w:rsid w:val="723561DD"/>
    <w:rsid w:val="72891913"/>
    <w:rsid w:val="731F2AC2"/>
    <w:rsid w:val="747D4800"/>
    <w:rsid w:val="748B5455"/>
    <w:rsid w:val="75215180"/>
    <w:rsid w:val="75DA5517"/>
    <w:rsid w:val="76455994"/>
    <w:rsid w:val="76DE5F56"/>
    <w:rsid w:val="77B8192F"/>
    <w:rsid w:val="78CF265B"/>
    <w:rsid w:val="792112DC"/>
    <w:rsid w:val="7A016479"/>
    <w:rsid w:val="7A6D22A7"/>
    <w:rsid w:val="7AA26339"/>
    <w:rsid w:val="7B2C3617"/>
    <w:rsid w:val="7B35170F"/>
    <w:rsid w:val="7BB612DF"/>
    <w:rsid w:val="7BCC1CFC"/>
    <w:rsid w:val="7BE77747"/>
    <w:rsid w:val="7C1A4ABA"/>
    <w:rsid w:val="7C91623D"/>
    <w:rsid w:val="7C94444E"/>
    <w:rsid w:val="7CBA0200"/>
    <w:rsid w:val="7CD576B5"/>
    <w:rsid w:val="7CFA1DEF"/>
    <w:rsid w:val="7D7E2FDA"/>
    <w:rsid w:val="7EFF1C4D"/>
    <w:rsid w:val="7F3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880" w:firstLineChars="200"/>
      <w:jc w:val="both"/>
      <w:outlineLvl w:val="0"/>
    </w:pPr>
    <w:rPr>
      <w:rFonts w:ascii="Times New Roman" w:hAnsi="Times New Roman" w:eastAsia="方正黑体_GBK" w:cs="Times New Roman"/>
      <w:kern w:val="44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33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仿宋_GB2312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ody Text Indent"/>
    <w:basedOn w:val="1"/>
    <w:qFormat/>
    <w:uiPriority w:val="6"/>
    <w:pPr>
      <w:ind w:firstLine="720"/>
    </w:pPr>
    <w:rPr>
      <w:kern w:val="1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BodyText"/>
    <w:basedOn w:val="1"/>
    <w:qFormat/>
    <w:uiPriority w:val="0"/>
  </w:style>
  <w:style w:type="character" w:customStyle="1" w:styleId="16">
    <w:name w:val="ca-21"/>
    <w:basedOn w:val="13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7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公文正文"/>
    <w:basedOn w:val="20"/>
    <w:qFormat/>
    <w:uiPriority w:val="0"/>
    <w:pPr>
      <w:jc w:val="both"/>
    </w:pPr>
    <w:rPr>
      <w:rFonts w:ascii="Times New Roman" w:hAnsi="Times New Roman" w:eastAsia="方正仿宋_GBK"/>
      <w:sz w:val="32"/>
    </w:rPr>
  </w:style>
  <w:style w:type="paragraph" w:customStyle="1" w:styleId="20">
    <w:name w:val="公文标题"/>
    <w:basedOn w:val="1"/>
    <w:qFormat/>
    <w:uiPriority w:val="0"/>
    <w:pPr>
      <w:spacing w:line="560" w:lineRule="exact"/>
      <w:jc w:val="center"/>
    </w:pPr>
    <w:rPr>
      <w:rFonts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181</Characters>
  <Lines>0</Lines>
  <Paragraphs>0</Paragraphs>
  <TotalTime>20</TotalTime>
  <ScaleCrop>false</ScaleCrop>
  <LinksUpToDate>false</LinksUpToDate>
  <CharactersWithSpaces>236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2021-01-07T01:12:00Z</dcterms:created>
  <dc:creator>xuuuuuuuu</dc:creator>
  <cp:lastModifiedBy>杨倩怡</cp:lastModifiedBy>
  <cp:lastPrinted>2023-11-09T02:17:00Z</cp:lastPrinted>
  <dcterms:modified xsi:type="dcterms:W3CDTF">2023-11-14T01:35:11Z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0_btnclosed</vt:lpwstr>
  </property>
  <property fmtid="{D5CDD505-2E9C-101B-9397-08002B2CF9AE}" pid="4" name="ICV">
    <vt:lpwstr>E123844EC06B4B83AAA7FC0B460A6E63_13</vt:lpwstr>
  </property>
</Properties>
</file>