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vAlign w:val="center"/>
          </w:tcPr>
          <w:p>
            <w:pPr>
              <w:spacing w:line="240" w:lineRule="atLeast"/>
              <w:rPr>
                <w:rFonts w:eastAsia="方正小标宋简体"/>
                <w:color w:val="FF0000"/>
                <w:w w:val="80"/>
              </w:rPr>
            </w:pPr>
            <w:bookmarkStart w:id="0" w:name="_GoBack"/>
            <w:bookmarkEnd w:id="0"/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>
            <w:pPr>
              <w:spacing w:line="240" w:lineRule="exact"/>
              <w:jc w:val="center"/>
              <w:rPr>
                <w:rFonts w:eastAsia="方正小标宋_GBK"/>
                <w:b/>
                <w:w w:val="42"/>
                <w:sz w:val="120"/>
                <w:szCs w:val="1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vAlign w:val="bottom"/>
          </w:tcPr>
          <w:p>
            <w:pPr>
              <w:spacing w:before="240" w:line="540" w:lineRule="exact"/>
              <w:jc w:val="center"/>
              <w:rPr>
                <w:rFonts w:ascii="方正仿宋_GBK" w:hAnsi="方正仿宋_GBK" w:eastAsia="方正仿宋_GBK" w:cs="方正仿宋_GBK"/>
                <w:sz w:val="34"/>
                <w:szCs w:val="34"/>
              </w:rPr>
            </w:pPr>
          </w:p>
          <w:p>
            <w:pPr>
              <w:spacing w:before="240" w:line="540" w:lineRule="exact"/>
              <w:jc w:val="center"/>
              <w:rPr>
                <w:rFonts w:ascii="Times New Roman" w:hAnsi="Times New Roman" w:eastAsia="方正仿宋_GBK"/>
                <w:sz w:val="34"/>
                <w:szCs w:val="3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古路委发</w:t>
            </w:r>
            <w:r>
              <w:rPr>
                <w:rFonts w:ascii="Times New Roman" w:hAnsi="Times New Roman" w:eastAsia="方正仿宋_GBK"/>
                <w:sz w:val="34"/>
                <w:szCs w:val="34"/>
              </w:rPr>
              <w:t>〔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号</w:t>
            </w:r>
          </w:p>
          <w:p>
            <w:pPr>
              <w:spacing w:line="440" w:lineRule="exact"/>
              <w:jc w:val="center"/>
              <w:rPr>
                <w:sz w:val="52"/>
                <w:szCs w:val="52"/>
              </w:rPr>
            </w:pPr>
          </w:p>
        </w:tc>
      </w:tr>
    </w:tbl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方正小标宋_GBK" w:eastAsia="方正小标宋_GBK"/>
          <w:spacing w:val="10"/>
          <w:kern w:val="0"/>
          <w:sz w:val="44"/>
          <w:szCs w:val="44"/>
          <w:fitText w:val="6408" w:id="119219687"/>
        </w:rPr>
        <w:t>中共重庆市渝北区</w:t>
      </w:r>
      <w:r>
        <w:rPr>
          <w:rFonts w:hint="eastAsia" w:ascii="方正小标宋_GBK" w:eastAsia="方正小标宋_GBK"/>
          <w:spacing w:val="10"/>
          <w:w w:val="97"/>
          <w:kern w:val="0"/>
          <w:sz w:val="44"/>
          <w:szCs w:val="44"/>
          <w:fitText w:val="6408" w:id="119219687"/>
        </w:rPr>
        <w:t>古路</w:t>
      </w:r>
      <w:r>
        <w:rPr>
          <w:rFonts w:hint="eastAsia" w:ascii="方正小标宋_GBK" w:eastAsia="方正小标宋_GBK"/>
          <w:spacing w:val="10"/>
          <w:kern w:val="0"/>
          <w:sz w:val="44"/>
          <w:szCs w:val="44"/>
          <w:fitText w:val="6408" w:id="119219687"/>
        </w:rPr>
        <w:t>镇委员</w:t>
      </w:r>
      <w:r>
        <w:rPr>
          <w:rFonts w:hint="eastAsia" w:ascii="方正小标宋_GBK" w:eastAsia="方正小标宋_GBK"/>
          <w:spacing w:val="7"/>
          <w:kern w:val="0"/>
          <w:sz w:val="44"/>
          <w:szCs w:val="44"/>
          <w:fitText w:val="6408" w:id="119219687"/>
        </w:rPr>
        <w:t>会</w:t>
      </w:r>
    </w:p>
    <w:p>
      <w:pPr>
        <w:spacing w:line="560" w:lineRule="exact"/>
        <w:jc w:val="center"/>
        <w:rPr>
          <w:rFonts w:ascii="方正小标宋_GBK" w:eastAsia="方正小标宋_GBK"/>
          <w:spacing w:val="13"/>
          <w:w w:val="91"/>
          <w:kern w:val="0"/>
          <w:sz w:val="44"/>
          <w:szCs w:val="44"/>
        </w:rPr>
      </w:pPr>
      <w:r>
        <w:rPr>
          <w:rFonts w:hint="eastAsia" w:ascii="方正小标宋_GBK" w:eastAsia="方正小标宋_GBK"/>
          <w:spacing w:val="28"/>
          <w:kern w:val="0"/>
          <w:sz w:val="44"/>
          <w:szCs w:val="44"/>
          <w:fitText w:val="6409" w:id="127029691"/>
        </w:rPr>
        <w:t>重庆市渝北区古路镇人民政</w:t>
      </w:r>
      <w:r>
        <w:rPr>
          <w:rFonts w:hint="eastAsia" w:ascii="方正小标宋_GBK" w:eastAsia="方正小标宋_GBK"/>
          <w:spacing w:val="8"/>
          <w:kern w:val="0"/>
          <w:sz w:val="44"/>
          <w:szCs w:val="44"/>
          <w:fitText w:val="6409" w:id="127029691"/>
        </w:rPr>
        <w:t>府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</w:t>
      </w:r>
      <w:r>
        <w:rPr>
          <w:rFonts w:hint="eastAsia" w:eastAsia="方正小标宋_GBK"/>
          <w:sz w:val="44"/>
          <w:szCs w:val="44"/>
        </w:rPr>
        <w:t>古路镇</w:t>
      </w:r>
      <w:r>
        <w:rPr>
          <w:rFonts w:ascii="Times New Roman" w:hAnsi="Times New Roman" w:eastAsia="方正小标宋_GBK"/>
          <w:sz w:val="44"/>
          <w:szCs w:val="44"/>
        </w:rPr>
        <w:t>2025</w:t>
      </w:r>
      <w:r>
        <w:rPr>
          <w:rFonts w:hint="eastAsia" w:eastAsia="方正小标宋_GBK"/>
          <w:sz w:val="44"/>
          <w:szCs w:val="44"/>
        </w:rPr>
        <w:t>年普法依法治理工作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要点</w:t>
      </w:r>
      <w:r>
        <w:rPr>
          <w:rFonts w:eastAsia="方正小标宋_GBK"/>
          <w:sz w:val="44"/>
          <w:szCs w:val="44"/>
        </w:rPr>
        <w:t>》的通知</w:t>
      </w:r>
    </w:p>
    <w:p>
      <w:pPr>
        <w:spacing w:line="560" w:lineRule="exact"/>
        <w:rPr>
          <w:rFonts w:ascii="方正大标宋_GBK" w:hAnsi="方正大标宋_GBK" w:eastAsia="方正仿宋_GBK"/>
          <w:color w:val="000000"/>
          <w:sz w:val="44"/>
          <w:szCs w:val="44"/>
        </w:rPr>
      </w:pPr>
      <w:r>
        <w:rPr>
          <w:rFonts w:ascii="方正大标宋_GBK" w:hAnsi="方正大标宋_GBK" w:eastAsia="方正仿宋_GBK"/>
          <w:color w:val="000000"/>
          <w:sz w:val="44"/>
          <w:szCs w:val="44"/>
        </w:rPr>
        <w:t xml:space="preserve"> </w:t>
      </w:r>
    </w:p>
    <w:p>
      <w:pPr>
        <w:spacing w:line="560" w:lineRule="exact"/>
        <w:rPr>
          <w:rFonts w:ascii="方正楷体_GBK" w:hAnsi="方正楷体_GBK" w:eastAsia="方正楷体_GBK" w:cs="方正楷体_GBK"/>
          <w:spacing w:val="1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0"/>
          <w:kern w:val="0"/>
          <w:sz w:val="32"/>
          <w:szCs w:val="32"/>
        </w:rPr>
        <w:t>各村（社区）党组织，各办（室、中心、大队），相关驻镇单位：</w:t>
      </w:r>
    </w:p>
    <w:p>
      <w:pPr>
        <w:spacing w:line="560" w:lineRule="exact"/>
        <w:ind w:firstLine="63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现将《古路镇</w:t>
      </w:r>
      <w:r>
        <w:rPr>
          <w:rFonts w:hint="eastAsia" w:ascii="Times New Roman" w:hAnsi="Times New Roman" w:eastAsia="方正仿宋_GBK"/>
          <w:sz w:val="32"/>
          <w:szCs w:val="32"/>
        </w:rPr>
        <w:t>2025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年普法依法治理工作要点》印发给你们，请结合实际，认真贯彻执行。</w:t>
      </w:r>
    </w:p>
    <w:p>
      <w:pPr>
        <w:spacing w:line="560" w:lineRule="exact"/>
        <w:ind w:firstLine="645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3760" w:firstLineChars="1175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中共重庆市渝北区古路镇委员会</w:t>
      </w:r>
    </w:p>
    <w:p>
      <w:pPr>
        <w:spacing w:line="560" w:lineRule="exact"/>
        <w:ind w:firstLine="3806" w:firstLineChars="1100"/>
        <w:rPr>
          <w:rFonts w:ascii="方正楷体_GBK" w:hAnsi="方正楷体_GBK" w:eastAsia="方正楷体_GBK" w:cs="方正楷体_GBK"/>
          <w:spacing w:val="17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3"/>
          <w:kern w:val="0"/>
          <w:sz w:val="32"/>
          <w:szCs w:val="32"/>
          <w:fitText w:val="4480" w:id="1986530545"/>
        </w:rPr>
        <w:t>重庆市渝北区古路镇人民政</w:t>
      </w:r>
      <w:r>
        <w:rPr>
          <w:rFonts w:hint="eastAsia" w:ascii="方正楷体_GBK" w:hAnsi="方正楷体_GBK" w:eastAsia="方正楷体_GBK" w:cs="方正楷体_GBK"/>
          <w:spacing w:val="4"/>
          <w:kern w:val="0"/>
          <w:sz w:val="32"/>
          <w:szCs w:val="32"/>
          <w:fitText w:val="4480" w:id="1986530545"/>
        </w:rPr>
        <w:t>府</w:t>
      </w:r>
    </w:p>
    <w:p>
      <w:pPr>
        <w:spacing w:line="560" w:lineRule="exact"/>
        <w:ind w:right="640" w:firstLine="4800" w:firstLineChars="15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2025</w:t>
      </w:r>
      <w:r>
        <w:rPr>
          <w:rFonts w:hint="eastAsia" w:ascii="方正楷体_GBK" w:hAnsi="方正楷体_GBK" w:eastAsia="方正楷体_GBK" w:cs="方正楷体_GBK"/>
          <w:spacing w:val="11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</w:rPr>
        <w:t>4</w:t>
      </w:r>
      <w:r>
        <w:rPr>
          <w:rFonts w:hint="eastAsia" w:ascii="方正楷体_GBK" w:hAnsi="方正楷体_GBK" w:eastAsia="方正楷体_GBK" w:cs="方正楷体_GBK"/>
          <w:spacing w:val="11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古路镇2025年普法依法治理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工 作 要 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60" w:lineRule="exact"/>
        <w:ind w:firstLine="6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是“十四五”收官之年，也是全民普法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40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周年和“八五”普法收官之年。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我镇普法依法治理工作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坚持以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习近平新时代中国特色社会主义思想为指导，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全面贯彻落实党的二十大和二十届二中、三中全会精神，深入学习贯彻习近平法治思想，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坚持普治结合、德法相融，全面完成“八五”普法目标任务，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为全镇现代化建设营造良好法治环境。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一、深化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主题普法宣传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1．</w:t>
      </w:r>
      <w:r>
        <w:rPr>
          <w:rFonts w:hint="eastAsia" w:ascii="Times New Roman" w:hAnsi="Times New Roman" w:eastAsia="方正楷体_GBK" w:cs="方正楷体_GBK"/>
          <w:bCs/>
          <w:color w:val="000000"/>
          <w:sz w:val="32"/>
          <w:szCs w:val="32"/>
        </w:rPr>
        <w:t>深入学习宣传贯彻习近平法治思想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以习近平法治思想引领全民普法工作，将习近平法治思想贯穿到全民普法的全过程、各方面。把</w:t>
      </w:r>
      <w:r>
        <w:rPr>
          <w:rFonts w:hint="eastAsia" w:ascii="Times New Roman" w:hAnsi="Times New Roman" w:eastAsia="方正仿宋_GBK"/>
          <w:sz w:val="32"/>
          <w:szCs w:val="32"/>
        </w:rPr>
        <w:t>习近平法治思想纳入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党委理论学习中心组学习</w:t>
      </w:r>
      <w:r>
        <w:rPr>
          <w:rFonts w:hint="eastAsia" w:ascii="Times New Roman" w:hAnsi="Times New Roman" w:eastAsia="方正仿宋_GBK"/>
          <w:sz w:val="32"/>
          <w:szCs w:val="32"/>
        </w:rPr>
        <w:t>重点内容和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干部教育培训规划，</w:t>
      </w:r>
      <w:r>
        <w:rPr>
          <w:rFonts w:hint="eastAsia" w:ascii="Times New Roman" w:hAnsi="Times New Roman" w:eastAsia="方正仿宋_GBK"/>
          <w:sz w:val="32"/>
          <w:szCs w:val="32"/>
        </w:rPr>
        <w:t>建立健全学习习近平法治思想常态化机制，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深化落实领导干部应知应会党内法规和国家法律清单制度，</w:t>
      </w:r>
      <w:r>
        <w:rPr>
          <w:rFonts w:hint="eastAsia" w:ascii="Times New Roman" w:hAnsi="Times New Roman" w:eastAsia="方正仿宋_GBK"/>
          <w:sz w:val="32"/>
          <w:szCs w:val="32"/>
        </w:rPr>
        <w:t>用好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习近平同志《论坚持全面依法治国》《习近平法治思想学习纲要》</w:t>
      </w:r>
      <w:r>
        <w:rPr>
          <w:rFonts w:hint="eastAsia" w:ascii="Times New Roman" w:hAnsi="Times New Roman" w:eastAsia="方正仿宋_GBK"/>
          <w:sz w:val="32"/>
          <w:szCs w:val="32"/>
        </w:rPr>
        <w:t>等理论读物。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着力推动习近平法治思想大众化传播，发挥好各类普法阵地平台作用，推动习近平法治思想进农村、进社区、进机关、进企业、进校园、进网络。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责任</w:t>
      </w:r>
      <w:r>
        <w:rPr>
          <w:rFonts w:hint="eastAsia" w:ascii="Times New Roman" w:hAnsi="Times New Roman" w:eastAsia="方正仿宋_GBK"/>
          <w:sz w:val="32"/>
          <w:szCs w:val="32"/>
        </w:rPr>
        <w:t>部门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指挥室、党群办、文服中心、平安办、司法所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配合</w:t>
      </w:r>
      <w:r>
        <w:rPr>
          <w:rFonts w:hint="eastAsia" w:ascii="Times New Roman" w:hAnsi="Times New Roman" w:eastAsia="方正仿宋_GBK"/>
          <w:sz w:val="32"/>
          <w:szCs w:val="32"/>
        </w:rPr>
        <w:t>单位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Times New Roman" w:hAnsi="Times New Roman" w:eastAsia="方正仿宋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2．常态化开展宪法宣传教育。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加强宪法宣传教育，全面落实领导干部任前宪法宣誓，强化公职人员宪法意识。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组织开展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“12·4”国家宪法日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和“宪法宣传周”等系列宣传活动，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推动宪法宣传教育常态化长效化。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责任部门：党群办、文服中心、平安办、司法所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3．深入学习宣传中国特色社会主义法律体系</w:t>
      </w:r>
      <w:r>
        <w:rPr>
          <w:rFonts w:ascii="等线" w:hAnsi="等线" w:eastAsia="方正仿宋_GBK"/>
          <w:b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深入学习宣传中国特色社会主义法律体系和国家基本法律，</w:t>
      </w:r>
      <w:r>
        <w:rPr>
          <w:rFonts w:hint="eastAsia" w:ascii="Times New Roman" w:hAnsi="Times New Roman" w:eastAsia="方正仿宋_GBK"/>
          <w:sz w:val="32"/>
          <w:szCs w:val="32"/>
        </w:rPr>
        <w:t>大力开展民法典宣传月活动，推动民法典宣传宣讲活动常态化开展。加强国家安全、防诈反诈、食药品安全、生态环保、禁毒防邪、安全生产、消防、道路交通等民生领域普法宣传，促进社会和谐稳定。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责任部门：党群办、文服中心、平安办、执法大队、派出所、司法所</w:t>
      </w:r>
    </w:p>
    <w:p>
      <w:pPr>
        <w:adjustRightInd w:val="0"/>
        <w:snapToGrid w:val="0"/>
        <w:spacing w:line="560" w:lineRule="exact"/>
        <w:ind w:left="638" w:leftChars="304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4．加强党内法规学习宣传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贯彻落实领导干部应知应会党内法规和国家法律清单制度，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以党章、准则、条例等为重点开展党内法规专项宣传，特别是加强对《中国共产党纪律处分条例》《中华人民共和国公职人员政务处分法》《中华人民共和国监察法实施条例》等学习宣传。</w:t>
      </w:r>
      <w:r>
        <w:rPr>
          <w:rFonts w:hint="eastAsia" w:ascii="Times New Roman" w:hAnsi="Times New Roman" w:eastAsia="方正仿宋_GBK"/>
          <w:sz w:val="32"/>
          <w:szCs w:val="32"/>
        </w:rPr>
        <w:t>把党内法规学习纳入组织生活、党员干部教育培训内容，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深化拓展“以案四说”警示教育和以案促改、以案促治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责任部门：镇纪委、党群办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聚力扩展深化精准普法改革</w:t>
      </w:r>
    </w:p>
    <w:p>
      <w:pPr>
        <w:spacing w:line="560" w:lineRule="exact"/>
        <w:ind w:left="420"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5. 精准提升重点群体法治素养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持续推进公民法治素养提升行动，精准提升领导干部、青少年、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村（社区）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“两委”成员等重点群体的法治素养。</w:t>
      </w:r>
      <w:r>
        <w:rPr>
          <w:rFonts w:hint="eastAsia" w:ascii="Times New Roman" w:hAnsi="Times New Roman" w:eastAsia="方正仿宋_GBK"/>
          <w:sz w:val="32"/>
          <w:szCs w:val="32"/>
        </w:rPr>
        <w:t>落实国家工作人员学法用法制度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强化基层行政执法人员法治培训。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统筹开展“莎姐守未”“关爱明天 普法先行”等青少年普法活动。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精准普法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、释法，引导群众崇德尚法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责任部门：党群办、文服中心、平安办、各执法部门、司法所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、各相关驻镇单位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6．服务营造法治化营商环境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加强重庆市优化营商环境条例的宣传，大力宣传相关平等保护、公平竞争、激发市场主体活力的法律法规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24"/>
        </w:rPr>
        <w:t>强化</w:t>
      </w:r>
      <w:r>
        <w:rPr>
          <w:rFonts w:ascii="Times New Roman" w:hAnsi="Times New Roman" w:eastAsia="方正仿宋_GBK"/>
          <w:sz w:val="32"/>
          <w:szCs w:val="24"/>
        </w:rPr>
        <w:t>法律咨询、纠纷调解等公益法律服务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推动执法人员、律师、普法志愿者到企业开展法律进企业等普法活动，强化企业管理人员、会计等人员的法治培训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责任部门：经发办、各执法部门、司法所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三、进一步推动普法融入平安法治建设</w:t>
      </w:r>
    </w:p>
    <w:p>
      <w:pPr>
        <w:spacing w:line="560" w:lineRule="exact"/>
        <w:ind w:left="420"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7. 深化全过程实时普法。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深入落实“谁执法谁普法”“谁管理谁普法”“谁服务谁普法”普法责任制，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推进普法融入执法全过程，推行全程说理式执法、普法式执法模式。推动司法机关运用“庭审进镇街”等形式开展释法说理。促进普法融入法律服务全过程，在法律援助、调解以及涉法涉诉信访案件办理过程中同步开展普法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责任部门：平安办、各执法部门、司法所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、各相关驻镇单位</w:t>
      </w:r>
    </w:p>
    <w:p>
      <w:pPr>
        <w:spacing w:line="560" w:lineRule="exact"/>
        <w:ind w:left="420"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8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强化服务安全稳定普法工作。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大力宣传总体国家安全观和国家安全相关法律，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认真开展“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4.15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全民国家安全教育日法治宣传教育活动，增强全社会国家安全意识。以反有组织犯罪法等为重点深化扫黑除恶法治宣传，加强反恐怖主义、反诈骗、反赌博、反拐卖、反邪教等方面普法宣传，促进社会和谐稳定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责任部门：平安办、党建办、文服中心、司法所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配合单位：各村（社区）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9．深化基层依法治理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深化“民主法治示范村（社区）”创建活动和“法律之家”标准化建设，大力开展“法律明白人”培育工作，提升“法律明白人”培养质量</w:t>
      </w:r>
      <w:r>
        <w:rPr>
          <w:rFonts w:hint="eastAsia" w:ascii="Times New Roman" w:hAnsi="Times New Roman" w:eastAsia="方正仿宋_GBK"/>
          <w:sz w:val="32"/>
          <w:szCs w:val="32"/>
        </w:rPr>
        <w:t>。深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入实施“枫桥经验”，健全“诉调、警调、访调”等联调机制，充分发挥“法律明白人”在矛盾纠纷预防化解中的积极作用，及时化解矛盾纠纷，做到应调尽调。将常态化法治教育纳入重点人群服务管理内容，切实加强风险防控。</w:t>
      </w:r>
    </w:p>
    <w:p>
      <w:pPr>
        <w:spacing w:line="560" w:lineRule="exact"/>
        <w:ind w:firstLine="640" w:firstLineChars="200"/>
        <w:jc w:val="left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责任部门：平安办、民生办、派出所、司法所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10．深化法治乡村建设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深化“乡村振兴 法治同行”等活动，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强化村（社区）“两委”班子成员法治培训，进一步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zh-CN"/>
        </w:rPr>
        <w:t>加强农村“学法用法示范户”培育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。大力完善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公共法律服务体系建设，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推进“一村（社区）一法律顾问”制度，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推动建立法律顾问支持“法律明白人”履职的工作机制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责任部门：平安办、民生办、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shd w:val="clear" w:color="auto" w:fill="FFFFFF"/>
        </w:rPr>
        <w:t>产业服务中心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四、加强社会主义法治文化建设</w:t>
      </w:r>
    </w:p>
    <w:p>
      <w:pPr>
        <w:spacing w:line="560" w:lineRule="exact"/>
        <w:ind w:firstLine="641"/>
        <w:rPr>
          <w:rFonts w:ascii="方正仿宋_GBK" w:hAnsi="仿宋_GB2312" w:eastAsia="方正仿宋_GBK" w:cs="仿宋_GB2312"/>
          <w:color w:val="000000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11．丰富群众法治文化生活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按照《渝北区贯彻落实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关于加强社会主义法治文化建设的意见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的责任清单》抓好落实。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加大法治文化惠民力度，</w:t>
      </w:r>
      <w:r>
        <w:rPr>
          <w:rFonts w:hint="eastAsia" w:ascii="方正仿宋_GBK" w:hAnsi="Times New Roman" w:eastAsia="方正仿宋_GBK"/>
          <w:sz w:val="32"/>
          <w:szCs w:val="32"/>
        </w:rPr>
        <w:t>广泛开展法治文艺演出、法治电影进村居、法治书画展等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24"/>
        </w:rPr>
        <w:t>丰富多彩的法治文化展演，积极引导群众崇德尚法，崇法向善。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责任部门：党群办、文服中心、司法所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12．加强法治文化阵地建设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强化城乡法治宣传设施建设，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建好用好法治长廊、广场和法治宣传专栏、橱窗等阵地。在全镇公共图书室、农家书屋、社区书屋中，提高普法读物的藏书量和流通量。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责任部门：党群办、文服中心</w:t>
      </w:r>
    </w:p>
    <w:p>
      <w:pPr>
        <w:spacing w:line="560" w:lineRule="exact"/>
        <w:ind w:firstLine="640" w:firstLineChars="200"/>
        <w:jc w:val="lef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hAnsi="方正楷体_GBK" w:eastAsia="方正黑体_GBK" w:cs="方正楷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五、强化组织保障，确保工作有序开展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13．健全完善普法依法治理机制</w:t>
      </w:r>
      <w:r>
        <w:rPr>
          <w:rFonts w:ascii="Times New Roman" w:hAnsi="Times New Roman" w:eastAsia="方正仿宋_GBK"/>
          <w:b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将普法</w:t>
      </w:r>
      <w:r>
        <w:rPr>
          <w:rFonts w:hint="eastAsia" w:ascii="Times New Roman" w:hAnsi="Times New Roman" w:eastAsia="方正仿宋_GBK"/>
          <w:sz w:val="32"/>
          <w:szCs w:val="32"/>
        </w:rPr>
        <w:t>依法治理</w:t>
      </w:r>
      <w:r>
        <w:rPr>
          <w:rFonts w:ascii="Times New Roman" w:hAnsi="Times New Roman" w:eastAsia="方正仿宋_GBK"/>
          <w:sz w:val="32"/>
          <w:szCs w:val="32"/>
        </w:rPr>
        <w:t>工作纳入党政主要负责人履行推进法治建设第一负责人职责</w:t>
      </w:r>
      <w:r>
        <w:rPr>
          <w:rFonts w:hint="eastAsia" w:ascii="Times New Roman" w:hAnsi="Times New Roman" w:eastAsia="方正仿宋_GBK"/>
          <w:sz w:val="32"/>
          <w:szCs w:val="32"/>
        </w:rPr>
        <w:t>，把法治教育纳入全镇平安建设考核和文明创建考核内容，健全完善普法依法治理工作的考核评估制度。</w:t>
      </w:r>
      <w:r>
        <w:rPr>
          <w:rFonts w:ascii="Times New Roman" w:hAnsi="Times New Roman" w:eastAsia="方正仿宋_GBK"/>
          <w:sz w:val="32"/>
          <w:szCs w:val="32"/>
        </w:rPr>
        <w:t>把普法工作经费列入政府财政预算，并建立动态增长机制，实行专款专用。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责任部门：党群办、经发办、平安办、文服中心、司法所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14. 压实普法责任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持续深化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“谁执法谁普法”“谁管理谁普法”“谁服务谁普法”普法责任制</w:t>
      </w:r>
      <w:r>
        <w:rPr>
          <w:rFonts w:hint="eastAsia" w:ascii="Times New Roman" w:hAnsi="Times New Roman" w:eastAsia="方正仿宋_GBK"/>
          <w:sz w:val="32"/>
          <w:szCs w:val="32"/>
        </w:rPr>
        <w:t>，各部门要</w:t>
      </w:r>
      <w:r>
        <w:rPr>
          <w:rFonts w:ascii="Times New Roman" w:hAnsi="Times New Roman" w:eastAsia="方正仿宋_GBK"/>
          <w:sz w:val="32"/>
          <w:szCs w:val="32"/>
        </w:rPr>
        <w:t>坚持普法工作和法治实践相结合，</w:t>
      </w:r>
      <w:r>
        <w:rPr>
          <w:rFonts w:hint="eastAsia" w:ascii="Times New Roman" w:hAnsi="Times New Roman" w:eastAsia="方正仿宋_GBK"/>
          <w:sz w:val="32"/>
          <w:szCs w:val="32"/>
        </w:rPr>
        <w:t>依据自身职能职责，分行业、分领域制定年度普法计划，把普法深度融入执法、法律服务全过程，加大以案普法、以案释法力度，强化行政执法部门以案释法主体责任，推广典型案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例。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责任部门：镇属各部门、派出所、司法所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bCs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配合单位：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各村（社区）</w:t>
      </w:r>
      <w:r>
        <w:rPr>
          <w:rFonts w:hint="eastAsia" w:ascii="方正仿宋_GBK" w:hAnsi="方正楷体_GBK" w:eastAsia="方正仿宋_GBK" w:cs="方正楷体_GBK"/>
          <w:bCs/>
          <w:sz w:val="32"/>
          <w:szCs w:val="32"/>
        </w:rPr>
        <w:t>、各相关驻镇单位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15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．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做好“八五”普法总结验收和“九五”普法谋划工作。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按照“八五”普法规划要求，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组织开展好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八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五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普法规划实施情况自查工作，对标对表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规划要求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查找薄弱环节，补齐短板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逐项落实，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做好迎接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全区检查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zh-CN"/>
        </w:rPr>
        <w:t>验收的各项准备。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同时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结合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我镇</w:t>
      </w:r>
      <w:r>
        <w:rPr>
          <w:rFonts w:ascii="Times New Roman" w:hAnsi="Times New Roman" w:eastAsia="方正仿宋_GBK"/>
          <w:color w:val="000000"/>
          <w:sz w:val="32"/>
          <w:szCs w:val="32"/>
        </w:rPr>
        <w:t>普法依法治理工作实际，科学谋划好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“九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普法。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责任单位：镇属各部门、司法所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</w:rPr>
        <w:t>配合单位：各村（社区）、各相关驻镇单位</w:t>
      </w: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48" w:firstLineChars="200"/>
        <w:rPr>
          <w:rFonts w:ascii="Times New Roman" w:hAnsi="Times New Roman" w:eastAsia="方正楷体_GBK"/>
          <w:bCs/>
          <w:snapToGrid w:val="0"/>
          <w:spacing w:val="-23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楷体_GBK"/>
          <w:b w:val="0"/>
          <w:bCs/>
          <w:snapToGrid w:val="0"/>
          <w:spacing w:val="-23"/>
          <w:kern w:val="0"/>
          <w:sz w:val="32"/>
          <w:szCs w:val="32"/>
        </w:rPr>
      </w:pPr>
    </w:p>
    <w:p/>
    <w:tbl>
      <w:tblPr>
        <w:tblStyle w:val="15"/>
        <w:tblpPr w:leftFromText="180" w:rightFromText="180" w:vertAnchor="text" w:horzAnchor="page" w:tblpX="1577" w:tblpY="1159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重庆市渝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北区古路镇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基层治理综合指挥室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74" w:bottom="1587" w:left="158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方正仿宋_GBK" w:hAnsi="方正仿宋_GBK" w:eastAsia="方正仿宋_GBK" w:cs="方正仿宋_GBK"/>
        <w:sz w:val="28"/>
        <w:szCs w:val="28"/>
      </w:rPr>
    </w:pPr>
    <w:r>
      <w:rPr>
        <w:rFonts w:ascii="方正仿宋_GBK" w:hAnsi="方正仿宋_GBK" w:eastAsia="方正仿宋_GBK" w:cs="方正仿宋_GBK"/>
        <w:sz w:val="28"/>
        <w:szCs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OGY5ZmViZTQzZjIwNzM0MmRiYjczOWJhOGJkMzUifQ=="/>
  </w:docVars>
  <w:rsids>
    <w:rsidRoot w:val="759FAA5A"/>
    <w:rsid w:val="006D075E"/>
    <w:rsid w:val="008250C9"/>
    <w:rsid w:val="00A13CDD"/>
    <w:rsid w:val="03780A3E"/>
    <w:rsid w:val="03BE4F8C"/>
    <w:rsid w:val="040436AD"/>
    <w:rsid w:val="08D6239D"/>
    <w:rsid w:val="090D0D0F"/>
    <w:rsid w:val="0ABE6B01"/>
    <w:rsid w:val="0D3706FD"/>
    <w:rsid w:val="0FBD344E"/>
    <w:rsid w:val="12BC4132"/>
    <w:rsid w:val="12E00906"/>
    <w:rsid w:val="13B60160"/>
    <w:rsid w:val="13B9132C"/>
    <w:rsid w:val="150B7EEB"/>
    <w:rsid w:val="15697406"/>
    <w:rsid w:val="15D46EF6"/>
    <w:rsid w:val="15F3030F"/>
    <w:rsid w:val="170E1591"/>
    <w:rsid w:val="17B2563E"/>
    <w:rsid w:val="1A5F624E"/>
    <w:rsid w:val="1B6D7FA4"/>
    <w:rsid w:val="1C205F5B"/>
    <w:rsid w:val="1C913E5B"/>
    <w:rsid w:val="1CFA3E60"/>
    <w:rsid w:val="216D737F"/>
    <w:rsid w:val="232756BC"/>
    <w:rsid w:val="255074DA"/>
    <w:rsid w:val="276F1F18"/>
    <w:rsid w:val="291960B8"/>
    <w:rsid w:val="291A08F2"/>
    <w:rsid w:val="2BC870E4"/>
    <w:rsid w:val="2C493DCD"/>
    <w:rsid w:val="2EA81826"/>
    <w:rsid w:val="31722170"/>
    <w:rsid w:val="339B722B"/>
    <w:rsid w:val="36CC47D2"/>
    <w:rsid w:val="37060C75"/>
    <w:rsid w:val="376F12E2"/>
    <w:rsid w:val="37BC4173"/>
    <w:rsid w:val="3B46059E"/>
    <w:rsid w:val="3B941CCF"/>
    <w:rsid w:val="3E2468E7"/>
    <w:rsid w:val="40594296"/>
    <w:rsid w:val="41C66E9C"/>
    <w:rsid w:val="45423F22"/>
    <w:rsid w:val="4565144C"/>
    <w:rsid w:val="48632DD4"/>
    <w:rsid w:val="514543F9"/>
    <w:rsid w:val="58F87ADF"/>
    <w:rsid w:val="5AB57A1B"/>
    <w:rsid w:val="5CBB0E7A"/>
    <w:rsid w:val="5D006F9E"/>
    <w:rsid w:val="5E605F00"/>
    <w:rsid w:val="664F1DDA"/>
    <w:rsid w:val="67A652EB"/>
    <w:rsid w:val="67B234FF"/>
    <w:rsid w:val="68201D61"/>
    <w:rsid w:val="6839532A"/>
    <w:rsid w:val="689A3D2B"/>
    <w:rsid w:val="6984123D"/>
    <w:rsid w:val="6C9F195F"/>
    <w:rsid w:val="6EB03FF1"/>
    <w:rsid w:val="6F81208D"/>
    <w:rsid w:val="72DF4213"/>
    <w:rsid w:val="759FAA5A"/>
    <w:rsid w:val="76943AB8"/>
    <w:rsid w:val="774F23EF"/>
    <w:rsid w:val="7A170746"/>
    <w:rsid w:val="7AC904A4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4" w:lineRule="exact"/>
      <w:outlineLvl w:val="1"/>
    </w:pPr>
    <w:rPr>
      <w:rFonts w:eastAsia="方正楷体_GBK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index 6"/>
    <w:next w:val="1"/>
    <w:qFormat/>
    <w:uiPriority w:val="0"/>
    <w:pPr>
      <w:widowControl w:val="0"/>
      <w:spacing w:line="600" w:lineRule="exact"/>
      <w:ind w:left="21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paragraph" w:styleId="6">
    <w:name w:val="Body Text"/>
    <w:basedOn w:val="1"/>
    <w:next w:val="5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7">
    <w:name w:val="toc 5"/>
    <w:next w:val="1"/>
    <w:qFormat/>
    <w:uiPriority w:val="0"/>
    <w:pPr>
      <w:widowControl w:val="0"/>
      <w:spacing w:line="600" w:lineRule="exact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8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9">
    <w:name w:val="Plain Text"/>
    <w:qFormat/>
    <w:uiPriority w:val="0"/>
    <w:pPr>
      <w:widowControl w:val="0"/>
      <w:spacing w:line="600" w:lineRule="exact"/>
      <w:jc w:val="both"/>
    </w:pPr>
    <w:rPr>
      <w:rFonts w:ascii="宋体" w:hAnsi="Courier New" w:eastAsia="方正仿宋_GBK" w:cs="Courier New"/>
      <w:kern w:val="2"/>
      <w:sz w:val="33"/>
      <w:szCs w:val="21"/>
      <w:lang w:val="en-US" w:eastAsia="zh-CN" w:bidi="ar-SA"/>
    </w:rPr>
  </w:style>
  <w:style w:type="paragraph" w:styleId="10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8">
    <w:name w:val="page number"/>
    <w:qFormat/>
    <w:uiPriority w:val="0"/>
  </w:style>
  <w:style w:type="paragraph" w:customStyle="1" w:styleId="19">
    <w:name w:val="索引 51"/>
    <w:basedOn w:val="1"/>
    <w:next w:val="1"/>
    <w:qFormat/>
    <w:uiPriority w:val="0"/>
    <w:pPr>
      <w:ind w:left="1680"/>
    </w:pPr>
    <w:rPr>
      <w:rFonts w:eastAsia="方正仿宋_GBK"/>
      <w:sz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22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5">
    <w:name w:val="p0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font81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character" w:customStyle="1" w:styleId="27">
    <w:name w:val="font31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28">
    <w:name w:val="font21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9">
    <w:name w:val="font121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498</Words>
  <Characters>2842</Characters>
  <Lines>23</Lines>
  <Paragraphs>6</Paragraphs>
  <TotalTime>21</TotalTime>
  <ScaleCrop>false</ScaleCrop>
  <LinksUpToDate>false</LinksUpToDate>
  <CharactersWithSpaces>3334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杨倩怡</cp:lastModifiedBy>
  <cp:lastPrinted>2025-04-02T08:19:00Z</cp:lastPrinted>
  <dcterms:modified xsi:type="dcterms:W3CDTF">2025-07-01T01:12:29Z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20DAE49D85D546FFB3D34C7C849C6E05_13</vt:lpwstr>
  </property>
  <property fmtid="{D5CDD505-2E9C-101B-9397-08002B2CF9AE}" pid="4" name="KSOTemplateDocerSaveRecord">
    <vt:lpwstr>eyJoZGlkIjoiNWUyOGY5ZmViZTQzZjIwNzM0MmRiYjczOWJhOGJkMzUiLCJ1c2VySWQiOiIxMDA2MDI3ODk1In0=</vt:lpwstr>
  </property>
</Properties>
</file>