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5D0">
      <w:pPr>
        <w:pStyle w:val="Char1"/>
        <w:shd w:val="clear" w:color="auto" w:fill="FFFFFF"/>
        <w:spacing w:before="0" w:beforeAutospacing="0" w:after="0" w:afterAutospacing="0" w:line="600" w:lineRule="exact"/>
        <w:jc w:val="center"/>
        <w:rPr>
          <w:rFonts w:ascii="方正小标宋_GBK" w:eastAsia="方正小标宋_GBK"/>
          <w:b/>
          <w:sz w:val="44"/>
          <w:szCs w:val="44"/>
          <w:shd w:val="clear" w:color="auto" w:fill="FFFFFF"/>
        </w:rPr>
      </w:pPr>
      <w:bookmarkStart w:id="0" w:name="_GoBack"/>
      <w:bookmarkEnd w:id="0"/>
      <w:r>
        <w:rPr>
          <w:rStyle w:val="20"/>
          <w:rFonts w:ascii="方正小标宋_GBK" w:eastAsia="方正小标宋_GBK" w:hint="eastAsia"/>
          <w:b w:val="0"/>
          <w:bCs/>
          <w:sz w:val="44"/>
          <w:szCs w:val="44"/>
          <w:shd w:val="clear" w:color="auto" w:fill="FFFFFF"/>
        </w:rPr>
        <w:t>重庆市渝北区古路镇人民政府</w:t>
      </w:r>
    </w:p>
    <w:p w:rsidR="00000000" w:rsidRDefault="009005D0">
      <w:pPr>
        <w:pStyle w:val="Char1"/>
        <w:shd w:val="clear" w:color="auto" w:fill="FFFFFF"/>
        <w:spacing w:before="0" w:beforeAutospacing="0" w:after="0" w:afterAutospacing="0" w:line="600" w:lineRule="exact"/>
        <w:jc w:val="center"/>
        <w:rPr>
          <w:rFonts w:hint="eastAsia"/>
          <w:shd w:val="clear" w:color="auto" w:fill="FFFFFF"/>
        </w:rPr>
      </w:pPr>
      <w:r>
        <w:rPr>
          <w:rStyle w:val="20"/>
          <w:rFonts w:ascii="方正小标宋_GBK" w:eastAsia="方正小标宋_GBK" w:hint="eastAsia"/>
          <w:b w:val="0"/>
          <w:bCs/>
          <w:sz w:val="44"/>
          <w:szCs w:val="44"/>
          <w:shd w:val="clear" w:color="auto" w:fill="FFFFFF"/>
        </w:rPr>
        <w:t>2022</w:t>
      </w:r>
      <w:r>
        <w:rPr>
          <w:rStyle w:val="20"/>
          <w:rFonts w:ascii="方正小标宋_GBK" w:eastAsia="方正小标宋_GBK" w:hint="eastAsia"/>
          <w:b w:val="0"/>
          <w:bCs/>
          <w:sz w:val="44"/>
          <w:szCs w:val="44"/>
          <w:shd w:val="clear" w:color="auto" w:fill="FFFFFF"/>
        </w:rPr>
        <w:t>年度部门决算公开情况说明</w:t>
      </w:r>
    </w:p>
    <w:p w:rsidR="00000000" w:rsidRDefault="009005D0">
      <w:pPr>
        <w:pStyle w:val="Char1"/>
        <w:shd w:val="clear" w:color="auto" w:fill="FFFFFF"/>
        <w:spacing w:before="0" w:beforeAutospacing="0" w:after="0" w:afterAutospacing="0" w:line="600" w:lineRule="exact"/>
        <w:ind w:firstLineChars="200" w:firstLine="640"/>
        <w:jc w:val="center"/>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 xml:space="preserve"> </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黑体_GBK" w:eastAsia="方正黑体_GBK" w:hint="eastAsia"/>
          <w:b/>
          <w:sz w:val="32"/>
          <w:szCs w:val="32"/>
          <w:shd w:val="clear" w:color="auto" w:fill="FFFFFF"/>
        </w:rPr>
      </w:pPr>
      <w:r>
        <w:rPr>
          <w:rStyle w:val="20"/>
          <w:rFonts w:ascii="方正黑体_GBK" w:eastAsia="方正黑体_GBK" w:hint="eastAsia"/>
          <w:b w:val="0"/>
          <w:bCs/>
          <w:sz w:val="32"/>
          <w:szCs w:val="32"/>
          <w:shd w:val="clear" w:color="auto" w:fill="FFFFFF"/>
        </w:rPr>
        <w:t>一、部门基本情况</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b/>
          <w:sz w:val="32"/>
          <w:szCs w:val="32"/>
          <w:shd w:val="clear" w:color="auto" w:fill="FFFFFF"/>
        </w:rPr>
      </w:pPr>
      <w:r>
        <w:rPr>
          <w:rStyle w:val="20"/>
          <w:rFonts w:ascii="方正楷体_GBK" w:eastAsia="方正楷体_GBK" w:hint="eastAsia"/>
          <w:b w:val="0"/>
          <w:bCs/>
          <w:sz w:val="32"/>
          <w:szCs w:val="32"/>
          <w:shd w:val="clear" w:color="auto" w:fill="FFFFFF"/>
        </w:rPr>
        <w:t>（一）职能职责</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古路镇人民政府基本职能职责是执行本级人民代表大会的决议和上级国家行政机关的决定和命令，发布决定和命令；执行古路镇行政区域内的经济和社会发展规划，管理古路镇行政区域内的经济、教育、科学、文化、卫生、体育事业和财政、民政、公安、司法行政、计划生育等行政工作；推动产业结构调整，转变农业发展方式，优化发展环境，大力发展休闲旅游业、都市型现代观光农业，着力构建绿色高效经济体系；关注和改善民生，加快社会事业发展，提高公共服务水平，全面落实各项惠农政策，增加农民收入；保护合法财产，维护社会秩序，保障公民的人身权利、民主权</w:t>
      </w:r>
      <w:r>
        <w:rPr>
          <w:rFonts w:ascii="方正仿宋_GBK" w:eastAsia="方正仿宋_GBK" w:hint="eastAsia"/>
          <w:sz w:val="32"/>
          <w:szCs w:val="32"/>
          <w:shd w:val="clear" w:color="auto" w:fill="FFFFFF"/>
        </w:rPr>
        <w:t>利和其他合法权利；不断强化社会维稳体系，加强农村社会治安综合治理，防范和化解农村社会矛盾，确保古路镇社会总体形势稳定，并完成上级政府交办的其他事项。</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（二）机构设置</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color w:val="000000"/>
          <w:sz w:val="32"/>
          <w:szCs w:val="32"/>
          <w:shd w:val="clear" w:color="auto" w:fill="FFFFFF"/>
        </w:rPr>
        <w:t>2022</w:t>
      </w:r>
      <w:r>
        <w:rPr>
          <w:rFonts w:ascii="方正仿宋_GBK" w:eastAsia="方正仿宋_GBK" w:hint="eastAsia"/>
          <w:color w:val="000000"/>
          <w:sz w:val="32"/>
          <w:szCs w:val="32"/>
          <w:shd w:val="clear" w:color="auto" w:fill="FFFFFF"/>
        </w:rPr>
        <w:t>年度，纳入我镇部门决算汇编范围的独立核算单位共</w:t>
      </w:r>
      <w:r>
        <w:rPr>
          <w:rFonts w:ascii="方正仿宋_GBK" w:eastAsia="方正仿宋_GBK" w:hint="eastAsia"/>
          <w:color w:val="000000"/>
          <w:sz w:val="32"/>
          <w:szCs w:val="32"/>
          <w:shd w:val="clear" w:color="auto" w:fill="FFFFFF"/>
        </w:rPr>
        <w:t>7</w:t>
      </w:r>
      <w:r>
        <w:rPr>
          <w:rFonts w:ascii="方正仿宋_GBK" w:eastAsia="方正仿宋_GBK" w:hint="eastAsia"/>
          <w:color w:val="000000"/>
          <w:sz w:val="32"/>
          <w:szCs w:val="32"/>
          <w:shd w:val="clear" w:color="auto" w:fill="FFFFFF"/>
        </w:rPr>
        <w:t>个，</w:t>
      </w:r>
      <w:r>
        <w:rPr>
          <w:rFonts w:ascii="方正仿宋_GBK" w:eastAsia="方正仿宋_GBK" w:hint="eastAsia"/>
          <w:sz w:val="32"/>
          <w:szCs w:val="32"/>
          <w:shd w:val="clear" w:color="auto" w:fill="FFFFFF"/>
        </w:rPr>
        <w:t>其中行政机构</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个，事业机构</w:t>
      </w:r>
      <w:r>
        <w:rPr>
          <w:rFonts w:ascii="方正仿宋_GBK" w:eastAsia="方正仿宋_GBK" w:hint="eastAsia"/>
          <w:sz w:val="32"/>
          <w:szCs w:val="32"/>
          <w:shd w:val="clear" w:color="auto" w:fill="FFFFFF"/>
        </w:rPr>
        <w:t>6</w:t>
      </w:r>
      <w:r>
        <w:rPr>
          <w:rFonts w:ascii="方正仿宋_GBK" w:eastAsia="方正仿宋_GBK" w:hint="eastAsia"/>
          <w:sz w:val="32"/>
          <w:szCs w:val="32"/>
          <w:shd w:val="clear" w:color="auto" w:fill="FFFFFF"/>
        </w:rPr>
        <w:t>个，与上年数据一致。行政机构内设科室党政办公室、党群工作办公室、经济发展办公室、民政和社会事务办公室、平安建设办公室、规划建设管理环保办公室、财政办公室、应急管理办公室、综合行政执法办公室、人大办公室。事业机构包括：农业服务中心、文化服务中心、劳动就业和社会</w:t>
      </w:r>
      <w:r>
        <w:rPr>
          <w:rFonts w:ascii="方正仿宋_GBK" w:eastAsia="方正仿宋_GBK" w:hint="eastAsia"/>
          <w:sz w:val="32"/>
          <w:szCs w:val="32"/>
          <w:shd w:val="clear" w:color="auto" w:fill="FFFFFF"/>
        </w:rPr>
        <w:t>保障服务所、退役军人服务站、综合行政执法大队、村镇建设服务中心。</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年度本单位</w:t>
      </w:r>
      <w:r>
        <w:rPr>
          <w:rFonts w:ascii="方正仿宋_GBK" w:eastAsia="方正仿宋_GBK" w:hint="eastAsia"/>
          <w:sz w:val="32"/>
          <w:szCs w:val="32"/>
          <w:shd w:val="clear" w:color="auto" w:fill="FFFFFF"/>
        </w:rPr>
        <w:lastRenderedPageBreak/>
        <w:t>具体编制情况如下：行政编制，政府机关</w:t>
      </w:r>
      <w:r>
        <w:rPr>
          <w:rFonts w:ascii="方正仿宋_GBK" w:eastAsia="方正仿宋_GBK" w:hint="eastAsia"/>
          <w:sz w:val="32"/>
          <w:szCs w:val="32"/>
          <w:shd w:val="clear" w:color="auto" w:fill="FFFFFF"/>
        </w:rPr>
        <w:t>46</w:t>
      </w:r>
      <w:r>
        <w:rPr>
          <w:rFonts w:ascii="方正仿宋_GBK" w:eastAsia="方正仿宋_GBK" w:hint="eastAsia"/>
          <w:sz w:val="32"/>
          <w:szCs w:val="32"/>
          <w:shd w:val="clear" w:color="auto" w:fill="FFFFFF"/>
        </w:rPr>
        <w:t>人（含工勤编制</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人）；事业编制</w:t>
      </w:r>
      <w:r>
        <w:rPr>
          <w:rFonts w:ascii="方正仿宋_GBK" w:eastAsia="方正仿宋_GBK" w:hint="eastAsia"/>
          <w:sz w:val="32"/>
          <w:szCs w:val="32"/>
          <w:shd w:val="clear" w:color="auto" w:fill="FFFFFF"/>
        </w:rPr>
        <w:t>42</w:t>
      </w:r>
      <w:r>
        <w:rPr>
          <w:rFonts w:ascii="方正仿宋_GBK" w:eastAsia="方正仿宋_GBK" w:hint="eastAsia"/>
          <w:sz w:val="32"/>
          <w:szCs w:val="32"/>
          <w:shd w:val="clear" w:color="auto" w:fill="FFFFFF"/>
        </w:rPr>
        <w:t>人，农业服务中心</w:t>
      </w:r>
      <w:r>
        <w:rPr>
          <w:rFonts w:ascii="方正仿宋_GBK" w:eastAsia="方正仿宋_GBK" w:hint="eastAsia"/>
          <w:sz w:val="32"/>
          <w:szCs w:val="32"/>
          <w:shd w:val="clear" w:color="auto" w:fill="FFFFFF"/>
        </w:rPr>
        <w:t>15</w:t>
      </w:r>
      <w:r>
        <w:rPr>
          <w:rFonts w:ascii="方正仿宋_GBK" w:eastAsia="方正仿宋_GBK" w:hint="eastAsia"/>
          <w:sz w:val="32"/>
          <w:szCs w:val="32"/>
          <w:shd w:val="clear" w:color="auto" w:fill="FFFFFF"/>
        </w:rPr>
        <w:t>人、文化服务中心</w:t>
      </w:r>
      <w:r>
        <w:rPr>
          <w:rFonts w:ascii="方正仿宋_GBK" w:eastAsia="方正仿宋_GBK" w:hint="eastAsia"/>
          <w:sz w:val="32"/>
          <w:szCs w:val="32"/>
          <w:shd w:val="clear" w:color="auto" w:fill="FFFFFF"/>
        </w:rPr>
        <w:t>5</w:t>
      </w:r>
      <w:r>
        <w:rPr>
          <w:rFonts w:ascii="方正仿宋_GBK" w:eastAsia="方正仿宋_GBK" w:hint="eastAsia"/>
          <w:sz w:val="32"/>
          <w:szCs w:val="32"/>
          <w:shd w:val="clear" w:color="auto" w:fill="FFFFFF"/>
        </w:rPr>
        <w:t>人、劳动就业和社会保障服务所</w:t>
      </w:r>
      <w:r>
        <w:rPr>
          <w:rFonts w:ascii="方正仿宋_GBK" w:eastAsia="方正仿宋_GBK" w:hint="eastAsia"/>
          <w:sz w:val="32"/>
          <w:szCs w:val="32"/>
          <w:shd w:val="clear" w:color="auto" w:fill="FFFFFF"/>
        </w:rPr>
        <w:t>8</w:t>
      </w:r>
      <w:r>
        <w:rPr>
          <w:rFonts w:ascii="方正仿宋_GBK" w:eastAsia="方正仿宋_GBK" w:hint="eastAsia"/>
          <w:sz w:val="32"/>
          <w:szCs w:val="32"/>
          <w:shd w:val="clear" w:color="auto" w:fill="FFFFFF"/>
        </w:rPr>
        <w:t>人、退役军人服务站</w:t>
      </w:r>
      <w:r>
        <w:rPr>
          <w:rFonts w:ascii="方正仿宋_GBK" w:eastAsia="方正仿宋_GBK" w:hint="eastAsia"/>
          <w:sz w:val="32"/>
          <w:szCs w:val="32"/>
          <w:shd w:val="clear" w:color="auto" w:fill="FFFFFF"/>
        </w:rPr>
        <w:t>3</w:t>
      </w:r>
      <w:r>
        <w:rPr>
          <w:rFonts w:ascii="方正仿宋_GBK" w:eastAsia="方正仿宋_GBK" w:hint="eastAsia"/>
          <w:sz w:val="32"/>
          <w:szCs w:val="32"/>
          <w:shd w:val="clear" w:color="auto" w:fill="FFFFFF"/>
        </w:rPr>
        <w:t>人、综合行政执法大队</w:t>
      </w:r>
      <w:r>
        <w:rPr>
          <w:rFonts w:ascii="方正仿宋_GBK" w:eastAsia="方正仿宋_GBK" w:hint="eastAsia"/>
          <w:sz w:val="32"/>
          <w:szCs w:val="32"/>
          <w:shd w:val="clear" w:color="auto" w:fill="FFFFFF"/>
        </w:rPr>
        <w:t>6</w:t>
      </w:r>
      <w:r>
        <w:rPr>
          <w:rFonts w:ascii="方正仿宋_GBK" w:eastAsia="方正仿宋_GBK" w:hint="eastAsia"/>
          <w:sz w:val="32"/>
          <w:szCs w:val="32"/>
          <w:shd w:val="clear" w:color="auto" w:fill="FFFFFF"/>
        </w:rPr>
        <w:t>人、村镇建设服务中心</w:t>
      </w:r>
      <w:r>
        <w:rPr>
          <w:rFonts w:ascii="方正仿宋_GBK" w:eastAsia="方正仿宋_GBK" w:hint="eastAsia"/>
          <w:sz w:val="32"/>
          <w:szCs w:val="32"/>
          <w:shd w:val="clear" w:color="auto" w:fill="FFFFFF"/>
        </w:rPr>
        <w:t>5</w:t>
      </w:r>
      <w:r>
        <w:rPr>
          <w:rFonts w:ascii="方正仿宋_GBK" w:eastAsia="方正仿宋_GBK" w:hint="eastAsia"/>
          <w:sz w:val="32"/>
          <w:szCs w:val="32"/>
          <w:shd w:val="clear" w:color="auto" w:fill="FFFFFF"/>
        </w:rPr>
        <w:t>人。</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（三）单位构成</w:t>
      </w:r>
    </w:p>
    <w:p w:rsidR="00000000" w:rsidRDefault="009005D0">
      <w:pPr>
        <w:pStyle w:val="Char1"/>
        <w:autoSpaceDE w:val="0"/>
        <w:spacing w:before="0" w:beforeAutospacing="0" w:after="0" w:afterAutospacing="0" w:line="56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重庆市渝北区古路镇人民政府共设行政机构</w:t>
      </w:r>
      <w:r>
        <w:rPr>
          <w:rFonts w:ascii="方正仿宋_GBK" w:eastAsia="方正仿宋_GBK" w:hint="eastAsia"/>
          <w:sz w:val="32"/>
          <w:szCs w:val="32"/>
        </w:rPr>
        <w:t>1</w:t>
      </w:r>
      <w:r>
        <w:rPr>
          <w:rFonts w:ascii="方正仿宋_GBK" w:eastAsia="方正仿宋_GBK" w:hint="eastAsia"/>
          <w:sz w:val="32"/>
          <w:szCs w:val="32"/>
        </w:rPr>
        <w:t>个、事业机构</w:t>
      </w:r>
      <w:r>
        <w:rPr>
          <w:rFonts w:ascii="方正仿宋_GBK" w:eastAsia="方正仿宋_GBK" w:hint="eastAsia"/>
          <w:sz w:val="32"/>
          <w:szCs w:val="32"/>
        </w:rPr>
        <w:t>6</w:t>
      </w:r>
      <w:r>
        <w:rPr>
          <w:rFonts w:ascii="方正仿宋_GBK" w:eastAsia="方正仿宋_GBK" w:hint="eastAsia"/>
          <w:sz w:val="32"/>
          <w:szCs w:val="32"/>
        </w:rPr>
        <w:t>个。行政机构包括重庆市渝北区古路镇人民政府（本级）；事业机构</w:t>
      </w:r>
      <w:r>
        <w:rPr>
          <w:rFonts w:ascii="方正仿宋_GBK" w:eastAsia="方正仿宋_GBK" w:hint="eastAsia"/>
          <w:sz w:val="32"/>
          <w:szCs w:val="32"/>
        </w:rPr>
        <w:t>6</w:t>
      </w:r>
      <w:r>
        <w:rPr>
          <w:rFonts w:ascii="方正仿宋_GBK" w:eastAsia="方正仿宋_GBK" w:hint="eastAsia"/>
          <w:sz w:val="32"/>
          <w:szCs w:val="32"/>
        </w:rPr>
        <w:t>个，分别为农业服务中心、文化服务中心、劳动就业和社会保障服务所、退役军人服务站、综合行</w:t>
      </w:r>
      <w:r>
        <w:rPr>
          <w:rFonts w:ascii="方正仿宋_GBK" w:eastAsia="方正仿宋_GBK" w:hint="eastAsia"/>
          <w:sz w:val="32"/>
          <w:szCs w:val="32"/>
        </w:rPr>
        <w:t>政执法大队、村镇建设服务中心。</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黑体_GBK" w:eastAsia="方正黑体_GBK" w:hint="eastAsia"/>
          <w:shd w:val="clear" w:color="auto" w:fill="FFFFFF"/>
        </w:rPr>
      </w:pPr>
      <w:r>
        <w:rPr>
          <w:rStyle w:val="20"/>
          <w:rFonts w:ascii="方正黑体_GBK" w:eastAsia="方正黑体_GBK" w:hint="eastAsia"/>
          <w:b w:val="0"/>
          <w:bCs/>
          <w:sz w:val="32"/>
          <w:szCs w:val="32"/>
          <w:shd w:val="clear" w:color="auto" w:fill="FFFFFF"/>
        </w:rPr>
        <w:t>二、部门决算情况说明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（一）收入支出决算总体情况说明</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color w:val="FF0000"/>
          <w:sz w:val="32"/>
          <w:szCs w:val="32"/>
          <w:shd w:val="clear" w:color="auto" w:fill="FFFFFF"/>
        </w:rPr>
      </w:pPr>
      <w:r>
        <w:rPr>
          <w:rStyle w:val="20"/>
          <w:rFonts w:ascii="方正仿宋_GBK" w:eastAsia="方正仿宋_GBK" w:hint="eastAsia"/>
          <w:sz w:val="32"/>
          <w:szCs w:val="32"/>
          <w:shd w:val="clear" w:color="auto" w:fill="FFFFFF"/>
        </w:rPr>
        <w:t>1.</w:t>
      </w:r>
      <w:r>
        <w:rPr>
          <w:rStyle w:val="20"/>
          <w:rFonts w:ascii="方正仿宋_GBK" w:eastAsia="方正仿宋_GBK" w:hint="eastAsia"/>
          <w:sz w:val="32"/>
          <w:szCs w:val="32"/>
          <w:shd w:val="clear" w:color="auto" w:fill="FFFFFF"/>
        </w:rPr>
        <w:t>总体情况。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年度收入总计</w:t>
      </w:r>
      <w:r>
        <w:rPr>
          <w:rFonts w:ascii="方正仿宋_GBK" w:eastAsia="方正仿宋_GBK" w:hint="eastAsia"/>
          <w:sz w:val="32"/>
          <w:szCs w:val="32"/>
          <w:shd w:val="clear" w:color="auto" w:fill="FFFFFF"/>
        </w:rPr>
        <w:t>9,908.27</w:t>
      </w:r>
      <w:r>
        <w:rPr>
          <w:rFonts w:ascii="方正仿宋_GBK" w:eastAsia="方正仿宋_GBK" w:hint="eastAsia"/>
          <w:sz w:val="32"/>
          <w:szCs w:val="32"/>
          <w:shd w:val="clear" w:color="auto" w:fill="FFFFFF"/>
        </w:rPr>
        <w:t>万元，支出总计</w:t>
      </w:r>
      <w:r>
        <w:rPr>
          <w:rFonts w:ascii="方正仿宋_GBK" w:eastAsia="方正仿宋_GBK" w:hint="eastAsia"/>
          <w:sz w:val="32"/>
          <w:szCs w:val="32"/>
          <w:shd w:val="clear" w:color="auto" w:fill="FFFFFF"/>
        </w:rPr>
        <w:t>9,908.27</w:t>
      </w:r>
      <w:r>
        <w:rPr>
          <w:rFonts w:ascii="方正仿宋_GBK" w:eastAsia="方正仿宋_GBK" w:hint="eastAsia"/>
          <w:sz w:val="32"/>
          <w:szCs w:val="32"/>
          <w:shd w:val="clear" w:color="auto" w:fill="FFFFFF"/>
        </w:rPr>
        <w:t>万元。收支较上年决算数增加</w:t>
      </w:r>
      <w:r>
        <w:rPr>
          <w:rFonts w:ascii="方正仿宋_GBK" w:eastAsia="方正仿宋_GBK" w:hint="eastAsia"/>
          <w:sz w:val="32"/>
          <w:szCs w:val="32"/>
          <w:shd w:val="clear" w:color="auto" w:fill="FFFFFF"/>
        </w:rPr>
        <w:t>207.79</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2.14%</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年度疫情防控、人员、社会保障和就业等经费增加。</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t>2.</w:t>
      </w:r>
      <w:r>
        <w:rPr>
          <w:rStyle w:val="20"/>
          <w:rFonts w:ascii="方正仿宋_GBK" w:eastAsia="方正仿宋_GBK" w:hint="eastAsia"/>
          <w:sz w:val="32"/>
          <w:szCs w:val="32"/>
          <w:shd w:val="clear" w:color="auto" w:fill="FFFFFF"/>
        </w:rPr>
        <w:t>收入情况。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年度收入合计</w:t>
      </w:r>
      <w:r>
        <w:rPr>
          <w:rFonts w:ascii="方正仿宋_GBK" w:eastAsia="方正仿宋_GBK" w:hint="eastAsia"/>
          <w:sz w:val="32"/>
          <w:szCs w:val="32"/>
          <w:shd w:val="clear" w:color="auto" w:fill="FFFFFF"/>
        </w:rPr>
        <w:t>9,908.27</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207.79</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2.14%</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年度疫情防控、人员、社会保障和就业等经费增加。其中：财政拨款收入</w:t>
      </w:r>
      <w:r>
        <w:rPr>
          <w:rFonts w:ascii="方正仿宋_GBK" w:eastAsia="方正仿宋_GBK" w:hint="eastAsia"/>
          <w:sz w:val="32"/>
          <w:szCs w:val="32"/>
          <w:shd w:val="clear" w:color="auto" w:fill="FFFFFF"/>
        </w:rPr>
        <w:t>9,908.27</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；此外，使用非财政拨款结余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万元，年初结转和结余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t>3.</w:t>
      </w:r>
      <w:r>
        <w:rPr>
          <w:rStyle w:val="20"/>
          <w:rFonts w:ascii="方正仿宋_GBK" w:eastAsia="方正仿宋_GBK" w:hint="eastAsia"/>
          <w:sz w:val="32"/>
          <w:szCs w:val="32"/>
          <w:shd w:val="clear" w:color="auto" w:fill="FFFFFF"/>
        </w:rPr>
        <w:t>支出情况。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年度支出合计</w:t>
      </w:r>
      <w:r>
        <w:rPr>
          <w:rFonts w:ascii="方正仿宋_GBK" w:eastAsia="方正仿宋_GBK" w:hint="eastAsia"/>
          <w:sz w:val="32"/>
          <w:szCs w:val="32"/>
          <w:shd w:val="clear" w:color="auto" w:fill="FFFFFF"/>
        </w:rPr>
        <w:t>9,908.27</w:t>
      </w:r>
      <w:r>
        <w:rPr>
          <w:rFonts w:ascii="方正仿宋_GBK" w:eastAsia="方正仿宋_GBK" w:hint="eastAsia"/>
          <w:sz w:val="32"/>
          <w:szCs w:val="32"/>
          <w:shd w:val="clear" w:color="auto" w:fill="FFFFFF"/>
        </w:rPr>
        <w:t>万元，较上年决算增加</w:t>
      </w:r>
      <w:r>
        <w:rPr>
          <w:rFonts w:ascii="方正仿宋_GBK" w:eastAsia="方正仿宋_GBK" w:hint="eastAsia"/>
          <w:sz w:val="32"/>
          <w:szCs w:val="32"/>
          <w:shd w:val="clear" w:color="auto" w:fill="FFFFFF"/>
        </w:rPr>
        <w:t>207.79</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2.14%</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年度疫情防控、人员、社会保障和就业等支出增加。其中：基本支出</w:t>
      </w:r>
      <w:r>
        <w:rPr>
          <w:rFonts w:ascii="方正仿宋_GBK" w:eastAsia="方正仿宋_GBK" w:hint="eastAsia"/>
          <w:sz w:val="32"/>
          <w:szCs w:val="32"/>
          <w:shd w:val="clear" w:color="auto" w:fill="FFFFFF"/>
        </w:rPr>
        <w:t>3,338.98</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33.7%</w:t>
      </w:r>
      <w:r>
        <w:rPr>
          <w:rFonts w:ascii="方正仿宋_GBK" w:eastAsia="方正仿宋_GBK" w:hint="eastAsia"/>
          <w:sz w:val="32"/>
          <w:szCs w:val="32"/>
          <w:shd w:val="clear" w:color="auto" w:fill="FFFFFF"/>
        </w:rPr>
        <w:t>；项目支出</w:t>
      </w:r>
      <w:r>
        <w:rPr>
          <w:rFonts w:ascii="方正仿宋_GBK" w:eastAsia="方正仿宋_GBK" w:hint="eastAsia"/>
          <w:sz w:val="32"/>
          <w:szCs w:val="32"/>
          <w:shd w:val="clear" w:color="auto" w:fill="FFFFFF"/>
        </w:rPr>
        <w:t>6,569.29</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66.3%</w:t>
      </w:r>
      <w:r>
        <w:rPr>
          <w:rFonts w:ascii="方正仿宋_GBK" w:eastAsia="方正仿宋_GBK" w:hint="eastAsia"/>
          <w:sz w:val="32"/>
          <w:szCs w:val="32"/>
          <w:shd w:val="clear" w:color="auto" w:fill="FFFFFF"/>
        </w:rPr>
        <w:t>；经营支出</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。此外，结余分配</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lastRenderedPageBreak/>
        <w:t>4.</w:t>
      </w:r>
      <w:r>
        <w:rPr>
          <w:rStyle w:val="20"/>
          <w:rFonts w:ascii="方正仿宋_GBK" w:eastAsia="方正仿宋_GBK" w:hint="eastAsia"/>
          <w:sz w:val="32"/>
          <w:szCs w:val="32"/>
          <w:shd w:val="clear" w:color="auto" w:fill="FFFFFF"/>
        </w:rPr>
        <w:t>结转结余情况。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年度年末结转和结余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万元，与上年一致。</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（二）财政拨款收入支出决算总体情况说明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年度财政拨款收、支总计</w:t>
      </w:r>
      <w:r>
        <w:rPr>
          <w:rFonts w:ascii="方正仿宋_GBK" w:eastAsia="方正仿宋_GBK" w:hint="eastAsia"/>
          <w:sz w:val="32"/>
          <w:szCs w:val="32"/>
          <w:shd w:val="clear" w:color="auto" w:fill="FFFFFF"/>
        </w:rPr>
        <w:t>9,908.27</w:t>
      </w:r>
      <w:r>
        <w:rPr>
          <w:rFonts w:ascii="方正仿宋_GBK" w:eastAsia="方正仿宋_GBK" w:hint="eastAsia"/>
          <w:sz w:val="32"/>
          <w:szCs w:val="32"/>
          <w:shd w:val="clear" w:color="auto" w:fill="FFFFFF"/>
        </w:rPr>
        <w:t>万元。与</w:t>
      </w:r>
      <w:r>
        <w:rPr>
          <w:rFonts w:ascii="方正仿宋_GBK" w:eastAsia="方正仿宋_GBK" w:hint="eastAsia"/>
          <w:sz w:val="32"/>
          <w:szCs w:val="32"/>
          <w:shd w:val="clear" w:color="auto" w:fill="FFFFFF"/>
        </w:rPr>
        <w:t>2021</w:t>
      </w:r>
      <w:r>
        <w:rPr>
          <w:rFonts w:ascii="方正仿宋_GBK" w:eastAsia="方正仿宋_GBK" w:hint="eastAsia"/>
          <w:sz w:val="32"/>
          <w:szCs w:val="32"/>
          <w:shd w:val="clear" w:color="auto" w:fill="FFFFFF"/>
        </w:rPr>
        <w:t>年相比，财政拨款收、支总计各增</w:t>
      </w:r>
      <w:r>
        <w:rPr>
          <w:rFonts w:ascii="方正仿宋_GBK" w:eastAsia="方正仿宋_GBK" w:hint="eastAsia"/>
          <w:sz w:val="32"/>
          <w:szCs w:val="32"/>
          <w:shd w:val="clear" w:color="auto" w:fill="FFFFFF"/>
        </w:rPr>
        <w:t>加</w:t>
      </w:r>
      <w:r>
        <w:rPr>
          <w:rFonts w:ascii="方正仿宋_GBK" w:eastAsia="方正仿宋_GBK" w:hint="eastAsia"/>
          <w:sz w:val="32"/>
          <w:szCs w:val="32"/>
          <w:shd w:val="clear" w:color="auto" w:fill="FFFFFF"/>
        </w:rPr>
        <w:t>207.79</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2.14%</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年度疫情防控、人员、社会保障和就业等经费增加。</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（三）一般公共预算财政拨款收入支出决算情况说明</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t>1.</w:t>
      </w:r>
      <w:r>
        <w:rPr>
          <w:rStyle w:val="20"/>
          <w:rFonts w:ascii="方正仿宋_GBK" w:eastAsia="方正仿宋_GBK" w:hint="eastAsia"/>
          <w:sz w:val="32"/>
          <w:szCs w:val="32"/>
          <w:shd w:val="clear" w:color="auto" w:fill="FFFFFF"/>
        </w:rPr>
        <w:t>收入情况。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年度一般公共预算财政拨款收入</w:t>
      </w:r>
      <w:r>
        <w:rPr>
          <w:rFonts w:ascii="方正仿宋_GBK" w:eastAsia="方正仿宋_GBK" w:hint="eastAsia"/>
          <w:sz w:val="32"/>
          <w:szCs w:val="32"/>
          <w:shd w:val="clear" w:color="auto" w:fill="FFFFFF"/>
        </w:rPr>
        <w:t>9,602.13</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188.13</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年度疫情防控、人员、社会保障和就业等经费增加。较年初预算数减少</w:t>
      </w:r>
      <w:r>
        <w:rPr>
          <w:rFonts w:ascii="方正仿宋_GBK" w:eastAsia="方正仿宋_GBK" w:hint="eastAsia"/>
          <w:sz w:val="32"/>
          <w:szCs w:val="32"/>
          <w:shd w:val="clear" w:color="auto" w:fill="FFFFFF"/>
        </w:rPr>
        <w:t>531.92</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5.2%</w:t>
      </w:r>
      <w:r>
        <w:rPr>
          <w:rFonts w:ascii="方正仿宋_GBK" w:eastAsia="方正仿宋_GBK" w:hint="eastAsia"/>
          <w:sz w:val="32"/>
          <w:szCs w:val="32"/>
          <w:shd w:val="clear" w:color="auto" w:fill="FFFFFF"/>
        </w:rPr>
        <w:t>。主要原因是渝北财社〔</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78</w:t>
      </w:r>
      <w:r>
        <w:rPr>
          <w:rFonts w:ascii="方正仿宋_GBK" w:eastAsia="方正仿宋_GBK" w:hint="eastAsia"/>
          <w:sz w:val="32"/>
          <w:szCs w:val="32"/>
          <w:shd w:val="clear" w:color="auto" w:fill="FFFFFF"/>
        </w:rPr>
        <w:t>号、渝北财农〔</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147</w:t>
      </w:r>
      <w:r>
        <w:rPr>
          <w:rFonts w:ascii="方正仿宋_GBK" w:eastAsia="方正仿宋_GBK" w:hint="eastAsia"/>
          <w:sz w:val="32"/>
          <w:szCs w:val="32"/>
          <w:shd w:val="clear" w:color="auto" w:fill="FFFFFF"/>
        </w:rPr>
        <w:t>号、渝北财建〔</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8</w:t>
      </w:r>
      <w:r>
        <w:rPr>
          <w:rFonts w:ascii="方正仿宋_GBK" w:eastAsia="方正仿宋_GBK" w:hint="eastAsia"/>
          <w:sz w:val="32"/>
          <w:szCs w:val="32"/>
          <w:shd w:val="clear" w:color="auto" w:fill="FFFFFF"/>
        </w:rPr>
        <w:t>号、渝北财农〔</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44</w:t>
      </w:r>
      <w:r>
        <w:rPr>
          <w:rFonts w:ascii="方正仿宋_GBK" w:eastAsia="方正仿宋_GBK" w:hint="eastAsia"/>
          <w:sz w:val="32"/>
          <w:szCs w:val="32"/>
          <w:shd w:val="clear" w:color="auto" w:fill="FFFFFF"/>
        </w:rPr>
        <w:t>号、渝北财农〔</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47</w:t>
      </w:r>
      <w:r>
        <w:rPr>
          <w:rFonts w:ascii="方正仿宋_GBK" w:eastAsia="方正仿宋_GBK" w:hint="eastAsia"/>
          <w:sz w:val="32"/>
          <w:szCs w:val="32"/>
          <w:shd w:val="clear" w:color="auto" w:fill="FFFFFF"/>
        </w:rPr>
        <w:t>号、渝北财社〔</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86</w:t>
      </w:r>
      <w:r>
        <w:rPr>
          <w:rFonts w:ascii="方正仿宋_GBK" w:eastAsia="方正仿宋_GBK" w:hint="eastAsia"/>
          <w:sz w:val="32"/>
          <w:szCs w:val="32"/>
          <w:shd w:val="clear" w:color="auto" w:fill="FFFFFF"/>
        </w:rPr>
        <w:t>号等文件对我镇预算进行调整。此外，年初财政拨款结转和结余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t>2.</w:t>
      </w:r>
      <w:r>
        <w:rPr>
          <w:rStyle w:val="20"/>
          <w:rFonts w:ascii="方正仿宋_GBK" w:eastAsia="方正仿宋_GBK" w:hint="eastAsia"/>
          <w:sz w:val="32"/>
          <w:szCs w:val="32"/>
          <w:shd w:val="clear" w:color="auto" w:fill="FFFFFF"/>
        </w:rPr>
        <w:t>支出情况。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年度一般公共预算财政拨款支出</w:t>
      </w:r>
      <w:r>
        <w:rPr>
          <w:rFonts w:ascii="方正仿宋_GBK" w:eastAsia="方正仿宋_GBK" w:hint="eastAsia"/>
          <w:sz w:val="32"/>
          <w:szCs w:val="32"/>
          <w:shd w:val="clear" w:color="auto" w:fill="FFFFFF"/>
        </w:rPr>
        <w:t>9,602.13</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188.13</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年度疫情防控、人员、社会保障和就业等支出增加。较年初预算数减少</w:t>
      </w:r>
      <w:r>
        <w:rPr>
          <w:rFonts w:ascii="方正仿宋_GBK" w:eastAsia="方正仿宋_GBK" w:hint="eastAsia"/>
          <w:sz w:val="32"/>
          <w:szCs w:val="32"/>
          <w:shd w:val="clear" w:color="auto" w:fill="FFFFFF"/>
        </w:rPr>
        <w:t>531.92</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5.2%</w:t>
      </w:r>
      <w:r>
        <w:rPr>
          <w:rFonts w:ascii="方正仿宋_GBK" w:eastAsia="方正仿宋_GBK" w:hint="eastAsia"/>
          <w:sz w:val="32"/>
          <w:szCs w:val="32"/>
          <w:shd w:val="clear" w:color="auto" w:fill="FFFFFF"/>
        </w:rPr>
        <w:t>。主要原因是渝北财社〔</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78</w:t>
      </w:r>
      <w:r>
        <w:rPr>
          <w:rFonts w:ascii="方正仿宋_GBK" w:eastAsia="方正仿宋_GBK" w:hint="eastAsia"/>
          <w:sz w:val="32"/>
          <w:szCs w:val="32"/>
          <w:shd w:val="clear" w:color="auto" w:fill="FFFFFF"/>
        </w:rPr>
        <w:t>号、渝北财农〔</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147</w:t>
      </w:r>
      <w:r>
        <w:rPr>
          <w:rFonts w:ascii="方正仿宋_GBK" w:eastAsia="方正仿宋_GBK" w:hint="eastAsia"/>
          <w:sz w:val="32"/>
          <w:szCs w:val="32"/>
          <w:shd w:val="clear" w:color="auto" w:fill="FFFFFF"/>
        </w:rPr>
        <w:t>号、渝北财建〔</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8</w:t>
      </w:r>
      <w:r>
        <w:rPr>
          <w:rFonts w:ascii="方正仿宋_GBK" w:eastAsia="方正仿宋_GBK" w:hint="eastAsia"/>
          <w:sz w:val="32"/>
          <w:szCs w:val="32"/>
          <w:shd w:val="clear" w:color="auto" w:fill="FFFFFF"/>
        </w:rPr>
        <w:t>号、渝北财农〔</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44</w:t>
      </w:r>
      <w:r>
        <w:rPr>
          <w:rFonts w:ascii="方正仿宋_GBK" w:eastAsia="方正仿宋_GBK" w:hint="eastAsia"/>
          <w:sz w:val="32"/>
          <w:szCs w:val="32"/>
          <w:shd w:val="clear" w:color="auto" w:fill="FFFFFF"/>
        </w:rPr>
        <w:t>号、渝北财农〔</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47</w:t>
      </w:r>
      <w:r>
        <w:rPr>
          <w:rFonts w:ascii="方正仿宋_GBK" w:eastAsia="方正仿宋_GBK" w:hint="eastAsia"/>
          <w:sz w:val="32"/>
          <w:szCs w:val="32"/>
          <w:shd w:val="clear" w:color="auto" w:fill="FFFFFF"/>
        </w:rPr>
        <w:t>号、渝北财社〔</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8</w:t>
      </w:r>
      <w:r>
        <w:rPr>
          <w:rFonts w:ascii="方正仿宋_GBK" w:eastAsia="方正仿宋_GBK" w:hint="eastAsia"/>
          <w:sz w:val="32"/>
          <w:szCs w:val="32"/>
          <w:shd w:val="clear" w:color="auto" w:fill="FFFFFF"/>
        </w:rPr>
        <w:t>6</w:t>
      </w:r>
      <w:r>
        <w:rPr>
          <w:rFonts w:ascii="方正仿宋_GBK" w:eastAsia="方正仿宋_GBK" w:hint="eastAsia"/>
          <w:sz w:val="32"/>
          <w:szCs w:val="32"/>
          <w:shd w:val="clear" w:color="auto" w:fill="FFFFFF"/>
        </w:rPr>
        <w:t>号等文件对我镇预算进行调整。</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t>3.</w:t>
      </w:r>
      <w:r>
        <w:rPr>
          <w:rStyle w:val="20"/>
          <w:rFonts w:ascii="方正仿宋_GBK" w:eastAsia="方正仿宋_GBK" w:hint="eastAsia"/>
          <w:sz w:val="32"/>
          <w:szCs w:val="32"/>
          <w:shd w:val="clear" w:color="auto" w:fill="FFFFFF"/>
        </w:rPr>
        <w:t>结转结余情况。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年度年末一般公共预算财政拨款结转和结余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9005D0">
      <w:pPr>
        <w:pStyle w:val="Char1"/>
        <w:shd w:val="clear" w:color="auto" w:fill="FFFFFF"/>
        <w:autoSpaceDE w:val="0"/>
        <w:spacing w:before="0" w:beforeAutospacing="0" w:after="0" w:afterAutospacing="0" w:line="56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lastRenderedPageBreak/>
        <w:t>4.</w:t>
      </w:r>
      <w:r>
        <w:rPr>
          <w:rStyle w:val="20"/>
          <w:rFonts w:ascii="方正仿宋_GBK" w:eastAsia="方正仿宋_GBK" w:hint="eastAsia"/>
          <w:sz w:val="32"/>
          <w:szCs w:val="32"/>
          <w:shd w:val="clear" w:color="auto" w:fill="FFFFFF"/>
        </w:rPr>
        <w:t>比较情况。</w:t>
      </w:r>
      <w:r>
        <w:rPr>
          <w:rFonts w:ascii="方正仿宋_GBK" w:eastAsia="方正仿宋_GBK" w:hint="eastAsia"/>
          <w:sz w:val="32"/>
          <w:szCs w:val="32"/>
          <w:shd w:val="clear" w:color="auto" w:fill="FFFFFF"/>
        </w:rPr>
        <w:t>本部门</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年度一般公共预算财政拨款支出主要用于以下几个方面：</w:t>
      </w:r>
      <w:r>
        <w:rPr>
          <w:rFonts w:ascii="方正仿宋_GBK" w:eastAsia="方正仿宋_GBK" w:hint="eastAsia"/>
          <w:sz w:val="32"/>
          <w:szCs w:val="32"/>
          <w:shd w:val="clear" w:color="auto" w:fill="FFFFFF"/>
        </w:rPr>
        <w:t xml:space="preserve"> </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）一般公共服务支出</w:t>
      </w:r>
      <w:r>
        <w:rPr>
          <w:rFonts w:ascii="方正仿宋_GBK" w:eastAsia="方正仿宋_GBK" w:hint="eastAsia"/>
          <w:sz w:val="32"/>
          <w:szCs w:val="32"/>
          <w:shd w:val="clear" w:color="auto" w:fill="FFFFFF"/>
        </w:rPr>
        <w:t>1,439.33</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15%</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16.95</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1.2%</w:t>
      </w:r>
      <w:r>
        <w:rPr>
          <w:rFonts w:ascii="方正仿宋_GBK" w:eastAsia="方正仿宋_GBK" w:hint="eastAsia"/>
          <w:sz w:val="32"/>
          <w:szCs w:val="32"/>
          <w:shd w:val="clear" w:color="auto" w:fill="FFFFFF"/>
        </w:rPr>
        <w:t>，主要原因是群团事务支出等减少。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）公共安全支出</w:t>
      </w:r>
      <w:r>
        <w:rPr>
          <w:rFonts w:ascii="方正仿宋_GBK" w:eastAsia="方正仿宋_GBK" w:hint="eastAsia"/>
          <w:sz w:val="32"/>
          <w:szCs w:val="32"/>
          <w:shd w:val="clear" w:color="auto" w:fill="FFFFFF"/>
        </w:rPr>
        <w:t>207.66</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2.2%</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85.12</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29.1%</w:t>
      </w:r>
      <w:r>
        <w:rPr>
          <w:rFonts w:ascii="方正仿宋_GBK" w:eastAsia="方正仿宋_GBK" w:hint="eastAsia"/>
          <w:sz w:val="32"/>
          <w:szCs w:val="32"/>
          <w:shd w:val="clear" w:color="auto" w:fill="FFFFFF"/>
        </w:rPr>
        <w:t>，主要原因是网格化经费、安全经费未用完。</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3</w:t>
      </w:r>
      <w:r>
        <w:rPr>
          <w:rFonts w:ascii="方正仿宋_GBK" w:eastAsia="方正仿宋_GBK" w:hint="eastAsia"/>
          <w:sz w:val="32"/>
          <w:szCs w:val="32"/>
          <w:shd w:val="clear" w:color="auto" w:fill="FFFFFF"/>
        </w:rPr>
        <w:t>）教育支出</w:t>
      </w:r>
      <w:r>
        <w:rPr>
          <w:rFonts w:ascii="方正仿宋_GBK" w:eastAsia="方正仿宋_GBK" w:hint="eastAsia"/>
          <w:sz w:val="32"/>
          <w:szCs w:val="32"/>
          <w:shd w:val="clear" w:color="auto" w:fill="FFFFFF"/>
        </w:rPr>
        <w:t>2.96</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，较年初预算数增</w:t>
      </w:r>
      <w:r>
        <w:rPr>
          <w:rFonts w:ascii="方正仿宋_GBK" w:eastAsia="方正仿宋_GBK" w:hint="eastAsia"/>
          <w:sz w:val="32"/>
          <w:szCs w:val="32"/>
          <w:shd w:val="clear" w:color="auto" w:fill="FFFFFF"/>
        </w:rPr>
        <w:t>加</w:t>
      </w:r>
      <w:r>
        <w:rPr>
          <w:rFonts w:ascii="方正仿宋_GBK" w:eastAsia="方正仿宋_GBK" w:hint="eastAsia"/>
          <w:sz w:val="32"/>
          <w:szCs w:val="32"/>
          <w:shd w:val="clear" w:color="auto" w:fill="FFFFFF"/>
        </w:rPr>
        <w:t>2.96</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，主要原因是下达古路中学土地租金。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4</w:t>
      </w:r>
      <w:r>
        <w:rPr>
          <w:rFonts w:ascii="方正仿宋_GBK" w:eastAsia="方正仿宋_GBK" w:hint="eastAsia"/>
          <w:sz w:val="32"/>
          <w:szCs w:val="32"/>
          <w:shd w:val="clear" w:color="auto" w:fill="FFFFFF"/>
        </w:rPr>
        <w:t>）文化旅游体育与传媒支出</w:t>
      </w:r>
      <w:r>
        <w:rPr>
          <w:rFonts w:ascii="方正仿宋_GBK" w:eastAsia="方正仿宋_GBK" w:hint="eastAsia"/>
          <w:sz w:val="32"/>
          <w:szCs w:val="32"/>
          <w:shd w:val="clear" w:color="auto" w:fill="FFFFFF"/>
        </w:rPr>
        <w:t>98.46</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74.45</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43.1%</w:t>
      </w:r>
      <w:r>
        <w:rPr>
          <w:rFonts w:ascii="方正仿宋_GBK" w:eastAsia="方正仿宋_GBK" w:hint="eastAsia"/>
          <w:sz w:val="32"/>
          <w:szCs w:val="32"/>
          <w:shd w:val="clear" w:color="auto" w:fill="FFFFFF"/>
        </w:rPr>
        <w:t>，主要原因是预算文体活动经费因疫情原因减少。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5</w:t>
      </w:r>
      <w:r>
        <w:rPr>
          <w:rFonts w:ascii="方正仿宋_GBK" w:eastAsia="方正仿宋_GBK" w:hint="eastAsia"/>
          <w:sz w:val="32"/>
          <w:szCs w:val="32"/>
          <w:shd w:val="clear" w:color="auto" w:fill="FFFFFF"/>
        </w:rPr>
        <w:t>）社会保障与就业支出</w:t>
      </w:r>
      <w:r>
        <w:rPr>
          <w:rFonts w:ascii="方正仿宋_GBK" w:eastAsia="方正仿宋_GBK" w:hint="eastAsia"/>
          <w:sz w:val="32"/>
          <w:szCs w:val="32"/>
          <w:shd w:val="clear" w:color="auto" w:fill="FFFFFF"/>
        </w:rPr>
        <w:t>2,537.53</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26.4%</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123.17</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4.6%</w:t>
      </w:r>
      <w:r>
        <w:rPr>
          <w:rFonts w:ascii="方正仿宋_GBK" w:eastAsia="方正仿宋_GBK" w:hint="eastAsia"/>
          <w:sz w:val="32"/>
          <w:szCs w:val="32"/>
          <w:shd w:val="clear" w:color="auto" w:fill="FFFFFF"/>
        </w:rPr>
        <w:t>，主要原因是农村低保户、五保户等标准调整。</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6</w:t>
      </w:r>
      <w:r>
        <w:rPr>
          <w:rFonts w:ascii="方正仿宋_GBK" w:eastAsia="方正仿宋_GBK" w:hint="eastAsia"/>
          <w:sz w:val="32"/>
          <w:szCs w:val="32"/>
          <w:shd w:val="clear" w:color="auto" w:fill="FFFFFF"/>
        </w:rPr>
        <w:t>）卫生健康支出</w:t>
      </w:r>
      <w:r>
        <w:rPr>
          <w:rFonts w:ascii="方正仿宋_GBK" w:eastAsia="方正仿宋_GBK" w:hint="eastAsia"/>
          <w:sz w:val="32"/>
          <w:szCs w:val="32"/>
          <w:shd w:val="clear" w:color="auto" w:fill="FFFFFF"/>
        </w:rPr>
        <w:t>819.98</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8.5%</w:t>
      </w:r>
      <w:r>
        <w:rPr>
          <w:rFonts w:ascii="方正仿宋_GBK" w:eastAsia="方正仿宋_GBK" w:hint="eastAsia"/>
          <w:sz w:val="32"/>
          <w:szCs w:val="32"/>
          <w:shd w:val="clear" w:color="auto" w:fill="FFFFFF"/>
        </w:rPr>
        <w:t>，较年初预算数增加</w:t>
      </w:r>
      <w:r>
        <w:rPr>
          <w:rFonts w:ascii="方正仿宋_GBK" w:eastAsia="方正仿宋_GBK" w:hint="eastAsia"/>
          <w:sz w:val="32"/>
          <w:szCs w:val="32"/>
          <w:shd w:val="clear" w:color="auto" w:fill="FFFFFF"/>
        </w:rPr>
        <w:t>364.59</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80.1%</w:t>
      </w:r>
      <w:r>
        <w:rPr>
          <w:rFonts w:ascii="方正仿宋_GBK" w:eastAsia="方正仿宋_GBK" w:hint="eastAsia"/>
          <w:sz w:val="32"/>
          <w:szCs w:val="32"/>
          <w:shd w:val="clear" w:color="auto" w:fill="FFFFFF"/>
        </w:rPr>
        <w:t>，主要原因是计划剩余惠民奖励扶助资金、社会保障缴费增加。</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7</w:t>
      </w:r>
      <w:r>
        <w:rPr>
          <w:rFonts w:ascii="方正仿宋_GBK" w:eastAsia="方正仿宋_GBK" w:hint="eastAsia"/>
          <w:sz w:val="32"/>
          <w:szCs w:val="32"/>
          <w:shd w:val="clear" w:color="auto" w:fill="FFFFFF"/>
        </w:rPr>
        <w:t>）节能环保支出</w:t>
      </w:r>
      <w:r>
        <w:rPr>
          <w:rFonts w:ascii="方正仿宋_GBK" w:eastAsia="方正仿宋_GBK" w:hint="eastAsia"/>
          <w:sz w:val="32"/>
          <w:szCs w:val="32"/>
          <w:shd w:val="clear" w:color="auto" w:fill="FFFFFF"/>
        </w:rPr>
        <w:t>243.99</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2.5%</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78.80</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24.4%</w:t>
      </w:r>
      <w:r>
        <w:rPr>
          <w:rFonts w:ascii="方正仿宋_GBK" w:eastAsia="方正仿宋_GBK" w:hint="eastAsia"/>
          <w:sz w:val="32"/>
          <w:szCs w:val="32"/>
          <w:shd w:val="clear" w:color="auto" w:fill="FFFFFF"/>
        </w:rPr>
        <w:t>，主要原因是农村垃圾清运和村社环境保洁经费减少。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8</w:t>
      </w:r>
      <w:r>
        <w:rPr>
          <w:rFonts w:ascii="方正仿宋_GBK" w:eastAsia="方正仿宋_GBK" w:hint="eastAsia"/>
          <w:sz w:val="32"/>
          <w:szCs w:val="32"/>
          <w:shd w:val="clear" w:color="auto" w:fill="FFFFFF"/>
        </w:rPr>
        <w:t>）城乡社区支出</w:t>
      </w:r>
      <w:r>
        <w:rPr>
          <w:rFonts w:ascii="方正仿宋_GBK" w:eastAsia="方正仿宋_GBK" w:hint="eastAsia"/>
          <w:sz w:val="32"/>
          <w:szCs w:val="32"/>
          <w:shd w:val="clear" w:color="auto" w:fill="FFFFFF"/>
        </w:rPr>
        <w:t>542.20</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5.6%</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41.00</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7%</w:t>
      </w:r>
      <w:r>
        <w:rPr>
          <w:rFonts w:ascii="方正仿宋_GBK" w:eastAsia="方正仿宋_GBK" w:hint="eastAsia"/>
          <w:sz w:val="32"/>
          <w:szCs w:val="32"/>
          <w:shd w:val="clear" w:color="auto" w:fill="FFFFFF"/>
        </w:rPr>
        <w:t>，主要原因是农村人居环境综合整治项目专项以及农村存量危房整治项目经费减少。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lastRenderedPageBreak/>
        <w:t>（</w:t>
      </w:r>
      <w:r>
        <w:rPr>
          <w:rFonts w:ascii="方正仿宋_GBK" w:eastAsia="方正仿宋_GBK" w:hint="eastAsia"/>
          <w:sz w:val="32"/>
          <w:szCs w:val="32"/>
          <w:shd w:val="clear" w:color="auto" w:fill="FFFFFF"/>
        </w:rPr>
        <w:t>9</w:t>
      </w:r>
      <w:r>
        <w:rPr>
          <w:rFonts w:ascii="方正仿宋_GBK" w:eastAsia="方正仿宋_GBK" w:hint="eastAsia"/>
          <w:sz w:val="32"/>
          <w:szCs w:val="32"/>
          <w:shd w:val="clear" w:color="auto" w:fill="FFFFFF"/>
        </w:rPr>
        <w:t>）农林水支出</w:t>
      </w:r>
      <w:r>
        <w:rPr>
          <w:rFonts w:ascii="方正仿宋_GBK" w:eastAsia="方正仿宋_GBK" w:hint="eastAsia"/>
          <w:sz w:val="32"/>
          <w:szCs w:val="32"/>
          <w:shd w:val="clear" w:color="auto" w:fill="FFFFFF"/>
        </w:rPr>
        <w:t>2,714.83</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28.3%</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258.84</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8.7%</w:t>
      </w:r>
      <w:r>
        <w:rPr>
          <w:rFonts w:ascii="方正仿宋_GBK" w:eastAsia="方正仿宋_GBK" w:hint="eastAsia"/>
          <w:sz w:val="32"/>
          <w:szCs w:val="32"/>
          <w:shd w:val="clear" w:color="auto" w:fill="FFFFFF"/>
        </w:rPr>
        <w:t>，主要原因是森林资源培育、农村社会事业、农业生产发展等相关经费减少。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10</w:t>
      </w:r>
      <w:r>
        <w:rPr>
          <w:rFonts w:ascii="方正仿宋_GBK" w:eastAsia="方正仿宋_GBK" w:hint="eastAsia"/>
          <w:sz w:val="32"/>
          <w:szCs w:val="32"/>
          <w:shd w:val="clear" w:color="auto" w:fill="FFFFFF"/>
        </w:rPr>
        <w:t>）交通运输支出</w:t>
      </w:r>
      <w:r>
        <w:rPr>
          <w:rFonts w:ascii="方正仿宋_GBK" w:eastAsia="方正仿宋_GBK" w:hint="eastAsia"/>
          <w:sz w:val="32"/>
          <w:szCs w:val="32"/>
          <w:shd w:val="clear" w:color="auto" w:fill="FFFFFF"/>
        </w:rPr>
        <w:t>355.75</w:t>
      </w:r>
      <w:r>
        <w:rPr>
          <w:rFonts w:ascii="方正仿宋_GBK" w:eastAsia="方正仿宋_GBK" w:hint="eastAsia"/>
          <w:sz w:val="32"/>
          <w:szCs w:val="32"/>
          <w:shd w:val="clear" w:color="auto" w:fill="FFFFFF"/>
        </w:rPr>
        <w:t>万元</w:t>
      </w:r>
      <w:r>
        <w:rPr>
          <w:rFonts w:ascii="方正仿宋_GBK" w:eastAsia="方正仿宋_GBK" w:hint="eastAsia"/>
          <w:sz w:val="32"/>
          <w:szCs w:val="32"/>
          <w:shd w:val="clear" w:color="auto" w:fill="FFFFFF"/>
        </w:rPr>
        <w:t>，占</w:t>
      </w:r>
      <w:r>
        <w:rPr>
          <w:rFonts w:ascii="方正仿宋_GBK" w:eastAsia="方正仿宋_GBK" w:hint="eastAsia"/>
          <w:sz w:val="32"/>
          <w:szCs w:val="32"/>
          <w:shd w:val="clear" w:color="auto" w:fill="FFFFFF"/>
        </w:rPr>
        <w:t>3.7%</w:t>
      </w:r>
      <w:r>
        <w:rPr>
          <w:rFonts w:ascii="方正仿宋_GBK" w:eastAsia="方正仿宋_GBK" w:hint="eastAsia"/>
          <w:sz w:val="32"/>
          <w:szCs w:val="32"/>
          <w:shd w:val="clear" w:color="auto" w:fill="FFFFFF"/>
        </w:rPr>
        <w:t>，较年初预算数增加</w:t>
      </w:r>
      <w:r>
        <w:rPr>
          <w:rFonts w:ascii="方正仿宋_GBK" w:eastAsia="方正仿宋_GBK" w:hint="eastAsia"/>
          <w:sz w:val="32"/>
          <w:szCs w:val="32"/>
          <w:shd w:val="clear" w:color="auto" w:fill="FFFFFF"/>
        </w:rPr>
        <w:t>355.75</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，主要原因是渝北财建〔</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8</w:t>
      </w:r>
      <w:r>
        <w:rPr>
          <w:rFonts w:ascii="方正仿宋_GBK" w:eastAsia="方正仿宋_GBK" w:hint="eastAsia"/>
          <w:sz w:val="32"/>
          <w:szCs w:val="32"/>
          <w:shd w:val="clear" w:color="auto" w:fill="FFFFFF"/>
        </w:rPr>
        <w:t>号追加公路建设资金</w:t>
      </w:r>
      <w:r>
        <w:rPr>
          <w:rFonts w:ascii="方正仿宋_GBK" w:eastAsia="方正仿宋_GBK" w:hint="eastAsia"/>
          <w:sz w:val="32"/>
          <w:szCs w:val="32"/>
          <w:shd w:val="clear" w:color="auto" w:fill="FFFFFF"/>
        </w:rPr>
        <w:t>348</w:t>
      </w:r>
      <w:r>
        <w:rPr>
          <w:rFonts w:ascii="方正仿宋_GBK" w:eastAsia="方正仿宋_GBK" w:hint="eastAsia"/>
          <w:sz w:val="32"/>
          <w:szCs w:val="32"/>
          <w:shd w:val="clear" w:color="auto" w:fill="FFFFFF"/>
        </w:rPr>
        <w:t>万元，渝北财建〔</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107</w:t>
      </w:r>
      <w:r>
        <w:rPr>
          <w:rFonts w:ascii="方正仿宋_GBK" w:eastAsia="方正仿宋_GBK" w:hint="eastAsia"/>
          <w:sz w:val="32"/>
          <w:szCs w:val="32"/>
          <w:shd w:val="clear" w:color="auto" w:fill="FFFFFF"/>
        </w:rPr>
        <w:t>号追加公路养护资金</w:t>
      </w:r>
      <w:r>
        <w:rPr>
          <w:rFonts w:ascii="方正仿宋_GBK" w:eastAsia="方正仿宋_GBK" w:hint="eastAsia"/>
          <w:sz w:val="32"/>
          <w:szCs w:val="32"/>
          <w:shd w:val="clear" w:color="auto" w:fill="FFFFFF"/>
        </w:rPr>
        <w:t>135</w:t>
      </w:r>
      <w:r>
        <w:rPr>
          <w:rFonts w:ascii="方正仿宋_GBK" w:eastAsia="方正仿宋_GBK" w:hint="eastAsia"/>
          <w:sz w:val="32"/>
          <w:szCs w:val="32"/>
          <w:shd w:val="clear" w:color="auto" w:fill="FFFFFF"/>
        </w:rPr>
        <w:t>万元。</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11</w:t>
      </w:r>
      <w:r>
        <w:rPr>
          <w:rFonts w:ascii="方正仿宋_GBK" w:eastAsia="方正仿宋_GBK" w:hint="eastAsia"/>
          <w:sz w:val="32"/>
          <w:szCs w:val="32"/>
          <w:shd w:val="clear" w:color="auto" w:fill="FFFFFF"/>
        </w:rPr>
        <w:t>）自然资源海洋气象等支出</w:t>
      </w:r>
      <w:r>
        <w:rPr>
          <w:rFonts w:ascii="方正仿宋_GBK" w:eastAsia="方正仿宋_GBK" w:hint="eastAsia"/>
          <w:sz w:val="32"/>
          <w:szCs w:val="32"/>
          <w:shd w:val="clear" w:color="auto" w:fill="FFFFFF"/>
        </w:rPr>
        <w:t>272.52</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2.8%</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83.55</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23.5%</w:t>
      </w:r>
      <w:r>
        <w:rPr>
          <w:rFonts w:ascii="方正仿宋_GBK" w:eastAsia="方正仿宋_GBK" w:hint="eastAsia"/>
          <w:sz w:val="32"/>
          <w:szCs w:val="32"/>
          <w:shd w:val="clear" w:color="auto" w:fill="FFFFFF"/>
        </w:rPr>
        <w:t>，主要原因是国土绿化项目支出减少。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12</w:t>
      </w:r>
      <w:r>
        <w:rPr>
          <w:rFonts w:ascii="方正仿宋_GBK" w:eastAsia="方正仿宋_GBK" w:hint="eastAsia"/>
          <w:sz w:val="32"/>
          <w:szCs w:val="32"/>
          <w:shd w:val="clear" w:color="auto" w:fill="FFFFFF"/>
        </w:rPr>
        <w:t>）住房保障支出</w:t>
      </w:r>
      <w:r>
        <w:rPr>
          <w:rFonts w:ascii="方正仿宋_GBK" w:eastAsia="方正仿宋_GBK" w:hint="eastAsia"/>
          <w:sz w:val="32"/>
          <w:szCs w:val="32"/>
          <w:shd w:val="clear" w:color="auto" w:fill="FFFFFF"/>
        </w:rPr>
        <w:t>183.43</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1.9%</w:t>
      </w:r>
      <w:r>
        <w:rPr>
          <w:rFonts w:ascii="方正仿宋_GBK" w:eastAsia="方正仿宋_GBK" w:hint="eastAsia"/>
          <w:sz w:val="32"/>
          <w:szCs w:val="32"/>
          <w:shd w:val="clear" w:color="auto" w:fill="FFFFFF"/>
        </w:rPr>
        <w:t>，较年初预算数增加</w:t>
      </w:r>
      <w:r>
        <w:rPr>
          <w:rFonts w:ascii="方正仿宋_GBK" w:eastAsia="方正仿宋_GBK" w:hint="eastAsia"/>
          <w:sz w:val="32"/>
          <w:szCs w:val="32"/>
          <w:shd w:val="clear" w:color="auto" w:fill="FFFFFF"/>
        </w:rPr>
        <w:t>93.60</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104.2%</w:t>
      </w:r>
      <w:r>
        <w:rPr>
          <w:rFonts w:ascii="方正仿宋_GBK" w:eastAsia="方正仿宋_GBK" w:hint="eastAsia"/>
          <w:sz w:val="32"/>
          <w:szCs w:val="32"/>
          <w:shd w:val="clear" w:color="auto" w:fill="FFFFFF"/>
        </w:rPr>
        <w:t>，主要原因是住房公积金标准上调。</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13</w:t>
      </w:r>
      <w:r>
        <w:rPr>
          <w:rFonts w:ascii="方正仿宋_GBK" w:eastAsia="方正仿宋_GBK" w:hint="eastAsia"/>
          <w:sz w:val="32"/>
          <w:szCs w:val="32"/>
          <w:shd w:val="clear" w:color="auto" w:fill="FFFFFF"/>
        </w:rPr>
        <w:t>）灾害防治及应急管理支出</w:t>
      </w:r>
      <w:r>
        <w:rPr>
          <w:rFonts w:ascii="方正仿宋_GBK" w:eastAsia="方正仿宋_GBK" w:hint="eastAsia"/>
          <w:sz w:val="32"/>
          <w:szCs w:val="32"/>
          <w:shd w:val="clear" w:color="auto" w:fill="FFFFFF"/>
        </w:rPr>
        <w:t>183.49</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1.9</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147.94</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44.6%</w:t>
      </w:r>
      <w:r>
        <w:rPr>
          <w:rFonts w:ascii="方正仿宋_GBK" w:eastAsia="方正仿宋_GBK" w:hint="eastAsia"/>
          <w:sz w:val="32"/>
          <w:szCs w:val="32"/>
          <w:shd w:val="clear" w:color="auto" w:fill="FFFFFF"/>
        </w:rPr>
        <w:t>，主要原因是危岩带治理、不稳定斜坡治理、地质灾害搬迁补助、滑坡应急治理工程等减少。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14</w:t>
      </w:r>
      <w:r>
        <w:rPr>
          <w:rFonts w:ascii="方正仿宋_GBK" w:eastAsia="方正仿宋_GBK" w:hint="eastAsia"/>
          <w:sz w:val="32"/>
          <w:szCs w:val="32"/>
          <w:shd w:val="clear" w:color="auto" w:fill="FFFFFF"/>
        </w:rPr>
        <w:t>）其他支出</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439.00</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，主要原因是年初预算其他支出含年初预留费。</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（四）一般公共预算财政拨款基本支出决算情况说明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年度一般公共预算财政拨款基本支出</w:t>
      </w:r>
      <w:r>
        <w:rPr>
          <w:rFonts w:ascii="方正仿宋_GBK" w:eastAsia="方正仿宋_GBK" w:hint="eastAsia"/>
          <w:sz w:val="32"/>
          <w:szCs w:val="32"/>
          <w:shd w:val="clear" w:color="auto" w:fill="FFFFFF"/>
        </w:rPr>
        <w:t>3,338.98</w:t>
      </w:r>
      <w:r>
        <w:rPr>
          <w:rFonts w:ascii="方正仿宋_GBK" w:eastAsia="方正仿宋_GBK" w:hint="eastAsia"/>
          <w:sz w:val="32"/>
          <w:szCs w:val="32"/>
          <w:shd w:val="clear" w:color="auto" w:fill="FFFFFF"/>
        </w:rPr>
        <w:t>万元。其中：人员经费</w:t>
      </w:r>
      <w:r>
        <w:rPr>
          <w:rFonts w:ascii="方正仿宋_GBK" w:eastAsia="方正仿宋_GBK" w:hint="eastAsia"/>
          <w:sz w:val="32"/>
          <w:szCs w:val="32"/>
          <w:shd w:val="clear" w:color="auto" w:fill="FFFFFF"/>
        </w:rPr>
        <w:t>2,780.93</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222</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8.68%</w:t>
      </w:r>
      <w:r>
        <w:rPr>
          <w:rFonts w:ascii="方正仿宋_GBK" w:eastAsia="方正仿宋_GBK" w:hint="eastAsia"/>
          <w:sz w:val="32"/>
          <w:szCs w:val="32"/>
          <w:shd w:val="clear" w:color="auto" w:fill="FFFFFF"/>
        </w:rPr>
        <w:t>，主要原因一是社保基数调标，二是机关干部及村社干部晋级晋档。人员经费用途主要包括基本工资、津贴补贴、奖金、社会保障缴费等。公用经费</w:t>
      </w:r>
      <w:r>
        <w:rPr>
          <w:rFonts w:ascii="方正仿宋_GBK" w:eastAsia="方正仿宋_GBK" w:hint="eastAsia"/>
          <w:sz w:val="32"/>
          <w:szCs w:val="32"/>
          <w:shd w:val="clear" w:color="auto" w:fill="FFFFFF"/>
        </w:rPr>
        <w:t>558.05</w:t>
      </w:r>
      <w:r>
        <w:rPr>
          <w:rFonts w:ascii="方正仿宋_GBK" w:eastAsia="方正仿宋_GBK" w:hint="eastAsia"/>
          <w:sz w:val="32"/>
          <w:szCs w:val="32"/>
          <w:shd w:val="clear" w:color="auto" w:fill="FFFFFF"/>
        </w:rPr>
        <w:t>万元，较上年决算数减少</w:t>
      </w:r>
      <w:r>
        <w:rPr>
          <w:rFonts w:ascii="方正仿宋_GBK" w:eastAsia="方正仿宋_GBK" w:hint="eastAsia"/>
          <w:sz w:val="32"/>
          <w:szCs w:val="32"/>
          <w:shd w:val="clear" w:color="auto" w:fill="FFFFFF"/>
        </w:rPr>
        <w:t>159.75</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22.26%</w:t>
      </w:r>
      <w:r>
        <w:rPr>
          <w:rFonts w:ascii="方正仿宋_GBK" w:eastAsia="方正仿宋_GBK" w:hint="eastAsia"/>
          <w:sz w:val="32"/>
          <w:szCs w:val="32"/>
          <w:shd w:val="clear" w:color="auto" w:fill="FFFFFF"/>
        </w:rPr>
        <w:t>，主要原因是严格按照中央规定，厉行节约，公用经费减少。公用经费</w:t>
      </w:r>
      <w:r>
        <w:rPr>
          <w:rFonts w:ascii="方正仿宋_GBK" w:eastAsia="方正仿宋_GBK" w:hint="eastAsia"/>
          <w:sz w:val="32"/>
          <w:szCs w:val="32"/>
          <w:shd w:val="clear" w:color="auto" w:fill="FFFFFF"/>
        </w:rPr>
        <w:lastRenderedPageBreak/>
        <w:t>用途主要包括日常办公物品采购、办公室水电费、开展各类工作所需宣传资料制作等。</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（五）政府性基金预算收支决算情况说</w:t>
      </w:r>
      <w:r>
        <w:rPr>
          <w:rStyle w:val="20"/>
          <w:rFonts w:ascii="方正楷体_GBK" w:eastAsia="方正楷体_GBK" w:hint="eastAsia"/>
          <w:b w:val="0"/>
          <w:bCs/>
          <w:sz w:val="32"/>
          <w:szCs w:val="32"/>
          <w:shd w:val="clear" w:color="auto" w:fill="FFFFFF"/>
        </w:rPr>
        <w:t>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年度政府性基金预算财政拨款年初结转结余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万元，年末结转结余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万元。本年收支</w:t>
      </w:r>
      <w:r>
        <w:rPr>
          <w:rFonts w:ascii="方正仿宋_GBK" w:eastAsia="方正仿宋_GBK" w:hint="eastAsia"/>
          <w:sz w:val="32"/>
          <w:szCs w:val="32"/>
          <w:shd w:val="clear" w:color="auto" w:fill="FFFFFF"/>
        </w:rPr>
        <w:t>306.14</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19.66</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6.86%</w:t>
      </w:r>
      <w:r>
        <w:rPr>
          <w:rFonts w:ascii="方正仿宋_GBK" w:eastAsia="方正仿宋_GBK" w:hint="eastAsia"/>
          <w:sz w:val="32"/>
          <w:szCs w:val="32"/>
          <w:shd w:val="clear" w:color="auto" w:fill="FFFFFF"/>
        </w:rPr>
        <w:t>，主要原因是农村基础设施建设项目和社会福利的彩票公益金增加。本年收支</w:t>
      </w:r>
      <w:r>
        <w:rPr>
          <w:rFonts w:ascii="方正仿宋_GBK" w:eastAsia="方正仿宋_GBK" w:hint="eastAsia"/>
          <w:sz w:val="32"/>
          <w:szCs w:val="32"/>
          <w:shd w:val="clear" w:color="auto" w:fill="FFFFFF"/>
        </w:rPr>
        <w:t>306.14</w:t>
      </w:r>
      <w:r>
        <w:rPr>
          <w:rFonts w:ascii="方正仿宋_GBK" w:eastAsia="方正仿宋_GBK" w:hint="eastAsia"/>
          <w:sz w:val="32"/>
          <w:szCs w:val="32"/>
          <w:shd w:val="clear" w:color="auto" w:fill="FFFFFF"/>
        </w:rPr>
        <w:t>万元，较年初预算数增长</w:t>
      </w:r>
      <w:r>
        <w:rPr>
          <w:rFonts w:ascii="方正仿宋_GBK" w:eastAsia="方正仿宋_GBK" w:hint="eastAsia"/>
          <w:sz w:val="32"/>
          <w:szCs w:val="32"/>
          <w:shd w:val="clear" w:color="auto" w:fill="FFFFFF"/>
        </w:rPr>
        <w:t>255.64</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506.2%</w:t>
      </w:r>
      <w:r>
        <w:rPr>
          <w:rFonts w:ascii="方正仿宋_GBK" w:eastAsia="方正仿宋_GBK" w:hint="eastAsia"/>
          <w:sz w:val="32"/>
          <w:szCs w:val="32"/>
          <w:shd w:val="clear" w:color="auto" w:fill="FFFFFF"/>
        </w:rPr>
        <w:t>，主要原因是区级增加农村基础设施建设项目等资金。</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（六）国有资本经营预算财政拨款支出决算情况说明。</w:t>
      </w:r>
    </w:p>
    <w:p w:rsidR="00000000" w:rsidRDefault="009005D0">
      <w:pPr>
        <w:pStyle w:val="Char1"/>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本部门</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年度无国有资本经营预算财政拨款支出。</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黑体_GBK" w:eastAsia="方正黑体_GBK" w:hint="eastAsia"/>
          <w:shd w:val="clear" w:color="auto" w:fill="FFFFFF"/>
        </w:rPr>
      </w:pPr>
      <w:r>
        <w:rPr>
          <w:rStyle w:val="20"/>
          <w:rFonts w:ascii="方正黑体_GBK" w:eastAsia="方正黑体_GBK" w:hint="eastAsia"/>
          <w:b w:val="0"/>
          <w:bCs/>
          <w:sz w:val="32"/>
          <w:szCs w:val="32"/>
          <w:shd w:val="clear" w:color="auto" w:fill="FFFFFF"/>
        </w:rPr>
        <w:t>三、“三公”经费情况说明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（一）“三公”经费支出总体情况说明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年度“三公”经费支出共计</w:t>
      </w:r>
      <w:r>
        <w:rPr>
          <w:rFonts w:ascii="方正仿宋_GBK" w:eastAsia="方正仿宋_GBK" w:hint="eastAsia"/>
          <w:sz w:val="32"/>
          <w:szCs w:val="32"/>
          <w:shd w:val="clear" w:color="auto" w:fill="FFFFFF"/>
        </w:rPr>
        <w:t>186.74</w:t>
      </w:r>
      <w:r>
        <w:rPr>
          <w:rFonts w:ascii="方正仿宋_GBK" w:eastAsia="方正仿宋_GBK" w:hint="eastAsia"/>
          <w:sz w:val="32"/>
          <w:szCs w:val="32"/>
          <w:shd w:val="clear" w:color="auto" w:fill="FFFFFF"/>
        </w:rPr>
        <w:t>万元，较年初预算数增加</w:t>
      </w:r>
      <w:r>
        <w:rPr>
          <w:rFonts w:ascii="方正仿宋_GBK" w:eastAsia="方正仿宋_GBK" w:hint="eastAsia"/>
          <w:sz w:val="32"/>
          <w:szCs w:val="32"/>
          <w:shd w:val="clear" w:color="auto" w:fill="FFFFFF"/>
        </w:rPr>
        <w:t>138.24</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285%</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年为政府本级及事业单位新购置公车，导致公车购置费增加。较上年支出数增加</w:t>
      </w:r>
      <w:r>
        <w:rPr>
          <w:rFonts w:ascii="方正仿宋_GBK" w:eastAsia="方正仿宋_GBK" w:hint="eastAsia"/>
          <w:sz w:val="32"/>
          <w:szCs w:val="32"/>
          <w:shd w:val="clear" w:color="auto" w:fill="FFFFFF"/>
        </w:rPr>
        <w:t>107.98</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137.1%</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年度政府本级及事业单位新购置公车，导致公车购置费增加。</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（二）“三公”经费分项支出情况</w:t>
      </w:r>
    </w:p>
    <w:p w:rsidR="00000000" w:rsidRDefault="009005D0">
      <w:pPr>
        <w:autoSpaceDE w:val="0"/>
        <w:spacing w:line="56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本单位</w:t>
      </w:r>
      <w:r>
        <w:rPr>
          <w:rFonts w:ascii="方正仿宋_GBK" w:eastAsia="方正仿宋_GBK" w:hint="eastAsia"/>
          <w:sz w:val="32"/>
          <w:szCs w:val="32"/>
        </w:rPr>
        <w:t>2022</w:t>
      </w:r>
      <w:r>
        <w:rPr>
          <w:rFonts w:ascii="方正仿宋_GBK" w:eastAsia="方正仿宋_GBK" w:hint="eastAsia"/>
          <w:sz w:val="32"/>
          <w:szCs w:val="32"/>
        </w:rPr>
        <w:t>年度未发生因公出国（境）费用支出。</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公务车购置费</w:t>
      </w:r>
      <w:r>
        <w:rPr>
          <w:rFonts w:ascii="方正仿宋_GBK" w:eastAsia="方正仿宋_GBK" w:hint="eastAsia"/>
          <w:sz w:val="32"/>
          <w:szCs w:val="32"/>
          <w:shd w:val="clear" w:color="auto" w:fill="FFFFFF"/>
        </w:rPr>
        <w:t>143.67</w:t>
      </w:r>
      <w:r>
        <w:rPr>
          <w:rFonts w:ascii="方正仿宋_GBK" w:eastAsia="方正仿宋_GBK" w:hint="eastAsia"/>
          <w:sz w:val="32"/>
          <w:szCs w:val="32"/>
          <w:shd w:val="clear" w:color="auto" w:fill="FFFFFF"/>
        </w:rPr>
        <w:t>万元，主要用于机要通信、应急保障、特种专业技术、市内因公出行、农村环境检查、各类农村基础设施工程验收等工作。费用支出较年初预算数增加</w:t>
      </w:r>
      <w:r>
        <w:rPr>
          <w:rFonts w:ascii="方正仿宋_GBK" w:eastAsia="方正仿宋_GBK" w:hint="eastAsia"/>
          <w:sz w:val="32"/>
          <w:szCs w:val="32"/>
          <w:shd w:val="clear" w:color="auto" w:fill="FFFFFF"/>
        </w:rPr>
        <w:t>32.17</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28.85%</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年度政府本级及事业单位新购置公车，导致公车购置费</w:t>
      </w:r>
      <w:r>
        <w:rPr>
          <w:rFonts w:ascii="方正仿宋_GBK" w:eastAsia="方正仿宋_GBK" w:hint="eastAsia"/>
          <w:sz w:val="32"/>
          <w:szCs w:val="32"/>
          <w:shd w:val="clear" w:color="auto" w:fill="FFFFFF"/>
        </w:rPr>
        <w:lastRenderedPageBreak/>
        <w:t>增加。较上年支出数增加</w:t>
      </w:r>
      <w:r>
        <w:rPr>
          <w:rFonts w:ascii="方正仿宋_GBK" w:eastAsia="方正仿宋_GBK" w:hint="eastAsia"/>
          <w:sz w:val="32"/>
          <w:szCs w:val="32"/>
          <w:shd w:val="clear" w:color="auto" w:fill="FFFFFF"/>
        </w:rPr>
        <w:t>113.99</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384.06%</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年度政府本级及事业单位新购置公车，导致公车购置费增加。</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公务车运行维护费</w:t>
      </w:r>
      <w:r>
        <w:rPr>
          <w:rFonts w:ascii="方正仿宋_GBK" w:eastAsia="方正仿宋_GBK" w:hint="eastAsia"/>
          <w:sz w:val="32"/>
          <w:szCs w:val="32"/>
          <w:shd w:val="clear" w:color="auto" w:fill="FFFFFF"/>
        </w:rPr>
        <w:t>29.60</w:t>
      </w:r>
      <w:r>
        <w:rPr>
          <w:rFonts w:ascii="方正仿宋_GBK" w:eastAsia="方正仿宋_GBK" w:hint="eastAsia"/>
          <w:sz w:val="32"/>
          <w:szCs w:val="32"/>
          <w:shd w:val="clear" w:color="auto" w:fill="FFFFFF"/>
        </w:rPr>
        <w:t>万元，主要用于机要通信、应急保障、特种专业技术、市内因公出行、农村环境检查、各类农村基础设施工程验收等工作所需车辆的燃</w:t>
      </w:r>
      <w:r>
        <w:rPr>
          <w:rFonts w:ascii="方正仿宋_GBK" w:eastAsia="方正仿宋_GBK" w:hint="eastAsia"/>
          <w:sz w:val="32"/>
          <w:szCs w:val="32"/>
          <w:shd w:val="clear" w:color="auto" w:fill="FFFFFF"/>
        </w:rPr>
        <w:t>料费、维修费、过桥过路费、保险费等。费用支出与年初预算一致。较上年支出数减少</w:t>
      </w:r>
      <w:r>
        <w:rPr>
          <w:rFonts w:ascii="方正仿宋_GBK" w:eastAsia="方正仿宋_GBK" w:hint="eastAsia"/>
          <w:sz w:val="32"/>
          <w:szCs w:val="32"/>
          <w:shd w:val="clear" w:color="auto" w:fill="FFFFFF"/>
        </w:rPr>
        <w:t>0.06</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0.2%</w:t>
      </w:r>
      <w:r>
        <w:rPr>
          <w:rFonts w:ascii="方正仿宋_GBK" w:eastAsia="方正仿宋_GBK" w:hint="eastAsia"/>
          <w:sz w:val="32"/>
          <w:szCs w:val="32"/>
          <w:shd w:val="clear" w:color="auto" w:fill="FFFFFF"/>
        </w:rPr>
        <w:t>，主要原因是严格遵守八项规定，厉行节约。</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公务接待费</w:t>
      </w:r>
      <w:r>
        <w:rPr>
          <w:rFonts w:ascii="方正仿宋_GBK" w:eastAsia="方正仿宋_GBK" w:hint="eastAsia"/>
          <w:sz w:val="32"/>
          <w:szCs w:val="32"/>
          <w:shd w:val="clear" w:color="auto" w:fill="FFFFFF"/>
        </w:rPr>
        <w:t>13.48</w:t>
      </w:r>
      <w:r>
        <w:rPr>
          <w:rFonts w:ascii="方正仿宋_GBK" w:eastAsia="方正仿宋_GBK" w:hint="eastAsia"/>
          <w:sz w:val="32"/>
          <w:szCs w:val="32"/>
          <w:shd w:val="clear" w:color="auto" w:fill="FFFFFF"/>
        </w:rPr>
        <w:t>万元，主要用于接待区级部门相关人员来镇指导或督促检查工作；其他市区县参观我镇人居环境示范点、征地群众纠纷以及协调参战老兵等维稳群体用餐。费用支出较年初预算数减少</w:t>
      </w:r>
      <w:r>
        <w:rPr>
          <w:rFonts w:ascii="方正仿宋_GBK" w:eastAsia="方正仿宋_GBK" w:hint="eastAsia"/>
          <w:sz w:val="32"/>
          <w:szCs w:val="32"/>
          <w:shd w:val="clear" w:color="auto" w:fill="FFFFFF"/>
        </w:rPr>
        <w:t>5.42</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28.7%</w:t>
      </w:r>
      <w:r>
        <w:rPr>
          <w:rFonts w:ascii="方正仿宋_GBK" w:eastAsia="方正仿宋_GBK" w:hint="eastAsia"/>
          <w:sz w:val="32"/>
          <w:szCs w:val="32"/>
          <w:shd w:val="clear" w:color="auto" w:fill="FFFFFF"/>
        </w:rPr>
        <w:t>，主要原因是严格按照中央八项规定厉行勤俭节约，严格控制三公经费，按照区相关文件要求降低公务接待标准，严格控制接待次数和人数。较上年支出数减少</w:t>
      </w:r>
      <w:r>
        <w:rPr>
          <w:rFonts w:ascii="方正仿宋_GBK" w:eastAsia="方正仿宋_GBK" w:hint="eastAsia"/>
          <w:sz w:val="32"/>
          <w:szCs w:val="32"/>
          <w:shd w:val="clear" w:color="auto" w:fill="FFFFFF"/>
        </w:rPr>
        <w:t>5.42</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8.7%</w:t>
      </w:r>
      <w:r>
        <w:rPr>
          <w:rFonts w:ascii="方正仿宋_GBK" w:eastAsia="方正仿宋_GBK" w:hint="eastAsia"/>
          <w:sz w:val="32"/>
          <w:szCs w:val="32"/>
          <w:shd w:val="clear" w:color="auto" w:fill="FFFFFF"/>
        </w:rPr>
        <w:t>，主要原因是严格按照中央八项规定厉行勤俭节约，严格控制三公经费，按照区相关文件要求降低公务接待标准，严格控制接待次数和人数。</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（三）“三公”经费实物量情况</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年度本部门因公出国（境）共计</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个团组，</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人；公务用车购置</w:t>
      </w:r>
      <w:r>
        <w:rPr>
          <w:rFonts w:ascii="方正仿宋_GBK" w:eastAsia="方正仿宋_GBK" w:hint="eastAsia"/>
          <w:sz w:val="32"/>
          <w:szCs w:val="32"/>
          <w:shd w:val="clear" w:color="auto" w:fill="FFFFFF"/>
        </w:rPr>
        <w:t>4</w:t>
      </w:r>
      <w:r>
        <w:rPr>
          <w:rFonts w:ascii="方正仿宋_GBK" w:eastAsia="方正仿宋_GBK" w:hint="eastAsia"/>
          <w:sz w:val="32"/>
          <w:szCs w:val="32"/>
          <w:shd w:val="clear" w:color="auto" w:fill="FFFFFF"/>
        </w:rPr>
        <w:t>辆，公务车保有量为</w:t>
      </w:r>
      <w:r>
        <w:rPr>
          <w:rFonts w:ascii="方正仿宋_GBK" w:eastAsia="方正仿宋_GBK" w:hint="eastAsia"/>
          <w:sz w:val="32"/>
          <w:szCs w:val="32"/>
          <w:shd w:val="clear" w:color="auto" w:fill="FFFFFF"/>
        </w:rPr>
        <w:t>9</w:t>
      </w:r>
      <w:r>
        <w:rPr>
          <w:rFonts w:ascii="方正仿宋_GBK" w:eastAsia="方正仿宋_GBK" w:hint="eastAsia"/>
          <w:sz w:val="32"/>
          <w:szCs w:val="32"/>
          <w:shd w:val="clear" w:color="auto" w:fill="FFFFFF"/>
        </w:rPr>
        <w:t>辆；国内公务接待</w:t>
      </w:r>
      <w:r>
        <w:rPr>
          <w:rFonts w:ascii="方正仿宋_GBK" w:eastAsia="方正仿宋_GBK" w:hint="eastAsia"/>
          <w:sz w:val="32"/>
          <w:szCs w:val="32"/>
          <w:shd w:val="clear" w:color="auto" w:fill="FFFFFF"/>
        </w:rPr>
        <w:t>230</w:t>
      </w:r>
      <w:r>
        <w:rPr>
          <w:rFonts w:ascii="方正仿宋_GBK" w:eastAsia="方正仿宋_GBK" w:hint="eastAsia"/>
          <w:sz w:val="32"/>
          <w:szCs w:val="32"/>
          <w:shd w:val="clear" w:color="auto" w:fill="FFFFFF"/>
        </w:rPr>
        <w:t>批次</w:t>
      </w:r>
      <w:r>
        <w:rPr>
          <w:rFonts w:ascii="方正仿宋_GBK" w:eastAsia="方正仿宋_GBK" w:hint="eastAsia"/>
          <w:sz w:val="32"/>
          <w:szCs w:val="32"/>
          <w:shd w:val="clear" w:color="auto" w:fill="FFFFFF"/>
        </w:rPr>
        <w:t>1,590</w:t>
      </w:r>
      <w:r>
        <w:rPr>
          <w:rFonts w:ascii="方正仿宋_GBK" w:eastAsia="方正仿宋_GBK" w:hint="eastAsia"/>
          <w:sz w:val="32"/>
          <w:szCs w:val="32"/>
          <w:shd w:val="clear" w:color="auto" w:fill="FFFFFF"/>
        </w:rPr>
        <w:t>人，其中：国内外事接待</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批次，</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人；国（境）外公务接待</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批次，</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人。</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年本部门人均接待费</w:t>
      </w:r>
      <w:r>
        <w:rPr>
          <w:rFonts w:ascii="方正仿宋_GBK" w:eastAsia="方正仿宋_GBK" w:hint="eastAsia"/>
          <w:sz w:val="32"/>
          <w:szCs w:val="32"/>
          <w:shd w:val="clear" w:color="auto" w:fill="FFFFFF"/>
        </w:rPr>
        <w:t>84.76</w:t>
      </w:r>
      <w:r>
        <w:rPr>
          <w:rFonts w:ascii="方正仿宋_GBK" w:eastAsia="方正仿宋_GBK" w:hint="eastAsia"/>
          <w:sz w:val="32"/>
          <w:szCs w:val="32"/>
          <w:shd w:val="clear" w:color="auto" w:fill="FFFFFF"/>
        </w:rPr>
        <w:t>元，车均购置费</w:t>
      </w:r>
      <w:r>
        <w:rPr>
          <w:rFonts w:ascii="方正仿宋_GBK" w:eastAsia="方正仿宋_GBK" w:hint="eastAsia"/>
          <w:sz w:val="32"/>
          <w:szCs w:val="32"/>
          <w:shd w:val="clear" w:color="auto" w:fill="FFFFFF"/>
        </w:rPr>
        <w:t>35.92</w:t>
      </w:r>
      <w:r>
        <w:rPr>
          <w:rFonts w:ascii="方正仿宋_GBK" w:eastAsia="方正仿宋_GBK" w:hint="eastAsia"/>
          <w:sz w:val="32"/>
          <w:szCs w:val="32"/>
          <w:shd w:val="clear" w:color="auto" w:fill="FFFFFF"/>
        </w:rPr>
        <w:t>万元，车均维护费</w:t>
      </w:r>
      <w:r>
        <w:rPr>
          <w:rFonts w:ascii="方正仿宋_GBK" w:eastAsia="方正仿宋_GBK" w:hint="eastAsia"/>
          <w:sz w:val="32"/>
          <w:szCs w:val="32"/>
          <w:shd w:val="clear" w:color="auto" w:fill="FFFFFF"/>
        </w:rPr>
        <w:t>3.29</w:t>
      </w:r>
      <w:r>
        <w:rPr>
          <w:rFonts w:ascii="方正仿宋_GBK" w:eastAsia="方正仿宋_GBK" w:hint="eastAsia"/>
          <w:sz w:val="32"/>
          <w:szCs w:val="32"/>
          <w:shd w:val="clear" w:color="auto" w:fill="FFFFFF"/>
        </w:rPr>
        <w:t>万元。</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黑体_GBK" w:eastAsia="方正黑体_GBK" w:hint="eastAsia"/>
          <w:shd w:val="clear" w:color="auto" w:fill="FFFFFF"/>
        </w:rPr>
      </w:pPr>
      <w:r>
        <w:rPr>
          <w:rStyle w:val="20"/>
          <w:rFonts w:ascii="方正黑体_GBK" w:eastAsia="方正黑体_GBK" w:hint="eastAsia"/>
          <w:b w:val="0"/>
          <w:bCs/>
          <w:sz w:val="32"/>
          <w:szCs w:val="32"/>
          <w:shd w:val="clear" w:color="auto" w:fill="FFFFFF"/>
        </w:rPr>
        <w:t>四、其他需要说明的事项</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（一）财政拨款会议费和培训费情况说明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lastRenderedPageBreak/>
        <w:t>本年</w:t>
      </w:r>
      <w:r>
        <w:rPr>
          <w:rFonts w:ascii="方正仿宋_GBK" w:eastAsia="方正仿宋_GBK" w:hint="eastAsia"/>
          <w:sz w:val="32"/>
          <w:szCs w:val="32"/>
          <w:shd w:val="clear" w:color="auto" w:fill="FFFFFF"/>
        </w:rPr>
        <w:t>度会议费支出</w:t>
      </w:r>
      <w:r>
        <w:rPr>
          <w:rFonts w:ascii="方正仿宋_GBK" w:eastAsia="方正仿宋_GBK" w:hint="eastAsia"/>
          <w:sz w:val="32"/>
          <w:szCs w:val="32"/>
          <w:shd w:val="clear" w:color="auto" w:fill="FFFFFF"/>
        </w:rPr>
        <w:t>7.28</w:t>
      </w:r>
      <w:r>
        <w:rPr>
          <w:rFonts w:ascii="方正仿宋_GBK" w:eastAsia="方正仿宋_GBK" w:hint="eastAsia"/>
          <w:sz w:val="32"/>
          <w:szCs w:val="32"/>
          <w:shd w:val="clear" w:color="auto" w:fill="FFFFFF"/>
        </w:rPr>
        <w:t>万元，较上年决算数减少</w:t>
      </w:r>
      <w:r>
        <w:rPr>
          <w:rFonts w:ascii="方正仿宋_GBK" w:eastAsia="方正仿宋_GBK" w:hint="eastAsia"/>
          <w:sz w:val="32"/>
          <w:szCs w:val="32"/>
          <w:shd w:val="clear" w:color="auto" w:fill="FFFFFF"/>
        </w:rPr>
        <w:t>2.01</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21.64%</w:t>
      </w:r>
      <w:r>
        <w:rPr>
          <w:rFonts w:ascii="方正仿宋_GBK" w:eastAsia="方正仿宋_GBK" w:hint="eastAsia"/>
          <w:sz w:val="32"/>
          <w:szCs w:val="32"/>
          <w:shd w:val="clear" w:color="auto" w:fill="FFFFFF"/>
        </w:rPr>
        <w:t>，主要原因是受新冠疫情影响，减少集会次数，多采用线上会议。本年度培训费支出</w:t>
      </w:r>
      <w:r>
        <w:rPr>
          <w:rFonts w:ascii="方正仿宋_GBK" w:eastAsia="方正仿宋_GBK" w:hint="eastAsia"/>
          <w:sz w:val="32"/>
          <w:szCs w:val="32"/>
          <w:shd w:val="clear" w:color="auto" w:fill="FFFFFF"/>
        </w:rPr>
        <w:t>6.11</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0.84</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15.92%</w:t>
      </w:r>
      <w:r>
        <w:rPr>
          <w:rFonts w:ascii="方正仿宋_GBK" w:eastAsia="方正仿宋_GBK" w:hint="eastAsia"/>
          <w:sz w:val="32"/>
          <w:szCs w:val="32"/>
          <w:shd w:val="clear" w:color="auto" w:fill="FFFFFF"/>
        </w:rPr>
        <w:t>，主要原因是计提的职工教育经费增加。</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（二）机关运行经费支出情况说明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年度本部门机关运行经费支出</w:t>
      </w:r>
      <w:r>
        <w:rPr>
          <w:rFonts w:ascii="方正仿宋_GBK" w:eastAsia="方正仿宋_GBK" w:hint="eastAsia"/>
          <w:sz w:val="32"/>
          <w:szCs w:val="32"/>
          <w:shd w:val="clear" w:color="auto" w:fill="FFFFFF"/>
        </w:rPr>
        <w:t>420.47</w:t>
      </w:r>
      <w:r>
        <w:rPr>
          <w:rFonts w:ascii="方正仿宋_GBK" w:eastAsia="方正仿宋_GBK" w:hint="eastAsia"/>
          <w:sz w:val="32"/>
          <w:szCs w:val="32"/>
          <w:shd w:val="clear" w:color="auto" w:fill="FFFFFF"/>
        </w:rPr>
        <w:t>万元，主要用于开支办公费、印刷费、电费、邮电费、差旅费、会议费、培训费、维修维护费、公务车运行维护费、公务接待费、其他交通会、工会费、福利费和其他商品服务和支出等。机关运行经费较上年决算数减少</w:t>
      </w:r>
      <w:r>
        <w:rPr>
          <w:rFonts w:ascii="方正仿宋_GBK" w:eastAsia="方正仿宋_GBK" w:hint="eastAsia"/>
          <w:sz w:val="32"/>
          <w:szCs w:val="32"/>
          <w:shd w:val="clear" w:color="auto" w:fill="FFFFFF"/>
        </w:rPr>
        <w:t>24.93</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0.06%</w:t>
      </w:r>
      <w:r>
        <w:rPr>
          <w:rFonts w:ascii="方正仿宋_GBK" w:eastAsia="方正仿宋_GBK" w:hint="eastAsia"/>
          <w:sz w:val="32"/>
          <w:szCs w:val="32"/>
          <w:shd w:val="clear" w:color="auto" w:fill="FFFFFF"/>
        </w:rPr>
        <w:t>，主要原因是严格按照中央规定，厉行节约，减少了机关运行支出。</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（三）国有资产占用情况说明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截至</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w:t>
      </w:r>
      <w:r>
        <w:rPr>
          <w:rFonts w:ascii="方正仿宋_GBK" w:eastAsia="方正仿宋_GBK" w:hint="eastAsia"/>
          <w:sz w:val="32"/>
          <w:szCs w:val="32"/>
          <w:shd w:val="clear" w:color="auto" w:fill="FFFFFF"/>
        </w:rPr>
        <w:t>12</w:t>
      </w:r>
      <w:r>
        <w:rPr>
          <w:rFonts w:ascii="方正仿宋_GBK" w:eastAsia="方正仿宋_GBK" w:hint="eastAsia"/>
          <w:sz w:val="32"/>
          <w:szCs w:val="32"/>
          <w:shd w:val="clear" w:color="auto" w:fill="FFFFFF"/>
        </w:rPr>
        <w:t>月</w:t>
      </w:r>
      <w:r>
        <w:rPr>
          <w:rFonts w:ascii="方正仿宋_GBK" w:eastAsia="方正仿宋_GBK" w:hint="eastAsia"/>
          <w:sz w:val="32"/>
          <w:szCs w:val="32"/>
          <w:shd w:val="clear" w:color="auto" w:fill="FFFFFF"/>
        </w:rPr>
        <w:t>31</w:t>
      </w:r>
      <w:r>
        <w:rPr>
          <w:rFonts w:ascii="方正仿宋_GBK" w:eastAsia="方正仿宋_GBK" w:hint="eastAsia"/>
          <w:sz w:val="32"/>
          <w:szCs w:val="32"/>
          <w:shd w:val="clear" w:color="auto" w:fill="FFFFFF"/>
        </w:rPr>
        <w:t>日，本部门共有车辆</w:t>
      </w:r>
      <w:r>
        <w:rPr>
          <w:rFonts w:ascii="方正仿宋_GBK" w:eastAsia="方正仿宋_GBK" w:hint="eastAsia"/>
          <w:sz w:val="32"/>
          <w:szCs w:val="32"/>
          <w:shd w:val="clear" w:color="auto" w:fill="FFFFFF"/>
        </w:rPr>
        <w:t>9</w:t>
      </w:r>
      <w:r>
        <w:rPr>
          <w:rFonts w:ascii="方正仿宋_GBK" w:eastAsia="方正仿宋_GBK" w:hint="eastAsia"/>
          <w:sz w:val="32"/>
          <w:szCs w:val="32"/>
          <w:shd w:val="clear" w:color="auto" w:fill="FFFFFF"/>
        </w:rPr>
        <w:t>辆，其中，副部（省）级及以上领导用车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辆、主要领导干部用车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辆、机要通信用车</w:t>
      </w:r>
      <w:r>
        <w:rPr>
          <w:rFonts w:ascii="方正仿宋_GBK" w:eastAsia="方正仿宋_GBK" w:hint="eastAsia"/>
          <w:sz w:val="32"/>
          <w:szCs w:val="32"/>
          <w:shd w:val="clear" w:color="auto" w:fill="FFFFFF"/>
        </w:rPr>
        <w:t>4</w:t>
      </w:r>
      <w:r>
        <w:rPr>
          <w:rFonts w:ascii="方正仿宋_GBK" w:eastAsia="方正仿宋_GBK" w:hint="eastAsia"/>
          <w:sz w:val="32"/>
          <w:szCs w:val="32"/>
          <w:shd w:val="clear" w:color="auto" w:fill="FFFFFF"/>
        </w:rPr>
        <w:t>辆、应急保障用车</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辆、执法执勤用</w:t>
      </w:r>
      <w:r>
        <w:rPr>
          <w:rFonts w:ascii="方正仿宋_GBK" w:eastAsia="方正仿宋_GBK" w:hint="eastAsia"/>
          <w:sz w:val="32"/>
          <w:szCs w:val="32"/>
          <w:shd w:val="clear" w:color="auto" w:fill="FFFFFF"/>
        </w:rPr>
        <w:t>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辆，特种专业技术用车</w:t>
      </w:r>
      <w:r>
        <w:rPr>
          <w:rFonts w:ascii="方正仿宋_GBK" w:eastAsia="方正仿宋_GBK" w:hint="eastAsia"/>
          <w:sz w:val="32"/>
          <w:szCs w:val="32"/>
          <w:shd w:val="clear" w:color="auto" w:fill="FFFFFF"/>
        </w:rPr>
        <w:t>3</w:t>
      </w:r>
      <w:r>
        <w:rPr>
          <w:rFonts w:ascii="方正仿宋_GBK" w:eastAsia="方正仿宋_GBK" w:hint="eastAsia"/>
          <w:sz w:val="32"/>
          <w:szCs w:val="32"/>
          <w:shd w:val="clear" w:color="auto" w:fill="FFFFFF"/>
        </w:rPr>
        <w:t>辆，离退休干部用车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辆，其他用车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辆。单价</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万元（含）以上设备（不含车辆）</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台（套）。</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（四）政府采购支出说明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年度本部门政府采购支出总额</w:t>
      </w:r>
      <w:r>
        <w:rPr>
          <w:rFonts w:ascii="方正仿宋_GBK" w:eastAsia="方正仿宋_GBK" w:hint="eastAsia"/>
          <w:sz w:val="32"/>
          <w:szCs w:val="32"/>
          <w:shd w:val="clear" w:color="auto" w:fill="FFFFFF"/>
        </w:rPr>
        <w:t>92.98</w:t>
      </w:r>
      <w:r>
        <w:rPr>
          <w:rFonts w:ascii="方正仿宋_GBK" w:eastAsia="方正仿宋_GBK" w:hint="eastAsia"/>
          <w:sz w:val="32"/>
          <w:szCs w:val="32"/>
          <w:shd w:val="clear" w:color="auto" w:fill="FFFFFF"/>
        </w:rPr>
        <w:t>万元，其中：政府采购货物支出</w:t>
      </w:r>
      <w:r>
        <w:rPr>
          <w:rFonts w:ascii="方正仿宋_GBK" w:eastAsia="方正仿宋_GBK" w:hint="eastAsia"/>
          <w:sz w:val="32"/>
          <w:szCs w:val="32"/>
          <w:shd w:val="clear" w:color="auto" w:fill="FFFFFF"/>
        </w:rPr>
        <w:t>92.98</w:t>
      </w:r>
      <w:r>
        <w:rPr>
          <w:rFonts w:ascii="方正仿宋_GBK" w:eastAsia="方正仿宋_GBK" w:hint="eastAsia"/>
          <w:sz w:val="32"/>
          <w:szCs w:val="32"/>
          <w:shd w:val="clear" w:color="auto" w:fill="FFFFFF"/>
        </w:rPr>
        <w:t>万元、政府采购工程支出</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万元、政府采购服务支出</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万元。授予中小企业合同金额</w:t>
      </w:r>
      <w:r>
        <w:rPr>
          <w:rFonts w:ascii="方正仿宋_GBK" w:eastAsia="方正仿宋_GBK" w:hint="eastAsia"/>
          <w:sz w:val="32"/>
          <w:szCs w:val="32"/>
          <w:shd w:val="clear" w:color="auto" w:fill="FFFFFF"/>
        </w:rPr>
        <w:t>92.98</w:t>
      </w:r>
      <w:r>
        <w:rPr>
          <w:rFonts w:ascii="方正仿宋_GBK" w:eastAsia="方正仿宋_GBK" w:hint="eastAsia"/>
          <w:sz w:val="32"/>
          <w:szCs w:val="32"/>
          <w:shd w:val="clear" w:color="auto" w:fill="FFFFFF"/>
        </w:rPr>
        <w:t>万元，占政府采购支出总额的</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，其中：授予小微企业合同金额</w:t>
      </w:r>
      <w:r>
        <w:rPr>
          <w:rFonts w:ascii="方正仿宋_GBK" w:eastAsia="方正仿宋_GBK" w:hint="eastAsia"/>
          <w:sz w:val="32"/>
          <w:szCs w:val="32"/>
          <w:shd w:val="clear" w:color="auto" w:fill="FFFFFF"/>
        </w:rPr>
        <w:t>92.98</w:t>
      </w:r>
      <w:r>
        <w:rPr>
          <w:rFonts w:ascii="方正仿宋_GBK" w:eastAsia="方正仿宋_GBK" w:hint="eastAsia"/>
          <w:sz w:val="32"/>
          <w:szCs w:val="32"/>
          <w:shd w:val="clear" w:color="auto" w:fill="FFFFFF"/>
        </w:rPr>
        <w:t>万元，占政府采购支出总额的</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。主要用于采购疫情防控核酸检测专用笔记本电脑和客车</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辆及车辆运输费。</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黑体_GBK" w:eastAsia="方正黑体_GBK" w:hint="eastAsia"/>
          <w:shd w:val="clear" w:color="auto" w:fill="FFFFFF"/>
        </w:rPr>
      </w:pPr>
      <w:r>
        <w:rPr>
          <w:rStyle w:val="20"/>
          <w:rFonts w:ascii="方正黑体_GBK" w:eastAsia="方正黑体_GBK" w:hint="eastAsia"/>
          <w:b w:val="0"/>
          <w:bCs/>
          <w:sz w:val="32"/>
          <w:szCs w:val="32"/>
          <w:shd w:val="clear" w:color="auto" w:fill="FFFFFF"/>
        </w:rPr>
        <w:lastRenderedPageBreak/>
        <w:t>五、预算绩效管理</w:t>
      </w:r>
      <w:r>
        <w:rPr>
          <w:rStyle w:val="20"/>
          <w:rFonts w:ascii="方正黑体_GBK" w:eastAsia="方正黑体_GBK" w:hint="eastAsia"/>
          <w:b w:val="0"/>
          <w:bCs/>
          <w:sz w:val="32"/>
          <w:szCs w:val="32"/>
          <w:shd w:val="clear" w:color="auto" w:fill="FFFFFF"/>
        </w:rPr>
        <w:t>情况说明</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（一）预算绩效管理工作开展情况</w:t>
      </w:r>
    </w:p>
    <w:p w:rsidR="00000000" w:rsidRDefault="009005D0">
      <w:pPr>
        <w:pStyle w:val="Char1"/>
        <w:shd w:val="clear" w:color="auto" w:fill="FFFFFF"/>
        <w:autoSpaceDE w:val="0"/>
        <w:spacing w:before="0" w:beforeAutospacing="0" w:after="0" w:afterAutospacing="0" w:line="56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根据预算绩效管理要求，本单位对</w:t>
      </w:r>
      <w:r>
        <w:rPr>
          <w:rFonts w:ascii="方正仿宋_GBK" w:eastAsia="方正仿宋_GBK" w:hint="eastAsia"/>
          <w:sz w:val="32"/>
          <w:szCs w:val="32"/>
          <w:shd w:val="clear" w:color="auto" w:fill="FFFFFF"/>
        </w:rPr>
        <w:t>210</w:t>
      </w:r>
      <w:r>
        <w:rPr>
          <w:rFonts w:ascii="方正仿宋_GBK" w:eastAsia="方正仿宋_GBK" w:hint="eastAsia"/>
          <w:sz w:val="32"/>
          <w:szCs w:val="32"/>
          <w:shd w:val="clear" w:color="auto" w:fill="FFFFFF"/>
        </w:rPr>
        <w:t>个项目开展了绩效自评，其中，以填报自评表形式开展自评</w:t>
      </w:r>
      <w:r>
        <w:rPr>
          <w:rFonts w:ascii="方正仿宋_GBK" w:eastAsia="方正仿宋_GBK" w:hint="eastAsia"/>
          <w:sz w:val="32"/>
          <w:szCs w:val="32"/>
          <w:shd w:val="clear" w:color="auto" w:fill="FFFFFF"/>
        </w:rPr>
        <w:t>210</w:t>
      </w:r>
      <w:r>
        <w:rPr>
          <w:rFonts w:ascii="方正仿宋_GBK" w:eastAsia="方正仿宋_GBK" w:hint="eastAsia"/>
          <w:sz w:val="32"/>
          <w:szCs w:val="32"/>
          <w:shd w:val="clear" w:color="auto" w:fill="FFFFFF"/>
        </w:rPr>
        <w:t>项，涉及资金</w:t>
      </w:r>
      <w:r>
        <w:rPr>
          <w:rFonts w:ascii="方正仿宋_GBK" w:eastAsia="方正仿宋_GBK" w:hint="eastAsia"/>
          <w:sz w:val="32"/>
          <w:szCs w:val="32"/>
          <w:shd w:val="clear" w:color="auto" w:fill="FFFFFF"/>
        </w:rPr>
        <w:t>9358.09</w:t>
      </w:r>
      <w:r>
        <w:rPr>
          <w:rFonts w:ascii="方正仿宋_GBK" w:eastAsia="方正仿宋_GBK" w:hint="eastAsia"/>
          <w:sz w:val="32"/>
          <w:szCs w:val="32"/>
          <w:shd w:val="clear" w:color="auto" w:fill="FFFFFF"/>
        </w:rPr>
        <w:t>万元。从评价情况来看，本单位项目预算编制、执行及使用效益情况均达到了预期的绩效目标。</w:t>
      </w:r>
    </w:p>
    <w:p w:rsidR="00000000" w:rsidRDefault="009005D0">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20"/>
          <w:rFonts w:ascii="方正楷体_GBK" w:eastAsia="方正楷体_GBK" w:hint="eastAsia"/>
          <w:b w:val="0"/>
          <w:bCs/>
          <w:sz w:val="32"/>
          <w:szCs w:val="32"/>
          <w:shd w:val="clear" w:color="auto" w:fill="FFFFFF"/>
        </w:rPr>
        <w:t>（二）绩效自评结果。</w:t>
      </w:r>
    </w:p>
    <w:p w:rsidR="00000000" w:rsidRDefault="009005D0">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20"/>
          <w:rFonts w:ascii="方正仿宋_GBK" w:eastAsia="方正仿宋_GBK" w:hint="eastAsia"/>
          <w:sz w:val="32"/>
          <w:szCs w:val="32"/>
          <w:shd w:val="clear" w:color="auto" w:fill="FFFFFF"/>
        </w:rPr>
        <w:t>1.</w:t>
      </w:r>
      <w:r>
        <w:rPr>
          <w:rStyle w:val="20"/>
          <w:rFonts w:ascii="方正仿宋_GBK" w:eastAsia="方正仿宋_GBK" w:hint="eastAsia"/>
          <w:sz w:val="32"/>
          <w:szCs w:val="32"/>
          <w:shd w:val="clear" w:color="auto" w:fill="FFFFFF"/>
        </w:rPr>
        <w:t>绩效目标自评表。</w:t>
      </w:r>
    </w:p>
    <w:tbl>
      <w:tblPr>
        <w:tblW w:w="11580" w:type="dxa"/>
        <w:jc w:val="center"/>
        <w:tblCellMar>
          <w:left w:w="0" w:type="dxa"/>
          <w:right w:w="0" w:type="dxa"/>
        </w:tblCellMar>
        <w:tblLook w:val="04A0" w:firstRow="1" w:lastRow="0" w:firstColumn="1" w:lastColumn="0" w:noHBand="0" w:noVBand="1"/>
      </w:tblPr>
      <w:tblGrid>
        <w:gridCol w:w="1040"/>
        <w:gridCol w:w="1040"/>
        <w:gridCol w:w="1040"/>
        <w:gridCol w:w="654"/>
        <w:gridCol w:w="100"/>
        <w:gridCol w:w="1043"/>
        <w:gridCol w:w="1170"/>
        <w:gridCol w:w="1060"/>
        <w:gridCol w:w="754"/>
        <w:gridCol w:w="812"/>
        <w:gridCol w:w="941"/>
        <w:gridCol w:w="932"/>
        <w:gridCol w:w="957"/>
        <w:gridCol w:w="37"/>
      </w:tblGrid>
      <w:tr w:rsidR="00000000">
        <w:trPr>
          <w:gridAfter w:val="1"/>
          <w:wAfter w:w="165" w:type="dxa"/>
          <w:trHeight w:val="555"/>
          <w:jc w:val="center"/>
        </w:trPr>
        <w:tc>
          <w:tcPr>
            <w:tcW w:w="11420" w:type="dxa"/>
            <w:gridSpan w:val="13"/>
            <w:tcBorders>
              <w:top w:val="nil"/>
              <w:left w:val="nil"/>
              <w:bottom w:val="single" w:sz="4" w:space="0" w:color="auto"/>
              <w:right w:val="nil"/>
            </w:tcBorders>
            <w:noWrap/>
            <w:tcMar>
              <w:top w:w="15" w:type="dxa"/>
              <w:left w:w="15" w:type="dxa"/>
              <w:bottom w:w="0" w:type="dxa"/>
              <w:right w:w="15" w:type="dxa"/>
            </w:tcMar>
            <w:vAlign w:val="center"/>
            <w:hideMark/>
          </w:tcPr>
          <w:p w:rsidR="00000000" w:rsidRDefault="009005D0">
            <w:pPr>
              <w:jc w:val="center"/>
              <w:rPr>
                <w:rFonts w:ascii="微软雅黑" w:eastAsia="微软雅黑" w:hAnsi="微软雅黑"/>
                <w:b/>
                <w:bCs/>
                <w:color w:val="000000"/>
                <w:sz w:val="40"/>
                <w:szCs w:val="40"/>
              </w:rPr>
            </w:pPr>
            <w:r>
              <w:rPr>
                <w:rFonts w:ascii="微软雅黑" w:eastAsia="微软雅黑" w:hAnsi="微软雅黑" w:hint="eastAsia"/>
                <w:b/>
                <w:bCs/>
                <w:color w:val="000000"/>
                <w:sz w:val="40"/>
                <w:szCs w:val="40"/>
              </w:rPr>
              <w:t>2022</w:t>
            </w:r>
            <w:r>
              <w:rPr>
                <w:rFonts w:ascii="微软雅黑" w:eastAsia="微软雅黑" w:hAnsi="微软雅黑" w:hint="eastAsia"/>
                <w:b/>
                <w:bCs/>
                <w:color w:val="000000"/>
                <w:sz w:val="40"/>
                <w:szCs w:val="40"/>
              </w:rPr>
              <w:t>年度部门整体绩效自评表</w:t>
            </w:r>
          </w:p>
        </w:tc>
      </w:tr>
      <w:tr w:rsidR="00000000">
        <w:trPr>
          <w:gridAfter w:val="1"/>
          <w:wAfter w:w="165" w:type="dxa"/>
          <w:trHeight w:val="570"/>
          <w:jc w:val="center"/>
        </w:trPr>
        <w:tc>
          <w:tcPr>
            <w:tcW w:w="1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项目名称：</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20"/>
                <w:szCs w:val="20"/>
              </w:rPr>
            </w:pPr>
            <w:r>
              <w:rPr>
                <w:rFonts w:hint="eastAsia"/>
                <w:color w:val="000000"/>
                <w:sz w:val="20"/>
                <w:szCs w:val="20"/>
              </w:rPr>
              <w:t>重庆市渝北区古路镇人民政府整体自评</w:t>
            </w:r>
          </w:p>
        </w:tc>
        <w:tc>
          <w:tcPr>
            <w:tcW w:w="9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项目编码：</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50011200022P000085</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自评总分：</w:t>
            </w:r>
          </w:p>
        </w:tc>
        <w:tc>
          <w:tcPr>
            <w:tcW w:w="0" w:type="auto"/>
            <w:gridSpan w:val="2"/>
            <w:tcBorders>
              <w:top w:val="single" w:sz="4" w:space="0" w:color="auto"/>
              <w:left w:val="nil"/>
              <w:bottom w:val="single" w:sz="4" w:space="0" w:color="auto"/>
              <w:right w:val="single" w:sz="4" w:space="0" w:color="auto"/>
            </w:tcBorders>
            <w:noWrap/>
            <w:tcMar>
              <w:top w:w="15" w:type="dxa"/>
              <w:left w:w="405" w:type="dxa"/>
              <w:bottom w:w="0" w:type="dxa"/>
              <w:right w:w="15" w:type="dxa"/>
            </w:tcMar>
            <w:vAlign w:val="center"/>
            <w:hideMark/>
          </w:tcPr>
          <w:p w:rsidR="00000000" w:rsidRDefault="009005D0">
            <w:pPr>
              <w:ind w:firstLineChars="100" w:firstLine="220"/>
              <w:rPr>
                <w:color w:val="000000"/>
                <w:sz w:val="22"/>
                <w:szCs w:val="22"/>
              </w:rPr>
            </w:pPr>
            <w:r>
              <w:rPr>
                <w:rFonts w:hint="eastAsia"/>
                <w:color w:val="000000"/>
                <w:sz w:val="22"/>
                <w:szCs w:val="22"/>
              </w:rPr>
              <w:t>97.50</w:t>
            </w:r>
          </w:p>
        </w:tc>
        <w:tc>
          <w:tcPr>
            <w:tcW w:w="10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 xml:space="preserve">　</w:t>
            </w:r>
          </w:p>
        </w:tc>
        <w:tc>
          <w:tcPr>
            <w:tcW w:w="20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57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项目主管部门：</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20"/>
                <w:szCs w:val="20"/>
              </w:rPr>
            </w:pPr>
            <w:r>
              <w:rPr>
                <w:rFonts w:hint="eastAsia"/>
                <w:color w:val="000000"/>
                <w:sz w:val="20"/>
                <w:szCs w:val="20"/>
              </w:rPr>
              <w:t>913-</w:t>
            </w:r>
            <w:r>
              <w:rPr>
                <w:rFonts w:hint="eastAsia"/>
                <w:color w:val="000000"/>
                <w:sz w:val="20"/>
                <w:szCs w:val="20"/>
              </w:rPr>
              <w:t>重庆市渝北区古路镇人民政府</w:t>
            </w: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财政归口处室：</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002-</w:t>
            </w:r>
            <w:r>
              <w:rPr>
                <w:rFonts w:hint="eastAsia"/>
                <w:color w:val="000000"/>
                <w:sz w:val="18"/>
                <w:szCs w:val="18"/>
              </w:rPr>
              <w:t>预算科</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部门联系人：</w:t>
            </w:r>
          </w:p>
        </w:tc>
        <w:tc>
          <w:tcPr>
            <w:tcW w:w="0" w:type="auto"/>
            <w:gridSpan w:val="2"/>
            <w:tcBorders>
              <w:top w:val="single" w:sz="4" w:space="0" w:color="auto"/>
              <w:left w:val="nil"/>
              <w:bottom w:val="single" w:sz="4" w:space="0" w:color="auto"/>
              <w:right w:val="single" w:sz="4" w:space="0" w:color="auto"/>
            </w:tcBorders>
            <w:noWrap/>
            <w:tcMar>
              <w:top w:w="15" w:type="dxa"/>
              <w:left w:w="405" w:type="dxa"/>
              <w:bottom w:w="0" w:type="dxa"/>
              <w:right w:w="15" w:type="dxa"/>
            </w:tcMar>
            <w:vAlign w:val="center"/>
            <w:hideMark/>
          </w:tcPr>
          <w:p w:rsidR="00000000" w:rsidRDefault="009005D0">
            <w:pPr>
              <w:ind w:firstLineChars="100" w:firstLine="220"/>
              <w:rPr>
                <w:color w:val="000000"/>
                <w:sz w:val="22"/>
                <w:szCs w:val="22"/>
              </w:rPr>
            </w:pPr>
            <w:r>
              <w:rPr>
                <w:rFonts w:hint="eastAsia"/>
                <w:color w:val="000000"/>
                <w:sz w:val="22"/>
                <w:szCs w:val="22"/>
              </w:rPr>
              <w:t>冯清</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18"/>
                <w:szCs w:val="18"/>
              </w:rPr>
            </w:pPr>
            <w:r>
              <w:rPr>
                <w:rFonts w:hint="eastAsia"/>
                <w:b/>
                <w:bCs/>
                <w:color w:val="000000"/>
                <w:sz w:val="18"/>
                <w:szCs w:val="18"/>
              </w:rPr>
              <w:t>联系电话：</w:t>
            </w:r>
          </w:p>
        </w:tc>
        <w:tc>
          <w:tcPr>
            <w:tcW w:w="0" w:type="auto"/>
            <w:gridSpan w:val="2"/>
            <w:tcBorders>
              <w:top w:val="single" w:sz="4" w:space="0" w:color="auto"/>
              <w:left w:val="nil"/>
              <w:bottom w:val="single" w:sz="4" w:space="0" w:color="auto"/>
              <w:right w:val="single" w:sz="4" w:space="0" w:color="auto"/>
            </w:tcBorders>
            <w:noWrap/>
            <w:tcMar>
              <w:top w:w="15" w:type="dxa"/>
              <w:left w:w="405" w:type="dxa"/>
              <w:bottom w:w="0" w:type="dxa"/>
              <w:right w:w="15" w:type="dxa"/>
            </w:tcMar>
            <w:vAlign w:val="center"/>
            <w:hideMark/>
          </w:tcPr>
          <w:p w:rsidR="00000000" w:rsidRDefault="009005D0">
            <w:pPr>
              <w:ind w:firstLineChars="100" w:firstLine="220"/>
              <w:rPr>
                <w:color w:val="000000"/>
                <w:sz w:val="22"/>
                <w:szCs w:val="22"/>
              </w:rPr>
            </w:pPr>
            <w:r>
              <w:rPr>
                <w:rFonts w:hint="eastAsia"/>
                <w:color w:val="000000"/>
                <w:sz w:val="22"/>
                <w:szCs w:val="22"/>
              </w:rPr>
              <w:t>67166389</w:t>
            </w:r>
          </w:p>
        </w:tc>
      </w:tr>
      <w:tr w:rsidR="00000000">
        <w:trPr>
          <w:gridAfter w:val="1"/>
          <w:wAfter w:w="165" w:type="dxa"/>
          <w:trHeight w:val="465"/>
          <w:jc w:val="center"/>
        </w:trPr>
        <w:tc>
          <w:tcPr>
            <w:tcW w:w="11420" w:type="dxa"/>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资金情况</w:t>
            </w:r>
          </w:p>
        </w:tc>
      </w:tr>
      <w:tr w:rsidR="00000000">
        <w:trPr>
          <w:gridAfter w:val="1"/>
          <w:wAfter w:w="165" w:type="dxa"/>
          <w:trHeight w:val="645"/>
          <w:jc w:val="center"/>
        </w:trPr>
        <w:tc>
          <w:tcPr>
            <w:tcW w:w="208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000000" w:rsidRDefault="009005D0">
            <w:pPr>
              <w:jc w:val="center"/>
              <w:rPr>
                <w:color w:val="000000"/>
                <w:sz w:val="22"/>
                <w:szCs w:val="22"/>
              </w:rPr>
            </w:pPr>
            <w:r>
              <w:rPr>
                <w:rFonts w:hint="eastAsia"/>
                <w:color w:val="000000"/>
                <w:sz w:val="22"/>
                <w:szCs w:val="22"/>
              </w:rPr>
              <w:t xml:space="preserve">　</w:t>
            </w:r>
          </w:p>
        </w:tc>
        <w:tc>
          <w:tcPr>
            <w:tcW w:w="196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年初预算数</w:t>
            </w:r>
          </w:p>
        </w:tc>
        <w:tc>
          <w:tcPr>
            <w:tcW w:w="180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全年（调整）预算数</w:t>
            </w:r>
          </w:p>
        </w:tc>
        <w:tc>
          <w:tcPr>
            <w:tcW w:w="16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全年执行数</w:t>
            </w:r>
          </w:p>
        </w:tc>
        <w:tc>
          <w:tcPr>
            <w:tcW w:w="19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执行率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执行率权重</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执行率得分</w:t>
            </w:r>
          </w:p>
        </w:tc>
      </w:tr>
      <w:tr w:rsidR="00000000">
        <w:trPr>
          <w:gridAfter w:val="1"/>
          <w:wAfter w:w="165" w:type="dxa"/>
          <w:trHeight w:val="420"/>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22"/>
                <w:szCs w:val="22"/>
              </w:rPr>
            </w:pPr>
            <w:r>
              <w:rPr>
                <w:rFonts w:hint="eastAsia"/>
                <w:color w:val="000000"/>
                <w:sz w:val="22"/>
                <w:szCs w:val="22"/>
              </w:rPr>
              <w:t>年度总金额</w:t>
            </w:r>
          </w:p>
        </w:tc>
        <w:tc>
          <w:tcPr>
            <w:tcW w:w="196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101,845,510.33 </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132,030,248.16 </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99,082,681.38 </w:t>
            </w:r>
          </w:p>
        </w:tc>
        <w:tc>
          <w:tcPr>
            <w:tcW w:w="19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sz w:val="22"/>
                <w:szCs w:val="22"/>
              </w:rPr>
            </w:pPr>
            <w:r>
              <w:rPr>
                <w:rFonts w:hint="eastAsia"/>
                <w:sz w:val="22"/>
                <w:szCs w:val="22"/>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sz w:val="22"/>
                <w:szCs w:val="22"/>
              </w:rPr>
            </w:pPr>
            <w:r>
              <w:rPr>
                <w:rFonts w:hint="eastAsia"/>
                <w:sz w:val="22"/>
                <w:szCs w:val="22"/>
              </w:rPr>
              <w:t xml:space="preserve">　</w:t>
            </w:r>
          </w:p>
        </w:tc>
      </w:tr>
      <w:tr w:rsidR="00000000">
        <w:trPr>
          <w:gridAfter w:val="1"/>
          <w:wAfter w:w="165" w:type="dxa"/>
          <w:trHeight w:val="465"/>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22"/>
                <w:szCs w:val="22"/>
              </w:rPr>
            </w:pPr>
            <w:r>
              <w:rPr>
                <w:rFonts w:hint="eastAsia"/>
                <w:color w:val="000000"/>
                <w:sz w:val="22"/>
                <w:szCs w:val="22"/>
              </w:rPr>
              <w:t>其中：财政拨款</w:t>
            </w:r>
          </w:p>
        </w:tc>
        <w:tc>
          <w:tcPr>
            <w:tcW w:w="196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101,845,510.33 </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132,030,248.16 </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99,082,681.38 </w:t>
            </w:r>
          </w:p>
        </w:tc>
        <w:tc>
          <w:tcPr>
            <w:tcW w:w="19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75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sz w:val="18"/>
                <w:szCs w:val="18"/>
              </w:rPr>
            </w:pPr>
            <w:r>
              <w:rPr>
                <w:rFonts w:hint="eastAsia"/>
                <w:sz w:val="18"/>
                <w:szCs w:val="18"/>
              </w:rPr>
              <w:t xml:space="preserve">10.00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sz w:val="18"/>
                <w:szCs w:val="18"/>
              </w:rPr>
            </w:pPr>
            <w:r>
              <w:rPr>
                <w:rFonts w:hint="eastAsia"/>
                <w:sz w:val="18"/>
                <w:szCs w:val="18"/>
              </w:rPr>
              <w:t xml:space="preserve">7.50 </w:t>
            </w:r>
          </w:p>
        </w:tc>
      </w:tr>
      <w:tr w:rsidR="00000000">
        <w:trPr>
          <w:gridAfter w:val="1"/>
          <w:wAfter w:w="165" w:type="dxa"/>
          <w:trHeight w:val="390"/>
          <w:jc w:val="center"/>
        </w:trPr>
        <w:tc>
          <w:tcPr>
            <w:tcW w:w="11420" w:type="dxa"/>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绩效目标</w:t>
            </w:r>
          </w:p>
        </w:tc>
      </w:tr>
      <w:tr w:rsidR="00000000">
        <w:trPr>
          <w:gridAfter w:val="1"/>
          <w:wAfter w:w="165" w:type="dxa"/>
          <w:trHeight w:val="435"/>
          <w:jc w:val="center"/>
        </w:trPr>
        <w:tc>
          <w:tcPr>
            <w:tcW w:w="404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年初绩效目标</w:t>
            </w:r>
          </w:p>
        </w:tc>
        <w:tc>
          <w:tcPr>
            <w:tcW w:w="344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全年（调整）绩效目标</w:t>
            </w:r>
          </w:p>
        </w:tc>
        <w:tc>
          <w:tcPr>
            <w:tcW w:w="394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2"/>
                <w:szCs w:val="22"/>
              </w:rPr>
            </w:pPr>
            <w:r>
              <w:rPr>
                <w:rFonts w:hint="eastAsia"/>
                <w:b/>
                <w:bCs/>
                <w:color w:val="000000"/>
                <w:sz w:val="22"/>
                <w:szCs w:val="22"/>
              </w:rPr>
              <w:t>全年目标实际完成情况</w:t>
            </w:r>
          </w:p>
        </w:tc>
      </w:tr>
      <w:tr w:rsidR="00000000">
        <w:trPr>
          <w:gridAfter w:val="1"/>
          <w:wAfter w:w="165" w:type="dxa"/>
          <w:trHeight w:val="4670"/>
          <w:jc w:val="center"/>
        </w:trPr>
        <w:tc>
          <w:tcPr>
            <w:tcW w:w="404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000000" w:rsidRDefault="009005D0">
            <w:pPr>
              <w:jc w:val="center"/>
              <w:rPr>
                <w:color w:val="000000"/>
                <w:sz w:val="18"/>
                <w:szCs w:val="18"/>
              </w:rPr>
            </w:pPr>
            <w:r>
              <w:rPr>
                <w:rFonts w:hint="eastAsia"/>
                <w:color w:val="000000"/>
                <w:sz w:val="18"/>
                <w:szCs w:val="18"/>
              </w:rPr>
              <w:lastRenderedPageBreak/>
              <w:t>加强社区微型消防站应急值守，广泛动员和组织辖区选民参加人大换届选举。规范化建设基层党支部，建设学习型、</w:t>
            </w:r>
            <w:r>
              <w:rPr>
                <w:rFonts w:hint="eastAsia"/>
                <w:color w:val="000000"/>
                <w:sz w:val="18"/>
                <w:szCs w:val="18"/>
              </w:rPr>
              <w:t xml:space="preserve"> </w:t>
            </w:r>
            <w:r>
              <w:rPr>
                <w:rFonts w:hint="eastAsia"/>
                <w:color w:val="000000"/>
                <w:sz w:val="18"/>
                <w:szCs w:val="18"/>
              </w:rPr>
              <w:t>服务型、创新性基层党组织；全面保障辖区困难群众救助到位，城乡困难居民参保率达</w:t>
            </w:r>
            <w:r>
              <w:rPr>
                <w:rFonts w:hint="eastAsia"/>
                <w:color w:val="000000"/>
                <w:sz w:val="18"/>
                <w:szCs w:val="18"/>
              </w:rPr>
              <w:t>100%</w:t>
            </w:r>
            <w:r>
              <w:rPr>
                <w:rFonts w:hint="eastAsia"/>
                <w:color w:val="000000"/>
                <w:sz w:val="18"/>
                <w:szCs w:val="18"/>
              </w:rPr>
              <w:t>；确保辖区公共外环境病媒生物防制工作得到有效保障；加强村居管理工作，开展便民利民的社区服务，深化拓展网格化服务工作，提升网格化服务管理水平，切实维护辖区内社会稳定，组织实施社会治安综合治理规划，全面做好辖区内安全生产工作。积极开展市容管理与环境卫生整治，加强村居生活垃圾分类宣传及示范点建设；组织开展河流清漂及河岸垃圾清理，加强饮用水源保护区环境整治，确保辖区饮用水源水质安全；开展突发环境事件应急演练，提高突发环境事件应急处</w:t>
            </w:r>
            <w:r>
              <w:rPr>
                <w:rFonts w:hint="eastAsia"/>
                <w:color w:val="000000"/>
                <w:sz w:val="18"/>
                <w:szCs w:val="18"/>
              </w:rPr>
              <w:t>置能力</w:t>
            </w:r>
            <w:r>
              <w:rPr>
                <w:rFonts w:hint="eastAsia"/>
                <w:color w:val="000000"/>
                <w:sz w:val="18"/>
                <w:szCs w:val="18"/>
              </w:rPr>
              <w:t>;</w:t>
            </w:r>
            <w:r>
              <w:rPr>
                <w:rFonts w:hint="eastAsia"/>
                <w:color w:val="000000"/>
                <w:sz w:val="18"/>
                <w:szCs w:val="18"/>
              </w:rPr>
              <w:t>全面做好日常运转与民生社会事业资金保障。完成辖区规上企业各项指标填报，了解辖区企业产值完成情况；开展居民记账户工作，摸清辖区现金和实物收支状况，了解物价指数和人均消费水平。</w:t>
            </w:r>
          </w:p>
        </w:tc>
        <w:tc>
          <w:tcPr>
            <w:tcW w:w="344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00000" w:rsidRDefault="009005D0">
            <w:pPr>
              <w:jc w:val="center"/>
              <w:rPr>
                <w:color w:val="000000"/>
                <w:sz w:val="18"/>
                <w:szCs w:val="18"/>
              </w:rPr>
            </w:pPr>
            <w:r>
              <w:rPr>
                <w:rFonts w:hint="eastAsia"/>
                <w:color w:val="000000"/>
                <w:sz w:val="18"/>
                <w:szCs w:val="18"/>
              </w:rPr>
              <w:t xml:space="preserve">　</w:t>
            </w:r>
          </w:p>
        </w:tc>
        <w:tc>
          <w:tcPr>
            <w:tcW w:w="394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00000" w:rsidRDefault="009005D0">
            <w:pPr>
              <w:jc w:val="center"/>
              <w:rPr>
                <w:color w:val="000000"/>
                <w:sz w:val="18"/>
                <w:szCs w:val="18"/>
              </w:rPr>
            </w:pPr>
            <w:r>
              <w:rPr>
                <w:rFonts w:hint="eastAsia"/>
                <w:color w:val="000000"/>
                <w:sz w:val="18"/>
                <w:szCs w:val="18"/>
              </w:rPr>
              <w:t>加强社区微型消防站应急值守，广泛动员和组织辖区选民参加人大换届选举。规范化建设基层党支部，建设学习型、</w:t>
            </w:r>
            <w:r>
              <w:rPr>
                <w:rFonts w:hint="eastAsia"/>
                <w:color w:val="000000"/>
                <w:sz w:val="18"/>
                <w:szCs w:val="18"/>
              </w:rPr>
              <w:t xml:space="preserve"> </w:t>
            </w:r>
            <w:r>
              <w:rPr>
                <w:rFonts w:hint="eastAsia"/>
                <w:color w:val="000000"/>
                <w:sz w:val="18"/>
                <w:szCs w:val="18"/>
              </w:rPr>
              <w:t>服务型、创新性基层党组织；全面保障辖区困难群众救助到位，城乡困难居民参保率达</w:t>
            </w:r>
            <w:r>
              <w:rPr>
                <w:rFonts w:hint="eastAsia"/>
                <w:color w:val="000000"/>
                <w:sz w:val="18"/>
                <w:szCs w:val="18"/>
              </w:rPr>
              <w:t>100%</w:t>
            </w:r>
            <w:r>
              <w:rPr>
                <w:rFonts w:hint="eastAsia"/>
                <w:color w:val="000000"/>
                <w:sz w:val="18"/>
                <w:szCs w:val="18"/>
              </w:rPr>
              <w:t>；确保辖区公共外环境病媒生物防制工作得到有效保障；加强村居管理工作，开展便民利民的社区服务，深化拓展网格化服务工作，提升网格化服务管理</w:t>
            </w:r>
            <w:r>
              <w:rPr>
                <w:rFonts w:hint="eastAsia"/>
                <w:color w:val="000000"/>
                <w:sz w:val="18"/>
                <w:szCs w:val="18"/>
              </w:rPr>
              <w:t>水平，切实维护辖区内社会稳定，组织实施社会治安综合治理规划，全面做好辖区内安全生产工作。积极开展市容管理与环境卫生整治，加强村居生活垃圾分类宣传及示范点建设；组织开展河流清漂及河岸垃圾清理，加强饮用水源保护区环境整治，确保辖区饮用水源水质安全；开展突发环境事件应急演练，提高突发环境事件应急处置能力</w:t>
            </w:r>
            <w:r>
              <w:rPr>
                <w:rFonts w:hint="eastAsia"/>
                <w:color w:val="000000"/>
                <w:sz w:val="18"/>
                <w:szCs w:val="18"/>
              </w:rPr>
              <w:t>;</w:t>
            </w:r>
            <w:r>
              <w:rPr>
                <w:rFonts w:hint="eastAsia"/>
                <w:color w:val="000000"/>
                <w:sz w:val="18"/>
                <w:szCs w:val="18"/>
              </w:rPr>
              <w:t>全面做好日常运转与民生社会事业资金保障。完成辖区规上企业各项指标填报，了解辖区企业产值完成情况；开展居民记账户工作，摸清辖区现金和实物收支状况，了解物价指数和人均消费水平。</w:t>
            </w:r>
          </w:p>
        </w:tc>
      </w:tr>
      <w:tr w:rsidR="00000000">
        <w:trPr>
          <w:gridAfter w:val="1"/>
          <w:wAfter w:w="165" w:type="dxa"/>
          <w:trHeight w:val="405"/>
          <w:jc w:val="center"/>
        </w:trPr>
        <w:tc>
          <w:tcPr>
            <w:tcW w:w="11420" w:type="dxa"/>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绩效指标</w:t>
            </w:r>
          </w:p>
        </w:tc>
      </w:tr>
      <w:tr w:rsidR="00000000">
        <w:trPr>
          <w:gridAfter w:val="1"/>
          <w:wAfter w:w="165" w:type="dxa"/>
          <w:trHeight w:val="615"/>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指标名称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计量单位</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指标性质</w:t>
            </w:r>
          </w:p>
        </w:tc>
        <w:tc>
          <w:tcPr>
            <w:tcW w:w="920"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指标值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全年完成值</w:t>
            </w:r>
          </w:p>
        </w:tc>
        <w:tc>
          <w:tcPr>
            <w:tcW w:w="8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偏离度（</w:t>
            </w:r>
            <w:r>
              <w:rPr>
                <w:rFonts w:hint="eastAsia"/>
                <w:b/>
                <w:bCs/>
                <w:color w:val="000000"/>
                <w:sz w:val="20"/>
                <w:szCs w:val="20"/>
              </w:rPr>
              <w:t>%</w:t>
            </w:r>
            <w:r>
              <w:rPr>
                <w:rFonts w:hint="eastAsia"/>
                <w:b/>
                <w:bCs/>
                <w:color w:val="000000"/>
                <w:sz w:val="20"/>
                <w:szCs w:val="20"/>
              </w:rPr>
              <w:t>）</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得分系数（</w:t>
            </w:r>
            <w:r>
              <w:rPr>
                <w:rFonts w:hint="eastAsia"/>
                <w:b/>
                <w:bCs/>
                <w:color w:val="000000"/>
                <w:sz w:val="20"/>
                <w:szCs w:val="20"/>
              </w:rPr>
              <w:t>%</w:t>
            </w:r>
            <w:r>
              <w:rPr>
                <w:rFonts w:hint="eastAsia"/>
                <w:b/>
                <w:bCs/>
                <w:color w:val="000000"/>
                <w:sz w:val="20"/>
                <w:szCs w:val="20"/>
              </w:rPr>
              <w:t>）</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指标权重</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指标得分</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是否核心指标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说明</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b/>
                <w:bCs/>
                <w:color w:val="000000"/>
                <w:sz w:val="20"/>
                <w:szCs w:val="20"/>
              </w:rPr>
            </w:pPr>
            <w:r>
              <w:rPr>
                <w:rFonts w:hint="eastAsia"/>
                <w:b/>
                <w:bCs/>
                <w:color w:val="000000"/>
                <w:sz w:val="20"/>
                <w:szCs w:val="20"/>
              </w:rPr>
              <w:t>市财政局建议</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党建示范建设规范性</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定性</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生态环境改善效果</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定性</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行政执法查处率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民生保障率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民意知晓率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6</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群众安全感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群众出行方便</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定性</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8</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退役军人及义务兵家庭权益保障率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医保保障覆盖率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征兵工作宣传覆盖率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5</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群众满意度</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15</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干部廉洁意识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定性</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优</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8</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454"/>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疫情防控</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定性</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8</w:t>
            </w:r>
          </w:p>
        </w:tc>
        <w:tc>
          <w:tcPr>
            <w:tcW w:w="10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gridAfter w:val="1"/>
          <w:wAfter w:w="165" w:type="dxa"/>
          <w:trHeight w:val="825"/>
          <w:jc w:val="center"/>
        </w:trPr>
        <w:tc>
          <w:tcPr>
            <w:tcW w:w="208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未完成绩效目标或偏离较多的原因、改进措施及其他说明</w:t>
            </w:r>
          </w:p>
        </w:tc>
        <w:tc>
          <w:tcPr>
            <w:tcW w:w="0" w:type="auto"/>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000000" w:rsidRDefault="009005D0">
            <w:pPr>
              <w:jc w:val="center"/>
              <w:rPr>
                <w:color w:val="000000"/>
                <w:sz w:val="18"/>
                <w:szCs w:val="18"/>
              </w:rPr>
            </w:pPr>
            <w:r>
              <w:rPr>
                <w:rFonts w:hint="eastAsia"/>
                <w:color w:val="000000"/>
                <w:sz w:val="18"/>
                <w:szCs w:val="18"/>
              </w:rPr>
              <w:t xml:space="preserve">　</w:t>
            </w:r>
          </w:p>
        </w:tc>
      </w:tr>
      <w:tr w:rsidR="00000000">
        <w:trPr>
          <w:jc w:val="center"/>
          <w:hidden/>
        </w:trPr>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center"/>
          </w:tcPr>
          <w:p w:rsidR="00000000" w:rsidRDefault="009005D0">
            <w:pPr>
              <w:rPr>
                <w:rFonts w:ascii="Times New Roman" w:hAnsi="Times New Roman" w:cs="Times New Roman"/>
                <w:vanish/>
                <w:sz w:val="20"/>
                <w:szCs w:val="20"/>
              </w:rPr>
            </w:pPr>
          </w:p>
        </w:tc>
      </w:tr>
      <w:tr w:rsidR="00000000">
        <w:trPr>
          <w:jc w:val="center"/>
          <w:hidden/>
        </w:trPr>
        <w:tc>
          <w:tcPr>
            <w:tcW w:w="104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104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104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82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1170" w:type="dxa"/>
            <w:gridSpan w:val="2"/>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117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106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76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76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88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940" w:type="dxa"/>
            <w:tcBorders>
              <w:top w:val="nil"/>
              <w:left w:val="nil"/>
              <w:bottom w:val="nil"/>
              <w:right w:val="nil"/>
            </w:tcBorders>
            <w:vAlign w:val="center"/>
          </w:tcPr>
          <w:p w:rsidR="00000000" w:rsidRDefault="009005D0">
            <w:pPr>
              <w:rPr>
                <w:rFonts w:ascii="Times New Roman" w:hAnsi="Times New Roman" w:cs="Times New Roman"/>
                <w:vanish/>
                <w:sz w:val="20"/>
                <w:szCs w:val="20"/>
              </w:rPr>
            </w:pPr>
          </w:p>
        </w:tc>
        <w:tc>
          <w:tcPr>
            <w:tcW w:w="900" w:type="dxa"/>
            <w:gridSpan w:val="2"/>
            <w:tcBorders>
              <w:top w:val="nil"/>
              <w:left w:val="nil"/>
              <w:bottom w:val="nil"/>
              <w:right w:val="nil"/>
            </w:tcBorders>
            <w:vAlign w:val="center"/>
          </w:tcPr>
          <w:p w:rsidR="00000000" w:rsidRDefault="009005D0">
            <w:pPr>
              <w:rPr>
                <w:rFonts w:ascii="Times New Roman" w:hAnsi="Times New Roman" w:cs="Times New Roman"/>
                <w:vanish/>
                <w:sz w:val="20"/>
                <w:szCs w:val="20"/>
              </w:rPr>
            </w:pPr>
          </w:p>
        </w:tc>
      </w:tr>
    </w:tbl>
    <w:p w:rsidR="00000000" w:rsidRDefault="009005D0">
      <w:pPr>
        <w:pStyle w:val="Char1"/>
        <w:shd w:val="clear" w:color="auto" w:fill="FFFFFF"/>
        <w:spacing w:before="0" w:beforeAutospacing="0" w:after="0" w:afterAutospacing="0" w:line="600" w:lineRule="exact"/>
        <w:ind w:firstLineChars="200" w:firstLine="643"/>
        <w:jc w:val="both"/>
        <w:rPr>
          <w:rFonts w:ascii="方正仿宋_GBK" w:eastAsia="方正仿宋_GBK" w:hint="eastAsia"/>
          <w:b/>
          <w:sz w:val="32"/>
          <w:szCs w:val="32"/>
          <w:shd w:val="clear" w:color="auto" w:fill="FFFFFF"/>
        </w:rPr>
      </w:pPr>
      <w:r>
        <w:rPr>
          <w:rFonts w:ascii="方正仿宋_GBK" w:eastAsia="方正仿宋_GBK" w:hint="eastAsia"/>
          <w:b/>
          <w:sz w:val="32"/>
          <w:szCs w:val="32"/>
          <w:shd w:val="clear" w:color="auto" w:fill="FFFFFF"/>
        </w:rPr>
        <w:lastRenderedPageBreak/>
        <w:t xml:space="preserve"> </w:t>
      </w:r>
    </w:p>
    <w:p w:rsidR="00000000" w:rsidRDefault="009005D0">
      <w:pPr>
        <w:pStyle w:val="Char1"/>
        <w:shd w:val="clear" w:color="auto" w:fill="FFFFFF"/>
        <w:spacing w:before="0" w:beforeAutospacing="0" w:after="0" w:afterAutospacing="0" w:line="600" w:lineRule="exact"/>
        <w:ind w:firstLineChars="200" w:firstLine="643"/>
        <w:jc w:val="both"/>
        <w:rPr>
          <w:rFonts w:ascii="方正仿宋_GBK" w:eastAsia="方正仿宋_GBK" w:hint="eastAsia"/>
          <w:b/>
          <w:sz w:val="32"/>
          <w:szCs w:val="32"/>
          <w:shd w:val="clear" w:color="auto" w:fill="FFFFFF"/>
        </w:rPr>
      </w:pPr>
      <w:r>
        <w:rPr>
          <w:rFonts w:ascii="方正仿宋_GBK" w:eastAsia="方正仿宋_GBK" w:hint="eastAsia"/>
          <w:b/>
          <w:sz w:val="32"/>
          <w:szCs w:val="32"/>
          <w:shd w:val="clear" w:color="auto" w:fill="FFFFFF"/>
        </w:rPr>
        <w:t>2.</w:t>
      </w:r>
      <w:r>
        <w:rPr>
          <w:rFonts w:ascii="方正仿宋_GBK" w:eastAsia="方正仿宋_GBK" w:hint="eastAsia"/>
          <w:b/>
          <w:sz w:val="32"/>
          <w:szCs w:val="32"/>
          <w:shd w:val="clear" w:color="auto" w:fill="FFFFFF"/>
        </w:rPr>
        <w:t>部门绩效评价情况</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bCs/>
          <w:sz w:val="32"/>
          <w:szCs w:val="32"/>
          <w:shd w:val="clear" w:color="auto" w:fill="FFFFFF"/>
        </w:rPr>
      </w:pPr>
      <w:r>
        <w:rPr>
          <w:rFonts w:ascii="方正仿宋_GBK" w:eastAsia="方正仿宋_GBK" w:hint="eastAsia"/>
          <w:bCs/>
          <w:sz w:val="32"/>
          <w:szCs w:val="32"/>
          <w:shd w:val="clear" w:color="auto" w:fill="FFFFFF"/>
        </w:rPr>
        <w:t>本单位</w:t>
      </w:r>
      <w:r>
        <w:rPr>
          <w:rFonts w:ascii="方正仿宋_GBK" w:eastAsia="方正仿宋_GBK" w:hint="eastAsia"/>
          <w:bCs/>
          <w:sz w:val="32"/>
          <w:szCs w:val="32"/>
          <w:shd w:val="clear" w:color="auto" w:fill="FFFFFF"/>
        </w:rPr>
        <w:t>2022</w:t>
      </w:r>
      <w:r>
        <w:rPr>
          <w:rFonts w:ascii="方正仿宋_GBK" w:eastAsia="方正仿宋_GBK" w:hint="eastAsia"/>
          <w:bCs/>
          <w:sz w:val="32"/>
          <w:szCs w:val="32"/>
          <w:shd w:val="clear" w:color="auto" w:fill="FFFFFF"/>
        </w:rPr>
        <w:t>年度无委托第三方开展项目绩效评价的情况。</w:t>
      </w:r>
    </w:p>
    <w:p w:rsidR="00000000" w:rsidRDefault="009005D0">
      <w:pPr>
        <w:pStyle w:val="Char1"/>
        <w:shd w:val="clear" w:color="auto" w:fill="FFFFFF"/>
        <w:spacing w:before="0" w:beforeAutospacing="0" w:after="0" w:afterAutospacing="0" w:line="600" w:lineRule="exact"/>
        <w:ind w:firstLineChars="200" w:firstLine="640"/>
        <w:jc w:val="both"/>
        <w:rPr>
          <w:rFonts w:ascii="方正楷体_GBK" w:eastAsia="方正楷体_GBK" w:hint="eastAsia"/>
          <w:bCs/>
          <w:sz w:val="32"/>
          <w:szCs w:val="32"/>
          <w:shd w:val="clear" w:color="auto" w:fill="FFFFFF"/>
        </w:rPr>
      </w:pPr>
      <w:r>
        <w:rPr>
          <w:rStyle w:val="20"/>
          <w:rFonts w:ascii="方正楷体_GBK" w:eastAsia="方正楷体_GBK" w:hint="eastAsia"/>
          <w:b w:val="0"/>
          <w:bCs/>
          <w:sz w:val="32"/>
          <w:szCs w:val="32"/>
          <w:shd w:val="clear" w:color="auto" w:fill="FFFFFF"/>
        </w:rPr>
        <w:t>（三）财政绩效评价情况</w:t>
      </w:r>
    </w:p>
    <w:p w:rsidR="00000000" w:rsidRDefault="009005D0">
      <w:pPr>
        <w:pStyle w:val="Char1"/>
        <w:shd w:val="clear" w:color="auto" w:fill="FFFFFF"/>
        <w:spacing w:before="0" w:beforeAutospacing="0" w:after="0" w:afterAutospacing="0" w:line="600" w:lineRule="exact"/>
        <w:ind w:firstLineChars="200" w:firstLine="640"/>
        <w:jc w:val="both"/>
        <w:rPr>
          <w:rFonts w:ascii="方正黑体_GBK" w:eastAsia="方正黑体_GBK" w:hint="eastAsia"/>
          <w:bCs/>
          <w:sz w:val="32"/>
          <w:szCs w:val="32"/>
          <w:shd w:val="clear" w:color="auto" w:fill="FFFFFF"/>
        </w:rPr>
      </w:pPr>
      <w:r>
        <w:rPr>
          <w:rFonts w:ascii="方正仿宋_GBK" w:eastAsia="方正仿宋_GBK" w:hint="eastAsia"/>
          <w:sz w:val="32"/>
          <w:szCs w:val="32"/>
          <w:shd w:val="clear" w:color="auto" w:fill="FFFFFF"/>
        </w:rPr>
        <w:t>本单位</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年度无财政局委托第三方对部门整体、政策或项目开展重点绩效评价的情况。</w:t>
      </w:r>
    </w:p>
    <w:p w:rsidR="00000000" w:rsidRDefault="009005D0">
      <w:pPr>
        <w:pStyle w:val="Char1"/>
        <w:shd w:val="clear" w:color="auto" w:fill="FFFFFF"/>
        <w:spacing w:before="0" w:beforeAutospacing="0" w:after="0" w:afterAutospacing="0" w:line="600" w:lineRule="exact"/>
        <w:ind w:firstLineChars="200" w:firstLine="640"/>
        <w:jc w:val="both"/>
        <w:rPr>
          <w:rFonts w:ascii="方正黑体_GBK" w:eastAsia="方正黑体_GBK" w:hint="eastAsia"/>
          <w:shd w:val="clear" w:color="auto" w:fill="FFFFFF"/>
        </w:rPr>
      </w:pPr>
      <w:r>
        <w:rPr>
          <w:rStyle w:val="20"/>
          <w:rFonts w:ascii="方正黑体_GBK" w:eastAsia="方正黑体_GBK" w:hint="eastAsia"/>
          <w:b w:val="0"/>
          <w:bCs/>
          <w:sz w:val="32"/>
          <w:szCs w:val="32"/>
          <w:shd w:val="clear" w:color="auto" w:fill="FFFFFF"/>
        </w:rPr>
        <w:t>六、专业名词解释</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（一）财政拨款收入</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指本年度从本级财政部门取得的财政拨款，包括一般公共预算财政拨款和政府性基金预算财政拨款。</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（二）事业收入</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指事业单位开展专业业务活动及其辅助活动取得的现金流入；事业单位收到的财政专户实际核拨的教育收费等资金在此反映。</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（三）经营收入</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指事业单位在专业业务活动及其辅助活动之外开展非独立核算经营活动取得的现金流入。</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（四）其他收入：</w:t>
      </w:r>
      <w:r>
        <w:rPr>
          <w:rFonts w:ascii="方正仿宋_GBK" w:eastAsia="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w:t>
      </w:r>
      <w:r>
        <w:rPr>
          <w:rFonts w:ascii="方正仿宋_GBK" w:eastAsia="方正仿宋_GBK" w:hint="eastAsia"/>
          <w:sz w:val="32"/>
          <w:szCs w:val="32"/>
          <w:shd w:val="clear" w:color="auto" w:fill="FFFFFF"/>
        </w:rPr>
        <w:t>本级财政部门取得的经费，以及行政单位收到的财政专户管理资金反映在本项内。</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（五）使用非财政拨款结余</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指单位在当年的“财政拨款收入”、“事业收入”、“经营收入”、“其他收入”等不足以安排当年支出</w:t>
      </w:r>
      <w:r>
        <w:rPr>
          <w:rFonts w:ascii="方正仿宋_GBK" w:eastAsia="方正仿宋_GBK" w:hint="eastAsia"/>
          <w:sz w:val="32"/>
          <w:szCs w:val="32"/>
          <w:shd w:val="clear" w:color="auto" w:fill="FFFFFF"/>
        </w:rPr>
        <w:lastRenderedPageBreak/>
        <w:t>的情况下，使用以前年度积累的非财政拨款结余弥补本年度收支缺口的资金。</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（六）年初结转和结余</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指单位上年结转本年使用的基本支出结转、项目支出结转和结余、经营结余。</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（七）结余分配</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指单位按照国家有关规定，缴纳所得税、提取专用基金、转入非财政拨款结余等当年结余的分配情况。</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（八）年末结转和结余</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指单位结转下年的基本支出结转、项目支出结转和结余、经营结余。</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（九）基本支出</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（十）项目支出</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指在基本支出之外为完成特定行政任务和事业发展目标所发生的支出。</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（十一）经营支出</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指事业单位在专业业务活动及其辅助活动之外开展非独立核算经营活动发生的支出。</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（十二）“三公”经费</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w:t>
      </w:r>
      <w:r>
        <w:rPr>
          <w:rFonts w:ascii="方正仿宋_GBK" w:eastAsia="方正仿宋_GBK" w:hint="eastAsia"/>
          <w:sz w:val="32"/>
          <w:szCs w:val="32"/>
          <w:shd w:val="clear" w:color="auto" w:fill="FFFFFF"/>
        </w:rPr>
        <w:lastRenderedPageBreak/>
        <w:t>等支出；公务接待费反映单位按规定开支的各类公务接待（含外宾接待）支出。</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（十三）机关运行经费</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为保障行政单位（含参照公务员法管理的事业单位）运行用于购买货物和服务等的各项公用经</w:t>
      </w:r>
      <w:r>
        <w:rPr>
          <w:rFonts w:ascii="方正仿宋_GBK" w:eastAsia="方正仿宋_GBK" w:hint="eastAsia"/>
          <w:sz w:val="32"/>
          <w:szCs w:val="32"/>
          <w:shd w:val="clear" w:color="auto" w:fill="FFFFFF"/>
        </w:rPr>
        <w:t>费，包括办公及印刷费、邮电费、差旅费、会议费、福利费、日常维护费、专用材料及一般设备购置费、办公用房水电费、办公用房取暖费、办公用房物业管理费、公务用车运行维护费以及其他费用。</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（十四）工资福利支出（支出经济分类科目类级）</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反映单位开支的在职职工和编制外长期聘用人员的各类劳动报酬，以及为上述人员缴纳的各项社会保险费等。</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（十五）商品和服务支出（支出经济分类科目类级）</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反映单位购买商品和服务的支出（不包括用于购置固定资产的支出、战略性和应急储备支出）。</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（十六）对个人和家庭的补助（支出经济分类科目类级）</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反映</w:t>
      </w:r>
      <w:r>
        <w:rPr>
          <w:rFonts w:ascii="方正仿宋_GBK" w:eastAsia="方正仿宋_GBK" w:hint="eastAsia"/>
          <w:sz w:val="32"/>
          <w:szCs w:val="32"/>
          <w:shd w:val="clear" w:color="auto" w:fill="FFFFFF"/>
        </w:rPr>
        <w:t>用于对个人和家庭的补助支出。</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20"/>
          <w:rFonts w:ascii="方正楷体_GBK" w:eastAsia="方正楷体_GBK" w:hint="eastAsia"/>
          <w:b w:val="0"/>
          <w:bCs/>
          <w:sz w:val="32"/>
          <w:szCs w:val="32"/>
          <w:shd w:val="clear" w:color="auto" w:fill="FFFFFF"/>
        </w:rPr>
        <w:t>（十七）其他资本性支出（支出经济分类科目类级）</w:t>
      </w:r>
      <w:r>
        <w:rPr>
          <w:rStyle w:val="20"/>
          <w:rFonts w:ascii="方正楷体_GBK" w:eastAsia="方正楷体_GBK" w:hint="eastAsia"/>
          <w:shd w:val="clear" w:color="auto" w:fill="FFFFFF"/>
        </w:rPr>
        <w:t>：</w:t>
      </w:r>
      <w:r>
        <w:rPr>
          <w:rFonts w:ascii="方正仿宋_GBK" w:eastAsia="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000000" w:rsidRDefault="009005D0">
      <w:pPr>
        <w:pStyle w:val="Char1"/>
        <w:shd w:val="clear" w:color="auto" w:fill="FFFFFF"/>
        <w:spacing w:before="0" w:beforeAutospacing="0" w:after="0" w:afterAutospacing="0" w:line="600" w:lineRule="exact"/>
        <w:ind w:firstLineChars="200" w:firstLine="640"/>
        <w:jc w:val="both"/>
        <w:rPr>
          <w:rFonts w:ascii="方正黑体_GBK" w:eastAsia="方正黑体_GBK" w:hint="eastAsia"/>
          <w:b/>
          <w:sz w:val="32"/>
          <w:szCs w:val="32"/>
          <w:shd w:val="clear" w:color="auto" w:fill="FFFFFF"/>
        </w:rPr>
      </w:pPr>
      <w:r>
        <w:rPr>
          <w:rStyle w:val="20"/>
          <w:rFonts w:ascii="方正黑体_GBK" w:eastAsia="方正黑体_GBK" w:hint="eastAsia"/>
          <w:b w:val="0"/>
          <w:bCs/>
          <w:sz w:val="32"/>
          <w:szCs w:val="32"/>
          <w:shd w:val="clear" w:color="auto" w:fill="FFFFFF"/>
        </w:rPr>
        <w:t>七、决算公开联系方式及信息反馈渠道</w:t>
      </w:r>
    </w:p>
    <w:p w:rsidR="00000000" w:rsidRDefault="009005D0">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本单位决算公开信息反馈和联系方式：罗雪文</w:t>
      </w:r>
      <w:r>
        <w:rPr>
          <w:rFonts w:ascii="方正仿宋_GBK" w:eastAsia="方正仿宋_GBK" w:hint="eastAsia"/>
          <w:sz w:val="32"/>
          <w:szCs w:val="32"/>
          <w:shd w:val="clear" w:color="auto" w:fill="FFFFFF"/>
        </w:rPr>
        <w:t>023-67166389</w:t>
      </w:r>
    </w:p>
    <w:p w:rsidR="00000000" w:rsidRDefault="009005D0">
      <w:pPr>
        <w:pStyle w:val="Char1"/>
        <w:shd w:val="clear" w:color="auto" w:fill="FFFFFF"/>
        <w:rPr>
          <w:rFonts w:hint="eastAsia"/>
          <w:shd w:val="clear" w:color="auto" w:fill="FFFFFF"/>
        </w:rPr>
      </w:pPr>
      <w:r>
        <w:rPr>
          <w:rFonts w:hint="eastAsia"/>
          <w:shd w:val="clear" w:color="auto" w:fill="FFFFFF"/>
        </w:rPr>
        <w:t xml:space="preserve"> </w:t>
      </w:r>
    </w:p>
    <w:sectPr w:rsidR="00000000">
      <w:pgSz w:w="11915"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D0" w:rsidRDefault="009005D0" w:rsidP="009005D0">
      <w:r>
        <w:separator/>
      </w:r>
    </w:p>
  </w:endnote>
  <w:endnote w:type="continuationSeparator" w:id="0">
    <w:p w:rsidR="009005D0" w:rsidRDefault="009005D0" w:rsidP="0090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D0" w:rsidRDefault="009005D0" w:rsidP="009005D0">
      <w:r>
        <w:separator/>
      </w:r>
    </w:p>
  </w:footnote>
  <w:footnote w:type="continuationSeparator" w:id="0">
    <w:p w:rsidR="009005D0" w:rsidRDefault="009005D0" w:rsidP="0090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9005D0"/>
    <w:rsid w:val="0090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index 1" w:unhideWhenUsed="0"/>
    <w:lsdException w:name="index 2" w:unhideWhenUsed="0"/>
    <w:lsdException w:name="index 3" w:unhideWhenUsed="0"/>
    <w:lsdException w:name="index 4" w:unhideWhenUsed="0"/>
    <w:lsdException w:name="index 5" w:unhideWhenUsed="0"/>
    <w:lsdException w:name="index 6" w:unhideWhenUsed="0"/>
    <w:lsdException w:name="index 7" w:unhideWhenUsed="0"/>
    <w:lsdException w:name="index 8" w:unhideWhenUsed="0"/>
    <w:lsdException w:name="index 9" w:unhideWhenUsed="0"/>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unhideWhenUsed="0"/>
    <w:lsdException w:name="footnote text" w:unhideWhenUsed="0"/>
    <w:lsdException w:name="annotation text" w:unhideWhenUsed="0"/>
    <w:lsdException w:name="header" w:unhideWhenUsed="0"/>
    <w:lsdException w:name="footer" w:unhideWhenUsed="0"/>
    <w:lsdException w:name="index heading" w:unhideWhenUsed="0"/>
    <w:lsdException w:name="caption" w:semiHidden="1" w:uiPriority="35" w:qFormat="1"/>
    <w:lsdException w:name="table of figures" w:unhideWhenUsed="0"/>
    <w:lsdException w:name="envelope address" w:unhideWhenUsed="0"/>
    <w:lsdException w:name="envelope return" w:unhideWhenUsed="0"/>
    <w:lsdException w:name="footnote reference" w:unhideWhenUsed="0"/>
    <w:lsdException w:name="annotation reference" w:unhideWhenUsed="0"/>
    <w:lsdException w:name="line number" w:unhideWhenUsed="0"/>
    <w:lsdException w:name="page number" w:unhideWhenUsed="0"/>
    <w:lsdException w:name="endnote reference" w:unhideWhenUsed="0"/>
    <w:lsdException w:name="endnote text" w:unhideWhenUsed="0"/>
    <w:lsdException w:name="table of authorities" w:unhideWhenUsed="0"/>
    <w:lsdException w:name="macro" w:unhideWhenUsed="0"/>
    <w:lsdException w:name="toa heading" w:unhideWhenUsed="0"/>
    <w:lsdException w:name="List" w:unhideWhenUsed="0"/>
    <w:lsdException w:name="List Bullet" w:unhideWhenUsed="0"/>
    <w:lsdException w:name="List Number"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uiPriority="10" w:unhideWhenUsed="0" w:qFormat="1"/>
    <w:lsdException w:name="Closing" w:unhideWhenUsed="0"/>
    <w:lsdException w:name="Signature" w:unhideWhenUsed="0"/>
    <w:lsdException w:name="Body Text" w:unhideWhenUsed="0"/>
    <w:lsdException w:name="Body Text Indent" w:unhideWhenUsed="0"/>
    <w:lsdException w:name="List Continue" w:unhideWhenUsed="0"/>
    <w:lsdException w:name="List Continue 2" w:unhideWhenUsed="0"/>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unhideWhenUsed="0"/>
    <w:lsdException w:name="Date" w:unhideWhenUsed="0"/>
    <w:lsdException w:name="Body Text First Indent" w:unhideWhenUsed="0"/>
    <w:lsdException w:name="Body Text First Indent 2" w:unhideWhenUsed="0"/>
    <w:lsdException w:name="Note Heading" w:unhideWhenUsed="0"/>
    <w:lsdException w:name="Body Text 2" w:unhideWhenUsed="0"/>
    <w:lsdException w:name="Body Text 3" w:unhideWhenUsed="0"/>
    <w:lsdException w:name="Body Text Indent 2" w:unhideWhenUsed="0"/>
    <w:lsdException w:name="Body Text Indent 3" w:unhideWhenUsed="0"/>
    <w:lsdException w:name="Block Text" w:unhideWhenUsed="0"/>
    <w:lsdException w:name="Hyperlink" w:unhideWhenUsed="0"/>
    <w:lsdException w:name="FollowedHyperlink" w:unhideWhenUsed="0"/>
    <w:lsdException w:name="Strong" w:uiPriority="22" w:unhideWhenUsed="0" w:qFormat="1"/>
    <w:lsdException w:name="Emphasis" w:uiPriority="20" w:unhideWhenUsed="0" w:qFormat="1"/>
    <w:lsdException w:name="Document Map" w:unhideWhenUsed="0"/>
    <w:lsdException w:name="Plain Text" w:unhideWhenUsed="0"/>
    <w:lsdException w:name="E-mail Signature" w:unhideWhenUsed="0"/>
    <w:lsdException w:name="HTML Top of Form" w:semiHidden="1"/>
    <w:lsdException w:name="HTML Bottom of Form" w:semiHidden="1"/>
    <w:lsdException w:name="Normal (Web)" w:uiPriority="0"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annotation subject" w:unhideWhenUsed="0"/>
    <w:lsdException w:name="Outline List 1" w:semiHidden="1"/>
    <w:lsdException w:name="Outline List 2" w:semiHidden="1"/>
    <w:lsdException w:name="Outline List 3" w:semiHidden="1"/>
    <w:lsdException w:name="Balloon Text"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spacing w:before="100" w:beforeAutospacing="1" w:after="100" w:afterAutospacing="1"/>
      <w:outlineLvl w:val="0"/>
    </w:pPr>
    <w:rPr>
      <w:b/>
      <w:bCs/>
      <w:kern w:val="44"/>
      <w:sz w:val="48"/>
      <w:szCs w:val="48"/>
    </w:rPr>
  </w:style>
  <w:style w:type="paragraph" w:styleId="2">
    <w:name w:val="heading 2"/>
    <w:basedOn w:val="a"/>
    <w:next w:val="a"/>
    <w:uiPriority w:val="9"/>
    <w:qFormat/>
    <w:pPr>
      <w:spacing w:before="100" w:beforeAutospacing="1" w:after="100" w:afterAutospacing="1"/>
      <w:outlineLvl w:val="1"/>
    </w:pPr>
    <w:rPr>
      <w:b/>
      <w:bCs/>
      <w:sz w:val="36"/>
      <w:szCs w:val="36"/>
    </w:rPr>
  </w:style>
  <w:style w:type="paragraph" w:styleId="3">
    <w:name w:val="heading 3"/>
    <w:basedOn w:val="a"/>
    <w:next w:val="a"/>
    <w:uiPriority w:val="9"/>
    <w:qFormat/>
    <w:pPr>
      <w:spacing w:before="100" w:beforeAutospacing="1" w:after="100" w:afterAutospacing="1"/>
      <w:outlineLvl w:val="2"/>
    </w:pPr>
    <w:rPr>
      <w:b/>
      <w:bCs/>
      <w:sz w:val="27"/>
      <w:szCs w:val="27"/>
    </w:rPr>
  </w:style>
  <w:style w:type="paragraph" w:styleId="4">
    <w:name w:val="heading 4"/>
    <w:basedOn w:val="a"/>
    <w:next w:val="a"/>
    <w:uiPriority w:val="9"/>
    <w:qFormat/>
    <w:pPr>
      <w:spacing w:before="100" w:beforeAutospacing="1" w:after="100" w:afterAutospacing="1"/>
      <w:outlineLvl w:val="3"/>
    </w:pPr>
    <w:rPr>
      <w:b/>
      <w:bCs/>
    </w:rPr>
  </w:style>
  <w:style w:type="paragraph" w:styleId="5">
    <w:name w:val="heading 5"/>
    <w:basedOn w:val="a"/>
    <w:next w:val="a"/>
    <w:uiPriority w:val="9"/>
    <w:qFormat/>
    <w:pPr>
      <w:spacing w:before="100" w:beforeAutospacing="1" w:after="100" w:afterAutospacing="1"/>
      <w:outlineLvl w:val="4"/>
    </w:pPr>
    <w:rPr>
      <w:b/>
      <w:bCs/>
      <w:sz w:val="20"/>
      <w:szCs w:val="20"/>
    </w:rPr>
  </w:style>
  <w:style w:type="paragraph" w:styleId="6">
    <w:name w:val="heading 6"/>
    <w:basedOn w:val="a"/>
    <w:next w:val="a"/>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Pr>
      <w:rFonts w:ascii="宋体" w:eastAsia="宋体" w:hAnsi="宋体" w:cs="宋体"/>
      <w:b/>
      <w:bCs/>
      <w:kern w:val="44"/>
      <w:sz w:val="44"/>
      <w:szCs w:val="44"/>
    </w:rPr>
  </w:style>
  <w:style w:type="character" w:customStyle="1" w:styleId="2Char">
    <w:name w:val="标题 2 Char"/>
    <w:basedOn w:val="a0"/>
    <w:uiPriority w:val="9"/>
    <w:rPr>
      <w:rFonts w:asciiTheme="majorHAnsi" w:eastAsiaTheme="majorEastAsia" w:hAnsiTheme="majorHAnsi" w:cstheme="majorBidi"/>
      <w:b/>
      <w:bCs/>
      <w:sz w:val="32"/>
      <w:szCs w:val="32"/>
    </w:rPr>
  </w:style>
  <w:style w:type="character" w:customStyle="1" w:styleId="3Char">
    <w:name w:val="标题 3 Char"/>
    <w:basedOn w:val="a0"/>
    <w:uiPriority w:val="9"/>
    <w:rPr>
      <w:rFonts w:ascii="宋体" w:eastAsia="宋体" w:hAnsi="宋体" w:cs="宋体"/>
      <w:b/>
      <w:bCs/>
      <w:sz w:val="32"/>
      <w:szCs w:val="32"/>
    </w:rPr>
  </w:style>
  <w:style w:type="character" w:customStyle="1" w:styleId="4Char">
    <w:name w:val="标题 4 Char"/>
    <w:basedOn w:val="a0"/>
    <w:uiPriority w:val="9"/>
    <w:rPr>
      <w:rFonts w:asciiTheme="majorHAnsi" w:eastAsiaTheme="majorEastAsia" w:hAnsiTheme="majorHAnsi" w:cstheme="majorBidi"/>
      <w:b/>
      <w:bCs/>
      <w:sz w:val="28"/>
      <w:szCs w:val="28"/>
    </w:rPr>
  </w:style>
  <w:style w:type="character" w:customStyle="1" w:styleId="5Char">
    <w:name w:val="标题 5 Char"/>
    <w:basedOn w:val="a0"/>
    <w:uiPriority w:val="9"/>
    <w:rPr>
      <w:rFonts w:ascii="宋体" w:eastAsia="宋体" w:hAnsi="宋体" w:cs="宋体"/>
      <w:b/>
      <w:bCs/>
      <w:sz w:val="28"/>
      <w:szCs w:val="28"/>
    </w:rPr>
  </w:style>
  <w:style w:type="character" w:customStyle="1" w:styleId="6Char">
    <w:name w:val="标题 6 Char"/>
    <w:basedOn w:val="a0"/>
    <w:uiPriority w:val="9"/>
    <w:rPr>
      <w:rFonts w:asciiTheme="majorHAnsi" w:eastAsiaTheme="majorEastAsia" w:hAnsiTheme="majorHAnsi" w:cstheme="majorBidi"/>
      <w:b/>
      <w:bCs/>
      <w:sz w:val="24"/>
      <w:szCs w:val="24"/>
    </w:rPr>
  </w:style>
  <w:style w:type="paragraph" w:styleId="a3">
    <w:name w:val="footer"/>
    <w:basedOn w:val="a"/>
    <w:uiPriority w:val="99"/>
    <w:pPr>
      <w:snapToGrid w:val="0"/>
    </w:pPr>
    <w:rPr>
      <w:sz w:val="18"/>
      <w:szCs w:val="18"/>
    </w:rPr>
  </w:style>
  <w:style w:type="character" w:customStyle="1" w:styleId="Char">
    <w:name w:val="页脚 Char"/>
    <w:basedOn w:val="a0"/>
    <w:uiPriority w:val="99"/>
    <w:rPr>
      <w:rFonts w:ascii="宋体" w:eastAsia="宋体" w:hAnsi="宋体" w:cs="宋体"/>
      <w:sz w:val="18"/>
      <w:szCs w:val="18"/>
    </w:rPr>
  </w:style>
  <w:style w:type="paragraph" w:styleId="a4">
    <w:name w:val="header"/>
    <w:basedOn w:val="a"/>
    <w:uiPriority w:val="99"/>
    <w:pPr>
      <w:pBdr>
        <w:bottom w:val="single" w:sz="6" w:space="1" w:color="auto"/>
      </w:pBdr>
      <w:snapToGrid w:val="0"/>
      <w:jc w:val="center"/>
    </w:pPr>
    <w:rPr>
      <w:sz w:val="18"/>
      <w:szCs w:val="18"/>
    </w:rPr>
  </w:style>
  <w:style w:type="character" w:customStyle="1" w:styleId="Char0">
    <w:name w:val="页眉 Char"/>
    <w:basedOn w:val="a0"/>
    <w:uiPriority w:val="99"/>
    <w:rPr>
      <w:rFonts w:ascii="宋体" w:eastAsia="宋体" w:hAnsi="宋体" w:cs="宋体"/>
      <w:sz w:val="18"/>
      <w:szCs w:val="18"/>
    </w:rPr>
  </w:style>
  <w:style w:type="paragraph" w:styleId="HTML">
    <w:name w:val="HTML Preformatted"/>
    <w:basedOn w:val="a"/>
    <w:uiPriority w:val="99"/>
    <w:rPr>
      <w:rFonts w:ascii="Courier New" w:hAnsi="Courier New" w:cs="Courier New"/>
      <w:sz w:val="20"/>
      <w:szCs w:val="20"/>
    </w:rPr>
  </w:style>
  <w:style w:type="character" w:customStyle="1" w:styleId="HTMLChar">
    <w:name w:val="HTML 预设格式 Char"/>
    <w:basedOn w:val="a0"/>
    <w:uiPriority w:val="99"/>
    <w:rPr>
      <w:rFonts w:ascii="Courier New" w:eastAsia="宋体" w:hAnsi="Courier New" w:cs="Courier New"/>
    </w:rPr>
  </w:style>
  <w:style w:type="paragraph" w:styleId="a5">
    <w:name w:val="Normal (Web)"/>
    <w:basedOn w:val="a"/>
    <w:qFormat/>
    <w:pPr>
      <w:spacing w:before="100" w:beforeAutospacing="1" w:after="100" w:afterAutospacing="1"/>
    </w:pPr>
  </w:style>
  <w:style w:type="paragraph" w:customStyle="1" w:styleId="HTMLChar1">
    <w:name w:val="HTML 预设格式 Char1"/>
    <w:basedOn w:val="a"/>
    <w:rPr>
      <w:rFonts w:ascii="Courier New" w:hAnsi="Courier New" w:cs="Courier New"/>
      <w:sz w:val="20"/>
      <w:szCs w:val="20"/>
    </w:rPr>
  </w:style>
  <w:style w:type="paragraph" w:customStyle="1" w:styleId="pChar">
    <w:name w:val="p Char"/>
    <w:basedOn w:val="a"/>
    <w:pPr>
      <w:spacing w:before="100" w:beforeAutospacing="1" w:after="100" w:afterAutospacing="1"/>
    </w:pPr>
  </w:style>
  <w:style w:type="paragraph" w:customStyle="1" w:styleId="Char1">
    <w:name w:val="普通(网站) Char"/>
    <w:basedOn w:val="a"/>
    <w:pPr>
      <w:spacing w:before="100" w:beforeAutospacing="1" w:after="100" w:afterAutospacing="1"/>
    </w:pPr>
  </w:style>
  <w:style w:type="paragraph" w:customStyle="1" w:styleId="CharChar">
    <w:name w:val="普通(网站) Char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宋体" w:eastAsia="宋体" w:hAnsi="宋体" w:hint="eastAsia"/>
      <w:sz w:val="18"/>
      <w:szCs w:val="18"/>
    </w:rPr>
  </w:style>
  <w:style w:type="character" w:customStyle="1" w:styleId="18">
    <w:name w:val="18"/>
    <w:basedOn w:val="a0"/>
    <w:rPr>
      <w:rFonts w:ascii="宋体" w:eastAsia="宋体" w:hAnsi="宋体" w:hint="eastAsia"/>
      <w:sz w:val="18"/>
      <w:szCs w:val="18"/>
    </w:rPr>
  </w:style>
  <w:style w:type="character" w:customStyle="1" w:styleId="19">
    <w:name w:val="19"/>
    <w:basedOn w:val="a0"/>
    <w:rPr>
      <w:rFonts w:ascii="Times New Roman" w:hAnsi="Times New Roman" w:cs="Times New Roman" w:hint="default"/>
    </w:rPr>
  </w:style>
  <w:style w:type="character" w:customStyle="1" w:styleId="20">
    <w:name w:val="20"/>
    <w:basedOn w:val="a0"/>
    <w:rPr>
      <w:rFonts w:ascii="Times New Roman" w:hAnsi="Times New Roman" w:cs="Times New Roman" w:hint="default"/>
      <w:b/>
    </w:rPr>
  </w:style>
  <w:style w:type="character" w:customStyle="1" w:styleId="21">
    <w:name w:val="21"/>
    <w:basedOn w:val="a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index 1" w:unhideWhenUsed="0"/>
    <w:lsdException w:name="index 2" w:unhideWhenUsed="0"/>
    <w:lsdException w:name="index 3" w:unhideWhenUsed="0"/>
    <w:lsdException w:name="index 4" w:unhideWhenUsed="0"/>
    <w:lsdException w:name="index 5" w:unhideWhenUsed="0"/>
    <w:lsdException w:name="index 6" w:unhideWhenUsed="0"/>
    <w:lsdException w:name="index 7" w:unhideWhenUsed="0"/>
    <w:lsdException w:name="index 8" w:unhideWhenUsed="0"/>
    <w:lsdException w:name="index 9" w:unhideWhenUsed="0"/>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unhideWhenUsed="0"/>
    <w:lsdException w:name="footnote text" w:unhideWhenUsed="0"/>
    <w:lsdException w:name="annotation text" w:unhideWhenUsed="0"/>
    <w:lsdException w:name="header" w:unhideWhenUsed="0"/>
    <w:lsdException w:name="footer" w:unhideWhenUsed="0"/>
    <w:lsdException w:name="index heading" w:unhideWhenUsed="0"/>
    <w:lsdException w:name="caption" w:semiHidden="1" w:uiPriority="35" w:qFormat="1"/>
    <w:lsdException w:name="table of figures" w:unhideWhenUsed="0"/>
    <w:lsdException w:name="envelope address" w:unhideWhenUsed="0"/>
    <w:lsdException w:name="envelope return" w:unhideWhenUsed="0"/>
    <w:lsdException w:name="footnote reference" w:unhideWhenUsed="0"/>
    <w:lsdException w:name="annotation reference" w:unhideWhenUsed="0"/>
    <w:lsdException w:name="line number" w:unhideWhenUsed="0"/>
    <w:lsdException w:name="page number" w:unhideWhenUsed="0"/>
    <w:lsdException w:name="endnote reference" w:unhideWhenUsed="0"/>
    <w:lsdException w:name="endnote text" w:unhideWhenUsed="0"/>
    <w:lsdException w:name="table of authorities" w:unhideWhenUsed="0"/>
    <w:lsdException w:name="macro" w:unhideWhenUsed="0"/>
    <w:lsdException w:name="toa heading" w:unhideWhenUsed="0"/>
    <w:lsdException w:name="List" w:unhideWhenUsed="0"/>
    <w:lsdException w:name="List Bullet" w:unhideWhenUsed="0"/>
    <w:lsdException w:name="List Number"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uiPriority="10" w:unhideWhenUsed="0" w:qFormat="1"/>
    <w:lsdException w:name="Closing" w:unhideWhenUsed="0"/>
    <w:lsdException w:name="Signature" w:unhideWhenUsed="0"/>
    <w:lsdException w:name="Body Text" w:unhideWhenUsed="0"/>
    <w:lsdException w:name="Body Text Indent" w:unhideWhenUsed="0"/>
    <w:lsdException w:name="List Continue" w:unhideWhenUsed="0"/>
    <w:lsdException w:name="List Continue 2" w:unhideWhenUsed="0"/>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unhideWhenUsed="0"/>
    <w:lsdException w:name="Date" w:unhideWhenUsed="0"/>
    <w:lsdException w:name="Body Text First Indent" w:unhideWhenUsed="0"/>
    <w:lsdException w:name="Body Text First Indent 2" w:unhideWhenUsed="0"/>
    <w:lsdException w:name="Note Heading" w:unhideWhenUsed="0"/>
    <w:lsdException w:name="Body Text 2" w:unhideWhenUsed="0"/>
    <w:lsdException w:name="Body Text 3" w:unhideWhenUsed="0"/>
    <w:lsdException w:name="Body Text Indent 2" w:unhideWhenUsed="0"/>
    <w:lsdException w:name="Body Text Indent 3" w:unhideWhenUsed="0"/>
    <w:lsdException w:name="Block Text" w:unhideWhenUsed="0"/>
    <w:lsdException w:name="Hyperlink" w:unhideWhenUsed="0"/>
    <w:lsdException w:name="FollowedHyperlink" w:unhideWhenUsed="0"/>
    <w:lsdException w:name="Strong" w:uiPriority="22" w:unhideWhenUsed="0" w:qFormat="1"/>
    <w:lsdException w:name="Emphasis" w:uiPriority="20" w:unhideWhenUsed="0" w:qFormat="1"/>
    <w:lsdException w:name="Document Map" w:unhideWhenUsed="0"/>
    <w:lsdException w:name="Plain Text" w:unhideWhenUsed="0"/>
    <w:lsdException w:name="E-mail Signature" w:unhideWhenUsed="0"/>
    <w:lsdException w:name="HTML Top of Form" w:semiHidden="1"/>
    <w:lsdException w:name="HTML Bottom of Form" w:semiHidden="1"/>
    <w:lsdException w:name="Normal (Web)" w:uiPriority="0"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annotation subject" w:unhideWhenUsed="0"/>
    <w:lsdException w:name="Outline List 1" w:semiHidden="1"/>
    <w:lsdException w:name="Outline List 2" w:semiHidden="1"/>
    <w:lsdException w:name="Outline List 3" w:semiHidden="1"/>
    <w:lsdException w:name="Balloon Text"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spacing w:before="100" w:beforeAutospacing="1" w:after="100" w:afterAutospacing="1"/>
      <w:outlineLvl w:val="0"/>
    </w:pPr>
    <w:rPr>
      <w:b/>
      <w:bCs/>
      <w:kern w:val="44"/>
      <w:sz w:val="48"/>
      <w:szCs w:val="48"/>
    </w:rPr>
  </w:style>
  <w:style w:type="paragraph" w:styleId="2">
    <w:name w:val="heading 2"/>
    <w:basedOn w:val="a"/>
    <w:next w:val="a"/>
    <w:uiPriority w:val="9"/>
    <w:qFormat/>
    <w:pPr>
      <w:spacing w:before="100" w:beforeAutospacing="1" w:after="100" w:afterAutospacing="1"/>
      <w:outlineLvl w:val="1"/>
    </w:pPr>
    <w:rPr>
      <w:b/>
      <w:bCs/>
      <w:sz w:val="36"/>
      <w:szCs w:val="36"/>
    </w:rPr>
  </w:style>
  <w:style w:type="paragraph" w:styleId="3">
    <w:name w:val="heading 3"/>
    <w:basedOn w:val="a"/>
    <w:next w:val="a"/>
    <w:uiPriority w:val="9"/>
    <w:qFormat/>
    <w:pPr>
      <w:spacing w:before="100" w:beforeAutospacing="1" w:after="100" w:afterAutospacing="1"/>
      <w:outlineLvl w:val="2"/>
    </w:pPr>
    <w:rPr>
      <w:b/>
      <w:bCs/>
      <w:sz w:val="27"/>
      <w:szCs w:val="27"/>
    </w:rPr>
  </w:style>
  <w:style w:type="paragraph" w:styleId="4">
    <w:name w:val="heading 4"/>
    <w:basedOn w:val="a"/>
    <w:next w:val="a"/>
    <w:uiPriority w:val="9"/>
    <w:qFormat/>
    <w:pPr>
      <w:spacing w:before="100" w:beforeAutospacing="1" w:after="100" w:afterAutospacing="1"/>
      <w:outlineLvl w:val="3"/>
    </w:pPr>
    <w:rPr>
      <w:b/>
      <w:bCs/>
    </w:rPr>
  </w:style>
  <w:style w:type="paragraph" w:styleId="5">
    <w:name w:val="heading 5"/>
    <w:basedOn w:val="a"/>
    <w:next w:val="a"/>
    <w:uiPriority w:val="9"/>
    <w:qFormat/>
    <w:pPr>
      <w:spacing w:before="100" w:beforeAutospacing="1" w:after="100" w:afterAutospacing="1"/>
      <w:outlineLvl w:val="4"/>
    </w:pPr>
    <w:rPr>
      <w:b/>
      <w:bCs/>
      <w:sz w:val="20"/>
      <w:szCs w:val="20"/>
    </w:rPr>
  </w:style>
  <w:style w:type="paragraph" w:styleId="6">
    <w:name w:val="heading 6"/>
    <w:basedOn w:val="a"/>
    <w:next w:val="a"/>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Pr>
      <w:rFonts w:ascii="宋体" w:eastAsia="宋体" w:hAnsi="宋体" w:cs="宋体"/>
      <w:b/>
      <w:bCs/>
      <w:kern w:val="44"/>
      <w:sz w:val="44"/>
      <w:szCs w:val="44"/>
    </w:rPr>
  </w:style>
  <w:style w:type="character" w:customStyle="1" w:styleId="2Char">
    <w:name w:val="标题 2 Char"/>
    <w:basedOn w:val="a0"/>
    <w:uiPriority w:val="9"/>
    <w:rPr>
      <w:rFonts w:asciiTheme="majorHAnsi" w:eastAsiaTheme="majorEastAsia" w:hAnsiTheme="majorHAnsi" w:cstheme="majorBidi"/>
      <w:b/>
      <w:bCs/>
      <w:sz w:val="32"/>
      <w:szCs w:val="32"/>
    </w:rPr>
  </w:style>
  <w:style w:type="character" w:customStyle="1" w:styleId="3Char">
    <w:name w:val="标题 3 Char"/>
    <w:basedOn w:val="a0"/>
    <w:uiPriority w:val="9"/>
    <w:rPr>
      <w:rFonts w:ascii="宋体" w:eastAsia="宋体" w:hAnsi="宋体" w:cs="宋体"/>
      <w:b/>
      <w:bCs/>
      <w:sz w:val="32"/>
      <w:szCs w:val="32"/>
    </w:rPr>
  </w:style>
  <w:style w:type="character" w:customStyle="1" w:styleId="4Char">
    <w:name w:val="标题 4 Char"/>
    <w:basedOn w:val="a0"/>
    <w:uiPriority w:val="9"/>
    <w:rPr>
      <w:rFonts w:asciiTheme="majorHAnsi" w:eastAsiaTheme="majorEastAsia" w:hAnsiTheme="majorHAnsi" w:cstheme="majorBidi"/>
      <w:b/>
      <w:bCs/>
      <w:sz w:val="28"/>
      <w:szCs w:val="28"/>
    </w:rPr>
  </w:style>
  <w:style w:type="character" w:customStyle="1" w:styleId="5Char">
    <w:name w:val="标题 5 Char"/>
    <w:basedOn w:val="a0"/>
    <w:uiPriority w:val="9"/>
    <w:rPr>
      <w:rFonts w:ascii="宋体" w:eastAsia="宋体" w:hAnsi="宋体" w:cs="宋体"/>
      <w:b/>
      <w:bCs/>
      <w:sz w:val="28"/>
      <w:szCs w:val="28"/>
    </w:rPr>
  </w:style>
  <w:style w:type="character" w:customStyle="1" w:styleId="6Char">
    <w:name w:val="标题 6 Char"/>
    <w:basedOn w:val="a0"/>
    <w:uiPriority w:val="9"/>
    <w:rPr>
      <w:rFonts w:asciiTheme="majorHAnsi" w:eastAsiaTheme="majorEastAsia" w:hAnsiTheme="majorHAnsi" w:cstheme="majorBidi"/>
      <w:b/>
      <w:bCs/>
      <w:sz w:val="24"/>
      <w:szCs w:val="24"/>
    </w:rPr>
  </w:style>
  <w:style w:type="paragraph" w:styleId="a3">
    <w:name w:val="footer"/>
    <w:basedOn w:val="a"/>
    <w:uiPriority w:val="99"/>
    <w:pPr>
      <w:snapToGrid w:val="0"/>
    </w:pPr>
    <w:rPr>
      <w:sz w:val="18"/>
      <w:szCs w:val="18"/>
    </w:rPr>
  </w:style>
  <w:style w:type="character" w:customStyle="1" w:styleId="Char">
    <w:name w:val="页脚 Char"/>
    <w:basedOn w:val="a0"/>
    <w:uiPriority w:val="99"/>
    <w:rPr>
      <w:rFonts w:ascii="宋体" w:eastAsia="宋体" w:hAnsi="宋体" w:cs="宋体"/>
      <w:sz w:val="18"/>
      <w:szCs w:val="18"/>
    </w:rPr>
  </w:style>
  <w:style w:type="paragraph" w:styleId="a4">
    <w:name w:val="header"/>
    <w:basedOn w:val="a"/>
    <w:uiPriority w:val="99"/>
    <w:pPr>
      <w:pBdr>
        <w:bottom w:val="single" w:sz="6" w:space="1" w:color="auto"/>
      </w:pBdr>
      <w:snapToGrid w:val="0"/>
      <w:jc w:val="center"/>
    </w:pPr>
    <w:rPr>
      <w:sz w:val="18"/>
      <w:szCs w:val="18"/>
    </w:rPr>
  </w:style>
  <w:style w:type="character" w:customStyle="1" w:styleId="Char0">
    <w:name w:val="页眉 Char"/>
    <w:basedOn w:val="a0"/>
    <w:uiPriority w:val="99"/>
    <w:rPr>
      <w:rFonts w:ascii="宋体" w:eastAsia="宋体" w:hAnsi="宋体" w:cs="宋体"/>
      <w:sz w:val="18"/>
      <w:szCs w:val="18"/>
    </w:rPr>
  </w:style>
  <w:style w:type="paragraph" w:styleId="HTML">
    <w:name w:val="HTML Preformatted"/>
    <w:basedOn w:val="a"/>
    <w:uiPriority w:val="99"/>
    <w:rPr>
      <w:rFonts w:ascii="Courier New" w:hAnsi="Courier New" w:cs="Courier New"/>
      <w:sz w:val="20"/>
      <w:szCs w:val="20"/>
    </w:rPr>
  </w:style>
  <w:style w:type="character" w:customStyle="1" w:styleId="HTMLChar">
    <w:name w:val="HTML 预设格式 Char"/>
    <w:basedOn w:val="a0"/>
    <w:uiPriority w:val="99"/>
    <w:rPr>
      <w:rFonts w:ascii="Courier New" w:eastAsia="宋体" w:hAnsi="Courier New" w:cs="Courier New"/>
    </w:rPr>
  </w:style>
  <w:style w:type="paragraph" w:styleId="a5">
    <w:name w:val="Normal (Web)"/>
    <w:basedOn w:val="a"/>
    <w:qFormat/>
    <w:pPr>
      <w:spacing w:before="100" w:beforeAutospacing="1" w:after="100" w:afterAutospacing="1"/>
    </w:pPr>
  </w:style>
  <w:style w:type="paragraph" w:customStyle="1" w:styleId="HTMLChar1">
    <w:name w:val="HTML 预设格式 Char1"/>
    <w:basedOn w:val="a"/>
    <w:rPr>
      <w:rFonts w:ascii="Courier New" w:hAnsi="Courier New" w:cs="Courier New"/>
      <w:sz w:val="20"/>
      <w:szCs w:val="20"/>
    </w:rPr>
  </w:style>
  <w:style w:type="paragraph" w:customStyle="1" w:styleId="pChar">
    <w:name w:val="p Char"/>
    <w:basedOn w:val="a"/>
    <w:pPr>
      <w:spacing w:before="100" w:beforeAutospacing="1" w:after="100" w:afterAutospacing="1"/>
    </w:pPr>
  </w:style>
  <w:style w:type="paragraph" w:customStyle="1" w:styleId="Char1">
    <w:name w:val="普通(网站) Char"/>
    <w:basedOn w:val="a"/>
    <w:pPr>
      <w:spacing w:before="100" w:beforeAutospacing="1" w:after="100" w:afterAutospacing="1"/>
    </w:pPr>
  </w:style>
  <w:style w:type="paragraph" w:customStyle="1" w:styleId="CharChar">
    <w:name w:val="普通(网站) Char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宋体" w:eastAsia="宋体" w:hAnsi="宋体" w:hint="eastAsia"/>
      <w:sz w:val="18"/>
      <w:szCs w:val="18"/>
    </w:rPr>
  </w:style>
  <w:style w:type="character" w:customStyle="1" w:styleId="18">
    <w:name w:val="18"/>
    <w:basedOn w:val="a0"/>
    <w:rPr>
      <w:rFonts w:ascii="宋体" w:eastAsia="宋体" w:hAnsi="宋体" w:hint="eastAsia"/>
      <w:sz w:val="18"/>
      <w:szCs w:val="18"/>
    </w:rPr>
  </w:style>
  <w:style w:type="character" w:customStyle="1" w:styleId="19">
    <w:name w:val="19"/>
    <w:basedOn w:val="a0"/>
    <w:rPr>
      <w:rFonts w:ascii="Times New Roman" w:hAnsi="Times New Roman" w:cs="Times New Roman" w:hint="default"/>
    </w:rPr>
  </w:style>
  <w:style w:type="character" w:customStyle="1" w:styleId="20">
    <w:name w:val="20"/>
    <w:basedOn w:val="a0"/>
    <w:rPr>
      <w:rFonts w:ascii="Times New Roman" w:hAnsi="Times New Roman" w:cs="Times New Roman" w:hint="default"/>
      <w:b/>
    </w:rPr>
  </w:style>
  <w:style w:type="character" w:customStyle="1" w:styleId="21">
    <w:name w:val="21"/>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7270</Words>
  <Characters>1421</Characters>
  <Application>Microsoft Office Word</Application>
  <DocSecurity>0</DocSecurity>
  <Lines>11</Lines>
  <Paragraphs>17</Paragraphs>
  <ScaleCrop>false</ScaleCrop>
  <Company>微软中国</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刘定杰</cp:lastModifiedBy>
  <cp:revision>2</cp:revision>
  <dcterms:created xsi:type="dcterms:W3CDTF">2024-03-07T01:51:00Z</dcterms:created>
  <dcterms:modified xsi:type="dcterms:W3CDTF">2024-03-07T01:51:00Z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9CC17B0F00E54BE295C9F8796FE2C180_12</vt:lpwstr>
  </property>
</Properties>
</file>