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560" w:lineRule="exact"/>
        <w:jc w:val="center"/>
        <w:rPr>
          <w:rFonts w:ascii="Times New Roman" w:hAnsi="Times New Roman" w:eastAsia="方正小标宋_GBK"/>
          <w:sz w:val="44"/>
          <w:szCs w:val="44"/>
        </w:rPr>
      </w:pPr>
      <w:bookmarkStart w:id="0" w:name="_GoBack"/>
      <w:bookmarkEnd w:id="0"/>
    </w:p>
    <w:p>
      <w:pPr>
        <w:spacing w:line="576" w:lineRule="exact"/>
        <w:jc w:val="center"/>
        <w:rPr>
          <w:rFonts w:ascii="Times New Roman" w:hAnsi="Times New Roman" w:eastAsia="方正小标宋_GBK" w:cs="方正小标宋_GBK"/>
          <w:sz w:val="44"/>
          <w:szCs w:val="22"/>
        </w:rPr>
      </w:pPr>
      <w:r>
        <w:rPr>
          <w:rFonts w:ascii="Times New Roman" w:hAnsi="Times New Roman" w:eastAsia="方正小标宋_GBK" w:cs="方正小标宋_GBK"/>
          <w:sz w:val="44"/>
          <w:szCs w:val="22"/>
        </w:rPr>
        <w:t>重庆市渝北区</w:t>
      </w:r>
      <w:r>
        <w:rPr>
          <w:rFonts w:hint="eastAsia" w:ascii="Times New Roman" w:hAnsi="Times New Roman" w:eastAsia="方正小标宋_GBK" w:cs="方正小标宋_GBK"/>
          <w:sz w:val="44"/>
          <w:szCs w:val="22"/>
        </w:rPr>
        <w:t>乡村振兴局</w:t>
      </w:r>
    </w:p>
    <w:p>
      <w:pPr>
        <w:pStyle w:val="2"/>
        <w:spacing w:line="560" w:lineRule="exact"/>
        <w:jc w:val="center"/>
        <w:rPr>
          <w:rFonts w:ascii="Times New Roman" w:hAnsi="Times New Roman" w:eastAsia="方正小标宋_GBK"/>
          <w:sz w:val="44"/>
          <w:szCs w:val="44"/>
        </w:rPr>
      </w:pPr>
      <w:r>
        <w:rPr>
          <w:rFonts w:ascii="Times New Roman" w:hAnsi="Times New Roman" w:eastAsia="方正小标宋_GBK"/>
          <w:spacing w:val="-23"/>
          <w:w w:val="83"/>
          <w:sz w:val="44"/>
          <w:szCs w:val="44"/>
        </w:rPr>
        <w:t xml:space="preserve"> </w:t>
      </w:r>
      <w:r>
        <w:rPr>
          <w:rFonts w:ascii="Times New Roman" w:hAnsi="Times New Roman" w:eastAsia="方正小标宋_GBK" w:cs="方正小标宋_GBK"/>
          <w:spacing w:val="45"/>
          <w:sz w:val="44"/>
          <w:szCs w:val="22"/>
        </w:rPr>
        <w:t>重庆市渝北区财政局</w:t>
      </w:r>
    </w:p>
    <w:p>
      <w:pPr>
        <w:pStyle w:val="2"/>
        <w:spacing w:line="560" w:lineRule="exact"/>
        <w:jc w:val="center"/>
        <w:rPr>
          <w:rFonts w:ascii="Times New Roman" w:hAnsi="Times New Roman"/>
        </w:rPr>
      </w:pPr>
      <w:r>
        <w:rPr>
          <w:rFonts w:hint="eastAsia" w:ascii="Times New Roman" w:hAnsi="Times New Roman" w:eastAsia="方正小标宋_GBK"/>
          <w:sz w:val="44"/>
          <w:szCs w:val="44"/>
        </w:rPr>
        <w:t>关于</w:t>
      </w:r>
      <w:r>
        <w:rPr>
          <w:rFonts w:hint="eastAsia" w:cs="宋体" w:asciiTheme="majorEastAsia" w:hAnsiTheme="majorEastAsia" w:eastAsiaTheme="majorEastAsia"/>
          <w:b/>
          <w:sz w:val="44"/>
          <w:szCs w:val="44"/>
        </w:rPr>
        <w:t>拟</w:t>
      </w:r>
      <w:r>
        <w:rPr>
          <w:rFonts w:hint="eastAsia" w:ascii="Times New Roman" w:hAnsi="Times New Roman" w:eastAsia="方正小标宋_GBK"/>
          <w:sz w:val="44"/>
          <w:szCs w:val="44"/>
        </w:rPr>
        <w:t>安排202</w:t>
      </w:r>
      <w:r>
        <w:rPr>
          <w:rFonts w:ascii="Times New Roman" w:hAnsi="Times New Roman" w:eastAsia="方正小标宋_GBK"/>
          <w:sz w:val="44"/>
          <w:szCs w:val="44"/>
        </w:rPr>
        <w:t>3</w:t>
      </w:r>
      <w:r>
        <w:rPr>
          <w:rFonts w:hint="eastAsia" w:ascii="Times New Roman" w:hAnsi="Times New Roman" w:eastAsia="方正小标宋_GBK"/>
          <w:sz w:val="44"/>
          <w:szCs w:val="44"/>
        </w:rPr>
        <w:t>年度第一批财政衔接推进乡村振兴补助资金项目安排计划的通知</w:t>
      </w:r>
    </w:p>
    <w:p>
      <w:pPr>
        <w:pStyle w:val="3"/>
        <w:ind w:left="2940"/>
        <w:rPr>
          <w:rFonts w:ascii="Times New Roman" w:hAnsi="Times New Roman"/>
        </w:rPr>
      </w:pPr>
    </w:p>
    <w:p>
      <w:pPr>
        <w:spacing w:line="560" w:lineRule="exact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有关</w:t>
      </w:r>
      <w:r>
        <w:rPr>
          <w:rFonts w:ascii="Times New Roman" w:hAnsi="Times New Roman" w:eastAsia="方正仿宋_GBK"/>
          <w:sz w:val="32"/>
          <w:szCs w:val="32"/>
        </w:rPr>
        <w:t>镇</w:t>
      </w:r>
      <w:r>
        <w:rPr>
          <w:rFonts w:hint="eastAsia" w:ascii="Times New Roman" w:hAnsi="Times New Roman" w:eastAsia="方正仿宋_GBK"/>
          <w:sz w:val="32"/>
          <w:szCs w:val="32"/>
        </w:rPr>
        <w:t>人民政府、有关部门</w:t>
      </w:r>
      <w:r>
        <w:rPr>
          <w:rFonts w:ascii="Times New Roman" w:hAnsi="Times New Roman" w:eastAsia="方正仿宋_GBK"/>
          <w:sz w:val="32"/>
          <w:szCs w:val="32"/>
        </w:rPr>
        <w:t>：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近期，市财政局印发了提前下达中央、市两级财政衔接推进乡村振兴补助资金有关文件</w:t>
      </w:r>
      <w:r>
        <w:rPr>
          <w:rFonts w:ascii="Times New Roman" w:hAnsi="Times New Roman" w:eastAsia="方正仿宋_GBK"/>
          <w:sz w:val="32"/>
          <w:szCs w:val="32"/>
        </w:rPr>
        <w:t>，结合</w:t>
      </w:r>
      <w:r>
        <w:rPr>
          <w:rFonts w:hint="eastAsia" w:ascii="Times New Roman" w:hAnsi="Times New Roman" w:eastAsia="方正仿宋_GBK"/>
          <w:sz w:val="32"/>
          <w:szCs w:val="32"/>
        </w:rPr>
        <w:t>我区2023年度</w:t>
      </w:r>
      <w:r>
        <w:rPr>
          <w:rFonts w:ascii="Times New Roman" w:hAnsi="Times New Roman" w:eastAsia="方正仿宋_GBK"/>
          <w:sz w:val="32"/>
          <w:szCs w:val="32"/>
        </w:rPr>
        <w:t>项目</w:t>
      </w:r>
      <w:r>
        <w:rPr>
          <w:rFonts w:hint="eastAsia" w:ascii="Times New Roman" w:hAnsi="Times New Roman" w:eastAsia="方正仿宋_GBK"/>
          <w:sz w:val="32"/>
          <w:szCs w:val="32"/>
        </w:rPr>
        <w:t>库项目</w:t>
      </w:r>
      <w:r>
        <w:rPr>
          <w:rFonts w:ascii="Times New Roman" w:hAnsi="Times New Roman" w:eastAsia="方正仿宋_GBK"/>
          <w:sz w:val="32"/>
          <w:szCs w:val="32"/>
        </w:rPr>
        <w:t>储备</w:t>
      </w:r>
      <w:r>
        <w:rPr>
          <w:rFonts w:hint="eastAsia" w:ascii="Times New Roman" w:hAnsi="Times New Roman" w:eastAsia="方正仿宋_GBK"/>
          <w:sz w:val="32"/>
          <w:szCs w:val="32"/>
        </w:rPr>
        <w:t>实际</w:t>
      </w:r>
      <w:r>
        <w:rPr>
          <w:rFonts w:ascii="Times New Roman" w:hAnsi="Times New Roman" w:eastAsia="方正仿宋_GBK"/>
          <w:sz w:val="32"/>
          <w:szCs w:val="32"/>
        </w:rPr>
        <w:t>情况，</w:t>
      </w:r>
      <w:r>
        <w:rPr>
          <w:rFonts w:hint="eastAsia" w:ascii="Times New Roman" w:hAnsi="Times New Roman" w:eastAsia="方正仿宋_GBK"/>
          <w:sz w:val="32"/>
          <w:szCs w:val="32"/>
        </w:rPr>
        <w:t>区乡村振兴局会同</w:t>
      </w:r>
      <w:r>
        <w:rPr>
          <w:rFonts w:ascii="Times New Roman" w:hAnsi="Times New Roman" w:eastAsia="方正仿宋_GBK"/>
          <w:sz w:val="32"/>
          <w:szCs w:val="32"/>
        </w:rPr>
        <w:t>区</w:t>
      </w:r>
      <w:r>
        <w:rPr>
          <w:rFonts w:hint="eastAsia" w:ascii="Times New Roman" w:hAnsi="Times New Roman" w:eastAsia="方正仿宋_GBK"/>
          <w:sz w:val="32"/>
          <w:szCs w:val="32"/>
        </w:rPr>
        <w:t>财政局</w:t>
      </w:r>
      <w:r>
        <w:rPr>
          <w:rFonts w:ascii="Times New Roman" w:hAnsi="Times New Roman" w:eastAsia="方正仿宋_GBK"/>
          <w:sz w:val="32"/>
          <w:szCs w:val="32"/>
        </w:rPr>
        <w:t>认真研究，并报经</w:t>
      </w:r>
      <w:r>
        <w:rPr>
          <w:rFonts w:hint="eastAsia" w:ascii="Times New Roman" w:hAnsi="Times New Roman" w:eastAsia="方正仿宋_GBK"/>
          <w:sz w:val="32"/>
          <w:szCs w:val="32"/>
        </w:rPr>
        <w:t>区政府</w:t>
      </w:r>
      <w:r>
        <w:rPr>
          <w:rFonts w:ascii="Times New Roman" w:hAnsi="Times New Roman" w:eastAsia="方正仿宋_GBK"/>
          <w:sz w:val="32"/>
          <w:szCs w:val="32"/>
        </w:rPr>
        <w:t>审批通过，现将202</w:t>
      </w:r>
      <w:r>
        <w:rPr>
          <w:rFonts w:hint="eastAsia" w:ascii="Times New Roman" w:hAnsi="Times New Roman" w:eastAsia="方正仿宋_GBK"/>
          <w:sz w:val="32"/>
          <w:szCs w:val="32"/>
        </w:rPr>
        <w:t>3年度</w:t>
      </w:r>
      <w:r>
        <w:rPr>
          <w:rFonts w:ascii="Times New Roman" w:hAnsi="Times New Roman" w:eastAsia="方正仿宋_GBK"/>
          <w:sz w:val="32"/>
          <w:szCs w:val="32"/>
        </w:rPr>
        <w:t>第</w:t>
      </w:r>
      <w:r>
        <w:rPr>
          <w:rFonts w:hint="eastAsia" w:ascii="Times New Roman" w:hAnsi="Times New Roman" w:eastAsia="方正仿宋_GBK"/>
          <w:sz w:val="32"/>
          <w:szCs w:val="32"/>
        </w:rPr>
        <w:t>一</w:t>
      </w:r>
      <w:r>
        <w:rPr>
          <w:rFonts w:ascii="Times New Roman" w:hAnsi="Times New Roman" w:eastAsia="方正仿宋_GBK"/>
          <w:sz w:val="32"/>
          <w:szCs w:val="32"/>
        </w:rPr>
        <w:t>批财政</w:t>
      </w:r>
      <w:r>
        <w:rPr>
          <w:rFonts w:hint="eastAsia" w:ascii="Times New Roman" w:hAnsi="Times New Roman" w:eastAsia="方正仿宋_GBK"/>
          <w:sz w:val="32"/>
          <w:szCs w:val="32"/>
        </w:rPr>
        <w:t>衔接</w:t>
      </w:r>
      <w:r>
        <w:rPr>
          <w:rFonts w:ascii="Times New Roman" w:hAnsi="Times New Roman" w:eastAsia="方正仿宋_GBK"/>
          <w:sz w:val="32"/>
          <w:szCs w:val="32"/>
        </w:rPr>
        <w:t>资金使用计划下达给你们，并就有关事宜通知如下：</w:t>
      </w:r>
    </w:p>
    <w:p>
      <w:pPr>
        <w:spacing w:line="560" w:lineRule="exact"/>
        <w:ind w:firstLine="640" w:firstLineChars="200"/>
        <w:rPr>
          <w:rFonts w:ascii="Times New Roman" w:hAnsi="Times New Roman" w:eastAsia="方正黑体_GBK" w:cs="方正黑体_GBK"/>
          <w:sz w:val="32"/>
          <w:szCs w:val="32"/>
        </w:rPr>
      </w:pPr>
      <w:r>
        <w:rPr>
          <w:rFonts w:hint="eastAsia" w:ascii="Times New Roman" w:hAnsi="Times New Roman" w:eastAsia="方正黑体_GBK" w:cs="方正黑体_GBK"/>
          <w:sz w:val="32"/>
          <w:szCs w:val="32"/>
        </w:rPr>
        <w:t>一、资金项目安排计划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22"/>
        </w:rPr>
      </w:pPr>
      <w:r>
        <w:rPr>
          <w:rFonts w:ascii="Times New Roman" w:hAnsi="Times New Roman" w:eastAsia="方正仿宋_GBK"/>
          <w:sz w:val="32"/>
          <w:szCs w:val="32"/>
        </w:rPr>
        <w:t>本次</w:t>
      </w:r>
      <w:r>
        <w:rPr>
          <w:rFonts w:hint="eastAsia" w:ascii="仿宋" w:hAnsi="仿宋" w:eastAsia="仿宋" w:cs="宋体"/>
          <w:sz w:val="32"/>
          <w:szCs w:val="22"/>
        </w:rPr>
        <w:t>拟</w:t>
      </w:r>
      <w:r>
        <w:rPr>
          <w:rFonts w:hint="eastAsia" w:ascii="Times New Roman" w:hAnsi="Times New Roman" w:eastAsia="方正仿宋_GBK"/>
          <w:sz w:val="32"/>
          <w:szCs w:val="22"/>
        </w:rPr>
        <w:t>安排中</w:t>
      </w:r>
      <w:r>
        <w:rPr>
          <w:rFonts w:hint="eastAsia" w:ascii="Times New Roman" w:hAnsi="Times New Roman" w:eastAsia="方正仿宋_GBK"/>
          <w:sz w:val="32"/>
          <w:szCs w:val="32"/>
        </w:rPr>
        <w:t>央财政衔接资金667万元，</w:t>
      </w:r>
      <w:r>
        <w:rPr>
          <w:rFonts w:hint="eastAsia" w:ascii="Times New Roman" w:hAnsi="Times New Roman" w:eastAsia="方正仿宋_GBK"/>
          <w:sz w:val="32"/>
          <w:szCs w:val="22"/>
        </w:rPr>
        <w:t>市级财政衔接资金</w:t>
      </w:r>
      <w:r>
        <w:rPr>
          <w:rFonts w:hint="eastAsia" w:ascii="Times New Roman" w:hAnsi="Times New Roman" w:eastAsia="方正仿宋_GBK"/>
          <w:sz w:val="32"/>
          <w:szCs w:val="32"/>
        </w:rPr>
        <w:t>1538</w:t>
      </w:r>
      <w:r>
        <w:rPr>
          <w:rFonts w:hint="eastAsia" w:ascii="Times New Roman" w:hAnsi="Times New Roman" w:eastAsia="方正仿宋_GBK"/>
          <w:sz w:val="32"/>
          <w:szCs w:val="22"/>
        </w:rPr>
        <w:t>万元，配套区</w:t>
      </w:r>
      <w:r>
        <w:rPr>
          <w:rFonts w:ascii="Times New Roman" w:hAnsi="Times New Roman" w:eastAsia="方正仿宋_GBK"/>
          <w:sz w:val="32"/>
          <w:szCs w:val="22"/>
        </w:rPr>
        <w:t>级衔接资金</w:t>
      </w:r>
      <w:r>
        <w:rPr>
          <w:rFonts w:hint="eastAsia" w:ascii="Times New Roman" w:hAnsi="Times New Roman" w:eastAsia="方正仿宋_GBK"/>
          <w:sz w:val="32"/>
          <w:szCs w:val="32"/>
        </w:rPr>
        <w:t>41</w:t>
      </w:r>
      <w:r>
        <w:rPr>
          <w:rFonts w:ascii="Times New Roman" w:hAnsi="Times New Roman" w:eastAsia="方正仿宋_GBK"/>
          <w:sz w:val="32"/>
          <w:szCs w:val="32"/>
        </w:rPr>
        <w:t>6</w:t>
      </w:r>
      <w:r>
        <w:rPr>
          <w:rFonts w:hint="eastAsia" w:ascii="Times New Roman" w:hAnsi="Times New Roman" w:eastAsia="方正仿宋_GBK"/>
          <w:sz w:val="32"/>
          <w:szCs w:val="32"/>
        </w:rPr>
        <w:t>.</w:t>
      </w:r>
      <w:r>
        <w:rPr>
          <w:rFonts w:ascii="Times New Roman" w:hAnsi="Times New Roman" w:eastAsia="方正仿宋_GBK"/>
          <w:sz w:val="32"/>
          <w:szCs w:val="32"/>
        </w:rPr>
        <w:t>68</w:t>
      </w:r>
      <w:r>
        <w:rPr>
          <w:rFonts w:hint="eastAsia" w:ascii="Times New Roman" w:hAnsi="Times New Roman" w:eastAsia="方正仿宋_GBK"/>
          <w:sz w:val="32"/>
          <w:szCs w:val="32"/>
        </w:rPr>
        <w:t>82万</w:t>
      </w:r>
      <w:r>
        <w:rPr>
          <w:rFonts w:hint="eastAsia" w:ascii="Times New Roman" w:hAnsi="Times New Roman" w:eastAsia="方正仿宋_GBK"/>
          <w:sz w:val="32"/>
          <w:szCs w:val="22"/>
        </w:rPr>
        <w:t>元，共计</w:t>
      </w:r>
      <w:r>
        <w:rPr>
          <w:rFonts w:hint="eastAsia" w:ascii="Times New Roman" w:hAnsi="Times New Roman" w:eastAsia="方正仿宋_GBK"/>
          <w:sz w:val="32"/>
          <w:szCs w:val="32"/>
        </w:rPr>
        <w:t>26</w:t>
      </w:r>
      <w:r>
        <w:rPr>
          <w:rFonts w:ascii="Times New Roman" w:hAnsi="Times New Roman" w:eastAsia="方正仿宋_GBK"/>
          <w:sz w:val="32"/>
          <w:szCs w:val="32"/>
        </w:rPr>
        <w:t>21</w:t>
      </w:r>
      <w:r>
        <w:rPr>
          <w:rFonts w:hint="eastAsia" w:ascii="Times New Roman" w:hAnsi="Times New Roman" w:eastAsia="方正仿宋_GBK"/>
          <w:sz w:val="32"/>
          <w:szCs w:val="32"/>
        </w:rPr>
        <w:t>.</w:t>
      </w:r>
      <w:r>
        <w:rPr>
          <w:rFonts w:ascii="Times New Roman" w:hAnsi="Times New Roman" w:eastAsia="方正仿宋_GBK"/>
          <w:sz w:val="32"/>
          <w:szCs w:val="32"/>
        </w:rPr>
        <w:t>68</w:t>
      </w:r>
      <w:r>
        <w:rPr>
          <w:rFonts w:hint="eastAsia" w:ascii="Times New Roman" w:hAnsi="Times New Roman" w:eastAsia="方正仿宋_GBK"/>
          <w:sz w:val="32"/>
          <w:szCs w:val="32"/>
        </w:rPr>
        <w:t>82</w:t>
      </w:r>
      <w:r>
        <w:rPr>
          <w:rFonts w:hint="eastAsia" w:ascii="Times New Roman" w:hAnsi="Times New Roman" w:eastAsia="方正仿宋_GBK"/>
          <w:sz w:val="32"/>
          <w:szCs w:val="22"/>
        </w:rPr>
        <w:t>万元</w:t>
      </w:r>
      <w:r>
        <w:rPr>
          <w:rFonts w:ascii="Times New Roman" w:hAnsi="Times New Roman" w:eastAsia="方正仿宋_GBK"/>
          <w:sz w:val="32"/>
          <w:szCs w:val="22"/>
        </w:rPr>
        <w:t>。具体安排计划如下：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大湾镇龙洞岩村2023年产业项目124.5663万元（中央资金，</w:t>
      </w:r>
      <w:r>
        <w:rPr>
          <w:rFonts w:ascii="Times New Roman" w:hAnsi="Times New Roman" w:eastAsia="方正仿宋_GBK"/>
          <w:sz w:val="32"/>
          <w:szCs w:val="32"/>
        </w:rPr>
        <w:t>责任单位：</w:t>
      </w:r>
      <w:r>
        <w:rPr>
          <w:rFonts w:hint="eastAsia" w:ascii="Times New Roman" w:hAnsi="Times New Roman" w:eastAsia="方正仿宋_GBK"/>
          <w:sz w:val="32"/>
          <w:szCs w:val="32"/>
        </w:rPr>
        <w:t>大湾镇</w:t>
      </w:r>
      <w:r>
        <w:rPr>
          <w:rFonts w:ascii="Times New Roman" w:hAnsi="Times New Roman" w:eastAsia="方正仿宋_GBK"/>
          <w:sz w:val="32"/>
          <w:szCs w:val="32"/>
        </w:rPr>
        <w:t>）</w:t>
      </w:r>
    </w:p>
    <w:p>
      <w:pPr>
        <w:pStyle w:val="2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 xml:space="preserve">    （二）大湾镇太和村2023年产业提升项目21.221万元（中央资金，</w:t>
      </w:r>
      <w:r>
        <w:rPr>
          <w:rFonts w:ascii="Times New Roman" w:hAnsi="Times New Roman" w:eastAsia="方正仿宋_GBK"/>
          <w:sz w:val="32"/>
          <w:szCs w:val="32"/>
        </w:rPr>
        <w:t>责任单位：</w:t>
      </w:r>
      <w:r>
        <w:rPr>
          <w:rFonts w:hint="eastAsia" w:ascii="Times New Roman" w:hAnsi="Times New Roman" w:eastAsia="方正仿宋_GBK"/>
          <w:sz w:val="32"/>
          <w:szCs w:val="32"/>
        </w:rPr>
        <w:t>大湾镇）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22"/>
        </w:rPr>
        <w:t>（三）</w:t>
      </w:r>
      <w:r>
        <w:rPr>
          <w:rFonts w:hint="eastAsia" w:ascii="Times New Roman" w:hAnsi="Times New Roman" w:eastAsia="方正仿宋_GBK"/>
          <w:sz w:val="32"/>
          <w:szCs w:val="32"/>
        </w:rPr>
        <w:t>大湾镇杉木村2023年水果产业化基地建设188.332万元（中央资金，责任单位：大湾镇）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22"/>
        </w:rPr>
        <w:t>（</w:t>
      </w:r>
      <w:r>
        <w:rPr>
          <w:rFonts w:hint="eastAsia" w:ascii="Times New Roman" w:hAnsi="Times New Roman" w:eastAsia="方正仿宋_GBK"/>
          <w:sz w:val="32"/>
          <w:szCs w:val="22"/>
        </w:rPr>
        <w:t>四</w:t>
      </w:r>
      <w:r>
        <w:rPr>
          <w:rFonts w:ascii="Times New Roman" w:hAnsi="Times New Roman" w:eastAsia="方正仿宋_GBK"/>
          <w:sz w:val="32"/>
          <w:szCs w:val="22"/>
        </w:rPr>
        <w:t>）</w:t>
      </w:r>
      <w:r>
        <w:rPr>
          <w:rFonts w:ascii="Times New Roman" w:hAnsi="Times New Roman" w:eastAsia="方正仿宋_GBK"/>
          <w:sz w:val="32"/>
          <w:szCs w:val="32"/>
        </w:rPr>
        <w:t>大湾镇金凤村2023年桃园提升项目</w:t>
      </w:r>
      <w:r>
        <w:rPr>
          <w:rFonts w:hint="eastAsia" w:ascii="Times New Roman" w:hAnsi="Times New Roman" w:eastAsia="方正仿宋_GBK"/>
          <w:sz w:val="32"/>
          <w:szCs w:val="32"/>
        </w:rPr>
        <w:t>265.7915万元（中央资金，责任单位：大湾镇）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22"/>
        </w:rPr>
      </w:pPr>
      <w:r>
        <w:rPr>
          <w:rFonts w:ascii="Times New Roman" w:hAnsi="Times New Roman" w:eastAsia="方正仿宋_GBK"/>
          <w:sz w:val="32"/>
          <w:szCs w:val="32"/>
        </w:rPr>
        <w:t>（</w:t>
      </w:r>
      <w:r>
        <w:rPr>
          <w:rFonts w:hint="eastAsia" w:ascii="Times New Roman" w:hAnsi="Times New Roman" w:eastAsia="方正仿宋_GBK"/>
          <w:sz w:val="32"/>
          <w:szCs w:val="32"/>
        </w:rPr>
        <w:t>五</w:t>
      </w:r>
      <w:r>
        <w:rPr>
          <w:rFonts w:ascii="Times New Roman" w:hAnsi="Times New Roman" w:eastAsia="方正仿宋_GBK"/>
          <w:sz w:val="32"/>
          <w:szCs w:val="32"/>
        </w:rPr>
        <w:t>）</w:t>
      </w:r>
      <w:r>
        <w:rPr>
          <w:rFonts w:hint="eastAsia" w:ascii="Times New Roman" w:hAnsi="Times New Roman" w:eastAsia="方正仿宋_GBK"/>
          <w:sz w:val="32"/>
          <w:szCs w:val="32"/>
        </w:rPr>
        <w:t>大盛镇千盏村2023年度产业项目90.548万元（中央资金67.0892万元，市级</w:t>
      </w:r>
      <w:r>
        <w:rPr>
          <w:rFonts w:ascii="Times New Roman" w:hAnsi="Times New Roman" w:eastAsia="方正仿宋_GBK"/>
          <w:sz w:val="32"/>
          <w:szCs w:val="32"/>
        </w:rPr>
        <w:t>资金</w:t>
      </w:r>
      <w:r>
        <w:rPr>
          <w:rFonts w:hint="eastAsia" w:ascii="Times New Roman" w:hAnsi="Times New Roman" w:eastAsia="方正仿宋_GBK"/>
          <w:sz w:val="32"/>
          <w:szCs w:val="32"/>
        </w:rPr>
        <w:t>23.4588万元，</w:t>
      </w:r>
      <w:r>
        <w:rPr>
          <w:rFonts w:ascii="Times New Roman" w:hAnsi="Times New Roman" w:eastAsia="方正仿宋_GBK"/>
          <w:sz w:val="32"/>
          <w:szCs w:val="22"/>
        </w:rPr>
        <w:t>责任单位：</w:t>
      </w:r>
      <w:r>
        <w:rPr>
          <w:rFonts w:hint="eastAsia" w:ascii="Times New Roman" w:hAnsi="Times New Roman" w:eastAsia="方正仿宋_GBK"/>
          <w:sz w:val="32"/>
          <w:szCs w:val="22"/>
        </w:rPr>
        <w:t>大盛镇</w:t>
      </w:r>
      <w:r>
        <w:rPr>
          <w:rFonts w:ascii="Times New Roman" w:hAnsi="Times New Roman" w:eastAsia="方正仿宋_GBK"/>
          <w:sz w:val="32"/>
          <w:szCs w:val="22"/>
        </w:rPr>
        <w:t>）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（</w:t>
      </w:r>
      <w:r>
        <w:rPr>
          <w:rFonts w:hint="eastAsia" w:ascii="Times New Roman" w:hAnsi="Times New Roman" w:eastAsia="方正仿宋_GBK"/>
          <w:sz w:val="32"/>
          <w:szCs w:val="32"/>
        </w:rPr>
        <w:t>六</w:t>
      </w:r>
      <w:r>
        <w:rPr>
          <w:rFonts w:ascii="Times New Roman" w:hAnsi="Times New Roman" w:eastAsia="方正仿宋_GBK"/>
          <w:sz w:val="32"/>
          <w:szCs w:val="32"/>
        </w:rPr>
        <w:t>）</w:t>
      </w:r>
      <w:r>
        <w:rPr>
          <w:rFonts w:hint="eastAsia" w:ascii="Times New Roman" w:hAnsi="Times New Roman" w:eastAsia="方正仿宋_GBK"/>
          <w:sz w:val="32"/>
          <w:szCs w:val="32"/>
        </w:rPr>
        <w:t>大盛镇东河村2023年度产业项目24.349万元（市级资金，责任单位：大盛镇）</w:t>
      </w:r>
    </w:p>
    <w:p>
      <w:pPr>
        <w:widowControl/>
        <w:ind w:firstLine="640" w:firstLineChars="200"/>
        <w:textAlignment w:val="center"/>
        <w:rPr>
          <w:rFonts w:ascii="Times New Roman" w:hAnsi="Times New Roman" w:eastAsia="方正仿宋_GBK" w:cs="宋体"/>
          <w:color w:val="000000"/>
          <w:kern w:val="0"/>
          <w:sz w:val="24"/>
        </w:rPr>
      </w:pPr>
      <w:r>
        <w:rPr>
          <w:rFonts w:hint="eastAsia" w:ascii="Times New Roman" w:hAnsi="Times New Roman" w:eastAsia="方正仿宋_GBK"/>
          <w:sz w:val="32"/>
          <w:szCs w:val="32"/>
        </w:rPr>
        <w:t>（七）大盛镇云龙村2023年度产业项目36.7706万元（市级资金</w:t>
      </w:r>
      <w:r>
        <w:rPr>
          <w:rFonts w:ascii="Times New Roman" w:hAnsi="Times New Roman" w:eastAsia="方正仿宋_GBK"/>
          <w:sz w:val="32"/>
          <w:szCs w:val="32"/>
        </w:rPr>
        <w:t>，责任单位：</w:t>
      </w:r>
      <w:r>
        <w:rPr>
          <w:rFonts w:hint="eastAsia" w:ascii="Times New Roman" w:hAnsi="Times New Roman" w:eastAsia="方正仿宋_GBK"/>
          <w:sz w:val="32"/>
          <w:szCs w:val="22"/>
        </w:rPr>
        <w:t>大盛镇</w:t>
      </w:r>
      <w:r>
        <w:rPr>
          <w:rFonts w:ascii="Times New Roman" w:hAnsi="Times New Roman" w:eastAsia="方正仿宋_GBK"/>
          <w:sz w:val="32"/>
          <w:szCs w:val="22"/>
        </w:rPr>
        <w:t>）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（八）木耳镇石坪村2023年度产业项目40.5255万元（市级资金，责任单位：木耳镇）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（九）木耳镇良桥村2023年度产业项目28.3905万元（市级资金，责任单位：木耳镇）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（十）木耳镇石鞋村2023年产业基础配套设施项目32.213万元（市级资金，责任单位：木耳镇）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（十一）木耳镇白房村2023年度产业项目38.5068万元（市级资金，责任单位：木耳镇）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（十二）木耳镇新乡村2023年度产业项目30.3795万元（市级资金，责任单位：木耳镇）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（十三）木耳镇金刚村2023年度产业项目45.035万元（市级资金，责任单位：木耳镇）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（十四）古路镇兴盛村2023年度产业项目</w:t>
      </w:r>
      <w:r>
        <w:rPr>
          <w:rFonts w:ascii="Times New Roman" w:hAnsi="Times New Roman" w:eastAsia="方正仿宋_GBK"/>
          <w:sz w:val="32"/>
          <w:szCs w:val="32"/>
        </w:rPr>
        <w:t>25.258</w:t>
      </w:r>
      <w:r>
        <w:rPr>
          <w:rFonts w:hint="eastAsia" w:ascii="Times New Roman" w:hAnsi="Times New Roman" w:eastAsia="方正仿宋_GBK"/>
          <w:sz w:val="32"/>
          <w:szCs w:val="32"/>
        </w:rPr>
        <w:t>万元（市级资金，责任单位：古路镇）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（十五）古路镇乌牛村2023年度产业项目18.5295万元（市级资金，责任单位：古路镇）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（十六）古路镇熊家村2023年度产业发展配套项目55.557万元（市级资金，责任单位：古路镇）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（十七）古路镇吉星村2023年度产业发展配套项目36.32万元（市级资金，责任单位：古路镇）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（十八）玉峰山镇玉峰村2023年度产业提升配套建设项目15.528万元（市级资金，责任单位：玉峰山镇）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（十九）玉峰山镇旱土村2023年度产业提升配套建设项目19.68万元（市级资金，责任单位：玉峰山镇）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（二十）洛碛镇新石村2023年度经果林管护项目26.444万元（市级资金，责任单位：洛碛镇）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（二十一）洛碛镇宝华村2023年度经果林管护项目24.6705万元（市级资金，责任单位：洛碛镇）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（二十二）洛碛镇沙湾村2023年度经果林建设管护项目64.172万元（市级资金，责任单位：洛碛镇）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（二十三）洛碛镇砖房村2023年度蜂房建设项目10万元（市级资金，责任单位：洛碛镇）</w:t>
      </w:r>
    </w:p>
    <w:p>
      <w:pPr>
        <w:widowControl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（二十四）茨竹镇方家沟村2023年度产业配套提升项目104.8万元（市级资金69.5118万元，区级资金35.2882万元。责任单位：茨竹镇）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（二十五）茨竹镇新泉村2023年产业项目42.127万元（市级资金，责任单位：茨竹镇）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（二十六）茨竹镇放牛坪村2023年产业项目22.183万元（市级资金，责任单位：茨竹镇）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（二十七）石船镇关兴村2023年产业管护配套项目30.81万元（市级资金，责任单位：石船镇）</w:t>
      </w:r>
    </w:p>
    <w:p>
      <w:pPr>
        <w:pStyle w:val="2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（二十八）石船镇民利村2023年产业配套项目45.7265万元（市级资金，责任单位：石船镇）</w:t>
      </w:r>
    </w:p>
    <w:p>
      <w:pPr>
        <w:pStyle w:val="2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（二十九）兴隆镇牛皇村2023年度产业项目50.51万元（市级资金，责任单位：兴隆镇）</w:t>
      </w:r>
    </w:p>
    <w:p>
      <w:pPr>
        <w:pStyle w:val="2"/>
        <w:ind w:firstLine="640" w:firstLineChars="200"/>
        <w:rPr>
          <w:rFonts w:ascii="Times New Roman" w:hAnsi="Times New Roman"/>
        </w:rPr>
      </w:pPr>
      <w:r>
        <w:rPr>
          <w:rFonts w:hint="eastAsia" w:ascii="Times New Roman" w:hAnsi="Times New Roman" w:eastAsia="方正仿宋_GBK"/>
          <w:sz w:val="32"/>
          <w:szCs w:val="32"/>
        </w:rPr>
        <w:t>（三十）兴隆镇天堡寨村2023年经果林产业项目33.424万元（市级资金，责任单位：兴隆镇）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（三十一）渝北区“巩固脱贫保”风险调节56.42万元（市级资金，责任单位：区乡村振兴局）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（三十二）渝北区2023年度脱贫人口跨省就业交通补助0.5万元（市级资金，责任单位：区人力社保局）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（三十三）渝北区2023年度水利项目392万元（市级资金，责任单位：区水利局）</w:t>
      </w:r>
    </w:p>
    <w:p>
      <w:pPr>
        <w:pStyle w:val="2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（三十四）渝北区2023年度农村环境卫生治理项目192万元（市级资金，责任单位：区城市管理局）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（三十五）渝北区2023年脱贫户和监测户“渝快保”项目7万元（市级资金，责任单位：区乡村振兴局）</w:t>
      </w:r>
    </w:p>
    <w:p>
      <w:pPr>
        <w:pStyle w:val="2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（三十六）渝北区2023年度到户到人扶持项目305.4万元（实施方案见附件1，区级资金，责任单位：11个镇人民政府）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（三十七）渝北区2023年度扶贫小额信贷贴息40万元（区级资金，责任单位：区乡村振兴局）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（三十八）渝北区2023年度雨露计划15万元（区级资金，责任单位：区乡村振兴局）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（三十九）渝北区2023年脱贫人口城乡居民医疗保险9万元（区级资金，责任单位：区乡村振兴局）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（四十）渝北区2023年度大学生学费资助4万元（区级资金，责任单位：区教委）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（四十一）渝北区2023年稳定脱贫户和监测户城乡居民养老保险8万元（区级资金，责任单位：区人力社保局、区乡村振兴局）</w:t>
      </w:r>
    </w:p>
    <w:p>
      <w:pPr>
        <w:pStyle w:val="2"/>
        <w:numPr>
          <w:ilvl w:val="0"/>
          <w:numId w:val="2"/>
        </w:numPr>
        <w:spacing w:line="560" w:lineRule="exact"/>
        <w:ind w:firstLine="640" w:firstLineChars="200"/>
        <w:rPr>
          <w:rFonts w:ascii="Times New Roman" w:hAnsi="Times New Roman" w:eastAsia="方正黑体_GBK" w:cs="方正黑体_GBK"/>
          <w:sz w:val="32"/>
          <w:szCs w:val="32"/>
        </w:rPr>
      </w:pPr>
      <w:r>
        <w:rPr>
          <w:rFonts w:hint="eastAsia" w:ascii="Times New Roman" w:hAnsi="Times New Roman" w:eastAsia="方正黑体_GBK" w:cs="方正黑体_GBK"/>
          <w:sz w:val="32"/>
          <w:szCs w:val="32"/>
        </w:rPr>
        <w:t>加强资金项目监管</w:t>
      </w:r>
    </w:p>
    <w:p>
      <w:pPr>
        <w:widowControl/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楷体_GBK" w:cs="方正楷体_GBK"/>
          <w:sz w:val="32"/>
          <w:szCs w:val="32"/>
        </w:rPr>
        <w:t>（一）加强资金项目管理。一是</w:t>
      </w:r>
      <w:r>
        <w:rPr>
          <w:rFonts w:hint="eastAsia" w:ascii="Times New Roman" w:hAnsi="Times New Roman" w:eastAsia="方正仿宋_GBK"/>
          <w:sz w:val="32"/>
          <w:szCs w:val="32"/>
        </w:rPr>
        <w:t>严格按照区级</w:t>
      </w:r>
      <w:r>
        <w:rPr>
          <w:rFonts w:ascii="Times New Roman" w:hAnsi="Times New Roman" w:eastAsia="方正仿宋_GBK"/>
          <w:sz w:val="32"/>
          <w:szCs w:val="32"/>
        </w:rPr>
        <w:t>农业</w:t>
      </w:r>
      <w:r>
        <w:rPr>
          <w:rFonts w:hint="eastAsia" w:ascii="Times New Roman" w:hAnsi="Times New Roman" w:eastAsia="方正仿宋_GBK"/>
          <w:sz w:val="32"/>
          <w:szCs w:val="32"/>
        </w:rPr>
        <w:t>资金</w:t>
      </w:r>
      <w:r>
        <w:rPr>
          <w:rFonts w:ascii="Times New Roman" w:hAnsi="Times New Roman" w:eastAsia="方正仿宋_GBK"/>
          <w:sz w:val="32"/>
          <w:szCs w:val="32"/>
        </w:rPr>
        <w:t>项目管理办法</w:t>
      </w:r>
      <w:r>
        <w:rPr>
          <w:rFonts w:hint="eastAsia" w:ascii="Times New Roman" w:hAnsi="Times New Roman" w:eastAsia="方正仿宋_GBK"/>
          <w:sz w:val="32"/>
          <w:szCs w:val="32"/>
        </w:rPr>
        <w:t>（《渝北区农业项目及资金管理办法（暂行）》，</w:t>
      </w:r>
      <w:r>
        <w:rPr>
          <w:rFonts w:ascii="Times New Roman" w:hAnsi="Times New Roman" w:eastAsia="方正仿宋_GBK"/>
          <w:sz w:val="32"/>
          <w:szCs w:val="32"/>
        </w:rPr>
        <w:t>附件</w:t>
      </w:r>
      <w:r>
        <w:rPr>
          <w:rFonts w:hint="eastAsia" w:ascii="Times New Roman" w:hAnsi="Times New Roman" w:eastAsia="方正仿宋_GBK"/>
          <w:sz w:val="32"/>
          <w:szCs w:val="32"/>
        </w:rPr>
        <w:t>2）</w:t>
      </w:r>
      <w:r>
        <w:rPr>
          <w:rFonts w:ascii="Times New Roman" w:hAnsi="Times New Roman" w:eastAsia="方正仿宋_GBK"/>
          <w:sz w:val="32"/>
          <w:szCs w:val="32"/>
        </w:rPr>
        <w:t>，</w:t>
      </w:r>
      <w:r>
        <w:rPr>
          <w:rFonts w:hint="eastAsia" w:ascii="Times New Roman" w:hAnsi="Times New Roman" w:eastAsia="方正仿宋_GBK"/>
          <w:sz w:val="32"/>
          <w:szCs w:val="32"/>
        </w:rPr>
        <w:t>加强</w:t>
      </w:r>
      <w:r>
        <w:rPr>
          <w:rFonts w:ascii="Times New Roman" w:hAnsi="Times New Roman" w:eastAsia="方正仿宋_GBK"/>
          <w:sz w:val="32"/>
          <w:szCs w:val="32"/>
        </w:rPr>
        <w:t>资金项目监管，</w:t>
      </w:r>
      <w:r>
        <w:rPr>
          <w:rFonts w:hint="eastAsia" w:ascii="Times New Roman" w:hAnsi="Times New Roman" w:eastAsia="方正仿宋_GBK"/>
          <w:sz w:val="32"/>
          <w:szCs w:val="32"/>
        </w:rPr>
        <w:t>落实监管责任</w:t>
      </w:r>
      <w:r>
        <w:rPr>
          <w:rFonts w:ascii="Times New Roman" w:hAnsi="Times New Roman" w:eastAsia="方正仿宋_GBK"/>
          <w:sz w:val="32"/>
          <w:szCs w:val="32"/>
        </w:rPr>
        <w:t>，</w:t>
      </w:r>
      <w:r>
        <w:rPr>
          <w:rFonts w:hint="eastAsia" w:ascii="Times New Roman" w:hAnsi="Times New Roman" w:eastAsia="方正仿宋_GBK"/>
          <w:sz w:val="32"/>
          <w:szCs w:val="32"/>
        </w:rPr>
        <w:t>早安排早动工</w:t>
      </w:r>
      <w:r>
        <w:rPr>
          <w:rFonts w:ascii="Times New Roman" w:hAnsi="Times New Roman" w:eastAsia="方正仿宋_GBK"/>
          <w:sz w:val="32"/>
          <w:szCs w:val="32"/>
        </w:rPr>
        <w:t>，</w:t>
      </w:r>
      <w:r>
        <w:rPr>
          <w:rFonts w:hint="eastAsia" w:ascii="Times New Roman" w:hAnsi="Times New Roman" w:eastAsia="方正仿宋_GBK"/>
          <w:sz w:val="32"/>
          <w:szCs w:val="32"/>
        </w:rPr>
        <w:t>不得</w:t>
      </w:r>
      <w:r>
        <w:rPr>
          <w:rFonts w:ascii="Times New Roman" w:hAnsi="Times New Roman" w:eastAsia="方正仿宋_GBK"/>
          <w:sz w:val="32"/>
          <w:szCs w:val="32"/>
        </w:rPr>
        <w:t>擅自停工和</w:t>
      </w:r>
      <w:r>
        <w:rPr>
          <w:rFonts w:hint="eastAsia" w:ascii="Times New Roman" w:hAnsi="Times New Roman" w:eastAsia="方正仿宋_GBK"/>
          <w:sz w:val="32"/>
          <w:szCs w:val="32"/>
        </w:rPr>
        <w:t>变更</w:t>
      </w:r>
      <w:r>
        <w:rPr>
          <w:rFonts w:ascii="Times New Roman" w:hAnsi="Times New Roman" w:eastAsia="方正仿宋_GBK"/>
          <w:sz w:val="32"/>
          <w:szCs w:val="32"/>
        </w:rPr>
        <w:t>项目建设内容</w:t>
      </w:r>
      <w:r>
        <w:rPr>
          <w:rFonts w:hint="eastAsia" w:ascii="Times New Roman" w:hAnsi="Times New Roman" w:eastAsia="方正仿宋_GBK"/>
          <w:sz w:val="32"/>
          <w:szCs w:val="32"/>
        </w:rPr>
        <w:t>，</w:t>
      </w:r>
      <w:r>
        <w:rPr>
          <w:rFonts w:ascii="Times New Roman" w:hAnsi="Times New Roman" w:eastAsia="方正仿宋_GBK"/>
          <w:sz w:val="32"/>
          <w:szCs w:val="32"/>
        </w:rPr>
        <w:t>科学</w:t>
      </w:r>
      <w:r>
        <w:rPr>
          <w:rFonts w:hint="eastAsia" w:ascii="Times New Roman" w:hAnsi="Times New Roman" w:eastAsia="方正仿宋_GBK"/>
          <w:sz w:val="32"/>
          <w:szCs w:val="32"/>
        </w:rPr>
        <w:t>组织</w:t>
      </w:r>
      <w:r>
        <w:rPr>
          <w:rFonts w:ascii="Times New Roman" w:hAnsi="Times New Roman" w:eastAsia="方正仿宋_GBK"/>
          <w:sz w:val="32"/>
          <w:szCs w:val="32"/>
        </w:rPr>
        <w:t>实施。</w:t>
      </w:r>
      <w:r>
        <w:rPr>
          <w:rFonts w:hint="eastAsia" w:ascii="Times New Roman" w:hAnsi="Times New Roman" w:eastAsia="方正楷体_GBK" w:cs="方正楷体_GBK"/>
          <w:sz w:val="32"/>
          <w:szCs w:val="32"/>
        </w:rPr>
        <w:t>二是</w:t>
      </w:r>
      <w:r>
        <w:rPr>
          <w:rFonts w:hint="eastAsia" w:ascii="Times New Roman" w:hAnsi="Times New Roman" w:eastAsia="方正仿宋_GBK"/>
          <w:sz w:val="32"/>
          <w:szCs w:val="32"/>
        </w:rPr>
        <w:t>做好项目全过程绩效监管。</w:t>
      </w:r>
      <w:r>
        <w:rPr>
          <w:rFonts w:ascii="Times New Roman" w:hAnsi="Times New Roman" w:eastAsia="方正仿宋_GBK"/>
          <w:sz w:val="32"/>
          <w:szCs w:val="32"/>
        </w:rPr>
        <w:t>产业项目应</w:t>
      </w:r>
      <w:r>
        <w:rPr>
          <w:rFonts w:hint="eastAsia" w:ascii="Times New Roman" w:hAnsi="Times New Roman" w:eastAsia="方正仿宋_GBK"/>
          <w:sz w:val="32"/>
          <w:szCs w:val="32"/>
        </w:rPr>
        <w:t>制定</w:t>
      </w:r>
      <w:r>
        <w:rPr>
          <w:rFonts w:ascii="Times New Roman" w:hAnsi="Times New Roman" w:eastAsia="方正仿宋_GBK"/>
          <w:sz w:val="32"/>
          <w:szCs w:val="32"/>
        </w:rPr>
        <w:t>分配方案，</w:t>
      </w:r>
      <w:r>
        <w:rPr>
          <w:rFonts w:hint="eastAsia" w:ascii="Times New Roman" w:hAnsi="Times New Roman" w:eastAsia="方正仿宋_GBK"/>
          <w:sz w:val="32"/>
          <w:szCs w:val="32"/>
        </w:rPr>
        <w:t>带动</w:t>
      </w:r>
      <w:r>
        <w:rPr>
          <w:rFonts w:ascii="Times New Roman" w:hAnsi="Times New Roman" w:eastAsia="方正仿宋_GBK"/>
          <w:sz w:val="32"/>
          <w:szCs w:val="32"/>
        </w:rPr>
        <w:t>监测对象、脱贫户</w:t>
      </w:r>
      <w:r>
        <w:rPr>
          <w:rFonts w:hint="eastAsia" w:ascii="Times New Roman" w:hAnsi="Times New Roman" w:eastAsia="方正仿宋_GBK"/>
          <w:sz w:val="32"/>
          <w:szCs w:val="32"/>
        </w:rPr>
        <w:t>以及</w:t>
      </w:r>
      <w:r>
        <w:rPr>
          <w:rFonts w:ascii="Times New Roman" w:hAnsi="Times New Roman" w:eastAsia="方正仿宋_GBK"/>
          <w:sz w:val="32"/>
          <w:szCs w:val="32"/>
        </w:rPr>
        <w:t>其他困难群体</w:t>
      </w:r>
      <w:r>
        <w:rPr>
          <w:rFonts w:hint="eastAsia" w:ascii="Times New Roman" w:hAnsi="Times New Roman" w:eastAsia="方正仿宋_GBK"/>
          <w:sz w:val="32"/>
          <w:szCs w:val="32"/>
        </w:rPr>
        <w:t>增收；</w:t>
      </w:r>
      <w:r>
        <w:rPr>
          <w:rFonts w:ascii="Times New Roman" w:hAnsi="Times New Roman" w:eastAsia="方正仿宋_GBK"/>
          <w:sz w:val="32"/>
          <w:szCs w:val="32"/>
        </w:rPr>
        <w:t>编制项目实施方案</w:t>
      </w:r>
      <w:r>
        <w:rPr>
          <w:rFonts w:hint="eastAsia" w:ascii="Times New Roman" w:hAnsi="Times New Roman" w:eastAsia="方正仿宋_GBK"/>
          <w:sz w:val="32"/>
          <w:szCs w:val="32"/>
        </w:rPr>
        <w:t>和</w:t>
      </w:r>
      <w:r>
        <w:rPr>
          <w:rFonts w:ascii="Times New Roman" w:hAnsi="Times New Roman" w:eastAsia="方正仿宋_GBK"/>
          <w:sz w:val="32"/>
          <w:szCs w:val="32"/>
        </w:rPr>
        <w:t>绩效目标申报表</w:t>
      </w:r>
      <w:r>
        <w:rPr>
          <w:rFonts w:hint="eastAsia" w:ascii="Times New Roman" w:hAnsi="Times New Roman" w:eastAsia="方正仿宋_GBK"/>
          <w:sz w:val="32"/>
          <w:szCs w:val="32"/>
        </w:rPr>
        <w:t>（附件3）</w:t>
      </w:r>
      <w:r>
        <w:rPr>
          <w:rFonts w:ascii="Times New Roman" w:hAnsi="Times New Roman" w:eastAsia="方正仿宋_GBK"/>
          <w:sz w:val="32"/>
          <w:szCs w:val="32"/>
        </w:rPr>
        <w:t>，</w:t>
      </w:r>
      <w:r>
        <w:rPr>
          <w:rFonts w:hint="eastAsia" w:ascii="Times New Roman" w:hAnsi="Times New Roman" w:eastAsia="方正仿宋_GBK"/>
          <w:sz w:val="32"/>
          <w:szCs w:val="32"/>
        </w:rPr>
        <w:t>并于2023年1月6日</w:t>
      </w:r>
      <w:r>
        <w:rPr>
          <w:rFonts w:ascii="Times New Roman" w:hAnsi="Times New Roman" w:eastAsia="方正仿宋_GBK"/>
          <w:sz w:val="32"/>
          <w:szCs w:val="32"/>
        </w:rPr>
        <w:t>前交到区乡村振兴局</w:t>
      </w:r>
      <w:r>
        <w:rPr>
          <w:rFonts w:hint="eastAsia" w:ascii="Times New Roman" w:hAnsi="Times New Roman" w:eastAsia="方正仿宋_GBK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楷体_GBK" w:cs="方正楷体_GBK"/>
          <w:sz w:val="32"/>
          <w:szCs w:val="32"/>
        </w:rPr>
        <w:t>（二）确保项目进度和质量。</w:t>
      </w:r>
      <w:r>
        <w:rPr>
          <w:rFonts w:ascii="Times New Roman" w:hAnsi="Times New Roman" w:eastAsia="方正仿宋_GBK"/>
          <w:sz w:val="32"/>
          <w:szCs w:val="32"/>
        </w:rPr>
        <w:t>要加强主体责任和监管责任，加快项目施工，倒排项目建设工期</w:t>
      </w:r>
      <w:r>
        <w:rPr>
          <w:rFonts w:hint="eastAsia" w:ascii="Times New Roman" w:hAnsi="Times New Roman" w:eastAsia="方正仿宋_GBK"/>
          <w:sz w:val="32"/>
          <w:szCs w:val="32"/>
        </w:rPr>
        <w:t>，做到早安排、早部署、早动手，科学合理组织实施，不得擅自停工停产，不得擅自变更项目建设内容，按照方案时间节点保证项目如期完工。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楷体_GBK" w:cs="方正楷体_GBK"/>
          <w:sz w:val="32"/>
          <w:szCs w:val="32"/>
        </w:rPr>
        <w:t>（三）做好资金项目公告公示。</w:t>
      </w:r>
      <w:r>
        <w:rPr>
          <w:rFonts w:ascii="Times New Roman" w:hAnsi="Times New Roman" w:eastAsia="方正仿宋_GBK"/>
          <w:sz w:val="32"/>
          <w:szCs w:val="32"/>
        </w:rPr>
        <w:t>牢固树立财政</w:t>
      </w:r>
      <w:r>
        <w:rPr>
          <w:rFonts w:hint="eastAsia" w:ascii="Times New Roman" w:hAnsi="Times New Roman" w:eastAsia="方正仿宋_GBK"/>
          <w:sz w:val="32"/>
          <w:szCs w:val="32"/>
        </w:rPr>
        <w:t>衔接</w:t>
      </w:r>
      <w:r>
        <w:rPr>
          <w:rFonts w:ascii="Times New Roman" w:hAnsi="Times New Roman" w:eastAsia="方正仿宋_GBK"/>
          <w:sz w:val="32"/>
          <w:szCs w:val="32"/>
        </w:rPr>
        <w:t>资金“高压线”的意识，严禁挪作他用，并严格按照区级报账制流程，进行报账。资金项目应严格按照《关于加强财政衔接推进乡村振兴补助资金项目公告公示的通知》(渝委农办〔2021〕31号)，做好镇村两级年度资金项目计划和完成情况、项目实施过程等公示。</w:t>
      </w:r>
    </w:p>
    <w:p>
      <w:pPr>
        <w:pStyle w:val="17"/>
        <w:spacing w:line="560" w:lineRule="exact"/>
      </w:pPr>
    </w:p>
    <w:p>
      <w:pPr>
        <w:pStyle w:val="2"/>
        <w:rPr>
          <w:rFonts w:ascii="Times New Roman" w:hAnsi="Times New Roman"/>
        </w:rPr>
      </w:pPr>
    </w:p>
    <w:p>
      <w:pPr>
        <w:pStyle w:val="18"/>
        <w:spacing w:before="0" w:after="0" w:line="560" w:lineRule="exact"/>
        <w:ind w:left="2030" w:leftChars="300" w:hanging="1400" w:hangingChars="500"/>
        <w:rPr>
          <w:rFonts w:eastAsia="方正仿宋_GBK"/>
          <w:spacing w:val="-20"/>
          <w:sz w:val="32"/>
          <w:szCs w:val="32"/>
          <w:lang w:eastAsia="zh-CN"/>
        </w:rPr>
      </w:pPr>
      <w:r>
        <w:rPr>
          <w:rFonts w:hint="eastAsia" w:eastAsia="方正仿宋_GBK"/>
          <w:spacing w:val="-20"/>
          <w:sz w:val="32"/>
          <w:szCs w:val="32"/>
          <w:lang w:eastAsia="zh-CN"/>
        </w:rPr>
        <w:t>附件：1.渝北区2023年到户到人项目实施方案</w:t>
      </w:r>
    </w:p>
    <w:p>
      <w:pPr>
        <w:pStyle w:val="18"/>
        <w:numPr>
          <w:ilvl w:val="0"/>
          <w:numId w:val="3"/>
        </w:numPr>
        <w:spacing w:before="0" w:after="0" w:line="560" w:lineRule="exact"/>
        <w:ind w:left="1916" w:leftChars="760" w:hanging="320" w:hangingChars="100"/>
        <w:rPr>
          <w:rFonts w:eastAsia="方正仿宋_GBK"/>
          <w:sz w:val="32"/>
          <w:szCs w:val="32"/>
          <w:lang w:eastAsia="zh-CN"/>
        </w:rPr>
      </w:pPr>
      <w:r>
        <w:rPr>
          <w:rFonts w:hint="eastAsia" w:eastAsia="方正仿宋_GBK"/>
          <w:sz w:val="32"/>
          <w:szCs w:val="32"/>
          <w:lang w:eastAsia="zh-CN"/>
        </w:rPr>
        <w:t>《渝北区农业项目及资金管理办法（暂行）》（渝北农发〔2020〕41号）</w:t>
      </w:r>
    </w:p>
    <w:p>
      <w:pPr>
        <w:pStyle w:val="18"/>
        <w:numPr>
          <w:ilvl w:val="0"/>
          <w:numId w:val="3"/>
        </w:numPr>
        <w:spacing w:before="0" w:after="0" w:line="560" w:lineRule="exact"/>
        <w:ind w:left="1916" w:leftChars="760" w:hanging="320" w:hangingChars="100"/>
        <w:rPr>
          <w:rFonts w:eastAsia="方正仿宋_GBK"/>
          <w:sz w:val="32"/>
          <w:szCs w:val="32"/>
          <w:lang w:eastAsia="zh-CN"/>
        </w:rPr>
      </w:pPr>
      <w:r>
        <w:rPr>
          <w:rFonts w:hint="eastAsia" w:eastAsia="方正仿宋_GBK"/>
          <w:sz w:val="32"/>
          <w:szCs w:val="32"/>
          <w:lang w:eastAsia="zh-CN"/>
        </w:rPr>
        <w:t>项目实施方案（格式）</w:t>
      </w:r>
    </w:p>
    <w:p>
      <w:pPr>
        <w:pStyle w:val="18"/>
        <w:spacing w:before="0" w:after="0" w:line="560" w:lineRule="exact"/>
        <w:ind w:firstLine="1540" w:firstLineChars="550"/>
        <w:rPr>
          <w:rFonts w:eastAsia="方正仿宋_GBK"/>
          <w:sz w:val="32"/>
          <w:szCs w:val="32"/>
          <w:lang w:eastAsia="zh-CN"/>
        </w:rPr>
      </w:pPr>
      <w:r>
        <w:rPr>
          <w:rFonts w:hint="eastAsia" w:eastAsia="方正仿宋_GBK"/>
          <w:spacing w:val="-20"/>
          <w:sz w:val="32"/>
          <w:szCs w:val="32"/>
          <w:lang w:eastAsia="zh-CN"/>
        </w:rPr>
        <w:t>4</w:t>
      </w:r>
      <w:r>
        <w:rPr>
          <w:rFonts w:eastAsia="方正仿宋_GBK"/>
          <w:spacing w:val="-20"/>
          <w:sz w:val="32"/>
          <w:szCs w:val="32"/>
          <w:lang w:eastAsia="zh-CN"/>
        </w:rPr>
        <w:t>.</w:t>
      </w:r>
      <w:r>
        <w:rPr>
          <w:rFonts w:hint="eastAsia" w:eastAsia="方正仿宋_GBK"/>
          <w:spacing w:val="-20"/>
          <w:sz w:val="32"/>
          <w:szCs w:val="32"/>
          <w:lang w:eastAsia="zh-CN"/>
        </w:rPr>
        <w:t xml:space="preserve"> 渝北区</w:t>
      </w:r>
      <w:r>
        <w:rPr>
          <w:rFonts w:hint="eastAsia" w:eastAsia="方正仿宋_GBK"/>
          <w:sz w:val="32"/>
          <w:szCs w:val="32"/>
          <w:lang w:eastAsia="zh-CN"/>
        </w:rPr>
        <w:t>2023年度第一批衔接资金项目建设任务表</w:t>
      </w:r>
    </w:p>
    <w:p>
      <w:pPr>
        <w:pStyle w:val="17"/>
        <w:spacing w:line="560" w:lineRule="exact"/>
      </w:pPr>
    </w:p>
    <w:p>
      <w:pPr>
        <w:pStyle w:val="17"/>
        <w:spacing w:line="560" w:lineRule="exact"/>
      </w:pPr>
    </w:p>
    <w:p>
      <w:pPr>
        <w:pStyle w:val="17"/>
        <w:spacing w:line="560" w:lineRule="exact"/>
      </w:pPr>
    </w:p>
    <w:p>
      <w:pPr>
        <w:pStyle w:val="17"/>
        <w:spacing w:line="560" w:lineRule="exact"/>
      </w:pPr>
      <w:r>
        <w:rPr>
          <w:rFonts w:hint="eastAsia" w:ascii="宋体" w:hAnsi="宋体" w:eastAsia="宋体" w:cs="宋体"/>
        </w:rPr>
        <w:t>重庆</w:t>
      </w:r>
      <w:r>
        <w:rPr>
          <w:rFonts w:hint="eastAsia" w:ascii="___WRD_EMBED_SUB_41" w:hAnsi="___WRD_EMBED_SUB_41" w:eastAsia="___WRD_EMBED_SUB_41" w:cs="___WRD_EMBED_SUB_41"/>
        </w:rPr>
        <w:t>市</w:t>
      </w:r>
      <w:r>
        <w:rPr>
          <w:rFonts w:hint="eastAsia"/>
        </w:rPr>
        <w:t>渝北区</w:t>
      </w:r>
      <w:r>
        <w:t xml:space="preserve">乡村振兴局  </w:t>
      </w:r>
      <w:r>
        <w:rPr>
          <w:rFonts w:hint="eastAsia"/>
        </w:rPr>
        <w:t xml:space="preserve">       </w:t>
      </w:r>
      <w:r>
        <w:rPr>
          <w:rFonts w:hint="eastAsia" w:ascii="宋体" w:hAnsi="宋体" w:eastAsia="宋体" w:cs="宋体"/>
        </w:rPr>
        <w:t>重庆</w:t>
      </w:r>
      <w:r>
        <w:rPr>
          <w:rFonts w:hint="eastAsia" w:ascii="___WRD_EMBED_SUB_41" w:hAnsi="___WRD_EMBED_SUB_41" w:eastAsia="___WRD_EMBED_SUB_41" w:cs="___WRD_EMBED_SUB_41"/>
        </w:rPr>
        <w:t>市</w:t>
      </w:r>
      <w:r>
        <w:rPr>
          <w:rFonts w:hint="eastAsia"/>
        </w:rPr>
        <w:t>渝北区</w:t>
      </w:r>
      <w:r>
        <w:t xml:space="preserve">财政局 </w:t>
      </w:r>
    </w:p>
    <w:p>
      <w:pPr>
        <w:pStyle w:val="17"/>
        <w:spacing w:line="560" w:lineRule="exact"/>
      </w:pPr>
    </w:p>
    <w:p>
      <w:pPr>
        <w:overflowPunct w:val="0"/>
        <w:spacing w:line="560" w:lineRule="exact"/>
        <w:ind w:firstLine="5760" w:firstLineChars="18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 xml:space="preserve"> 202</w:t>
      </w:r>
      <w:r>
        <w:rPr>
          <w:rFonts w:hint="eastAsia" w:ascii="Times New Roman" w:hAnsi="Times New Roman" w:eastAsia="方正仿宋_GBK"/>
          <w:sz w:val="32"/>
          <w:szCs w:val="32"/>
        </w:rPr>
        <w:t>2</w:t>
      </w:r>
      <w:r>
        <w:rPr>
          <w:rFonts w:ascii="Times New Roman" w:hAnsi="Times New Roman" w:eastAsia="方正仿宋_GBK"/>
          <w:sz w:val="32"/>
          <w:szCs w:val="32"/>
        </w:rPr>
        <w:t>年</w:t>
      </w:r>
      <w:r>
        <w:rPr>
          <w:rFonts w:hint="eastAsia" w:ascii="Times New Roman" w:hAnsi="Times New Roman" w:eastAsia="方正仿宋_GBK"/>
          <w:sz w:val="32"/>
          <w:szCs w:val="32"/>
        </w:rPr>
        <w:t>12</w:t>
      </w:r>
      <w:r>
        <w:rPr>
          <w:rFonts w:ascii="Times New Roman" w:hAnsi="Times New Roman" w:eastAsia="方正仿宋_GBK"/>
          <w:sz w:val="32"/>
          <w:szCs w:val="32"/>
        </w:rPr>
        <w:t>月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27</w:t>
      </w:r>
      <w:r>
        <w:rPr>
          <w:rFonts w:ascii="Times New Roman" w:hAnsi="Times New Roman" w:eastAsia="方正仿宋_GBK"/>
          <w:sz w:val="32"/>
          <w:szCs w:val="32"/>
        </w:rPr>
        <w:t>日</w:t>
      </w:r>
    </w:p>
    <w:p>
      <w:pPr>
        <w:pStyle w:val="3"/>
        <w:ind w:left="0" w:leftChars="0"/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2"/>
        <w:rPr>
          <w:rFonts w:ascii="Times New Roman" w:hAnsi="Times New Roman"/>
        </w:rPr>
      </w:pPr>
    </w:p>
    <w:p>
      <w:pPr>
        <w:pStyle w:val="3"/>
        <w:ind w:left="2940"/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2"/>
        <w:rPr>
          <w:rFonts w:ascii="Times New Roman" w:hAnsi="Times New Roman"/>
        </w:rPr>
      </w:pPr>
    </w:p>
    <w:p>
      <w:pPr>
        <w:pStyle w:val="3"/>
        <w:ind w:left="2940"/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2"/>
        <w:rPr>
          <w:rFonts w:ascii="Times New Roman" w:hAnsi="Times New Roman"/>
        </w:rPr>
      </w:pPr>
    </w:p>
    <w:p>
      <w:pPr>
        <w:pStyle w:val="3"/>
        <w:ind w:left="2940"/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2"/>
        <w:rPr>
          <w:rFonts w:ascii="Times New Roman" w:hAnsi="Times New Roman"/>
        </w:rPr>
      </w:pPr>
    </w:p>
    <w:sectPr>
      <w:footerReference r:id="rId3" w:type="default"/>
      <w:footerReference r:id="rId4" w:type="even"/>
      <w:pgSz w:w="11906" w:h="16838"/>
      <w:pgMar w:top="2098" w:right="1474" w:bottom="1985" w:left="1588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26B36F6-04F5-4C41-8A80-38A9306928A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D317DE9-B463-48E6-B178-AA821652565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FA177E5-F844-45E6-A5A5-FBF9FC8CAEC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E7FF4EF-334D-45EA-9397-372D4948F6E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5B7B643-85BC-40AF-A1EF-CB63331C6CCD}"/>
  </w:font>
  <w:font w:name="方正黑体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6" w:fontKey="{B4E910B4-C430-44DB-9B99-9DC009179421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2628C920-487C-4147-804B-3BF84A34A627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29E28B4A-4A22-465E-91C8-BA62274BC28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2B08274A-21A1-4815-8489-93ED478F93E6}"/>
  </w:font>
  <w:font w:name="方正楷体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10" w:fontKey="{086AB64D-E482-4D81-9617-59FBB29DC29D}"/>
  </w:font>
  <w:font w:name="___WRD_EMBED_SUB_41">
    <w:altName w:val="宋体"/>
    <w:panose1 w:val="00000000000000000000"/>
    <w:charset w:val="86"/>
    <w:family w:val="script"/>
    <w:pitch w:val="default"/>
    <w:sig w:usb0="00000000" w:usb1="00000000" w:usb2="00000000" w:usb3="00000000" w:csb0="00040000" w:csb1="00000000"/>
    <w:embedRegular r:id="rId11" w:fontKey="{93E29E06-914A-4EBD-826F-CBC0D55AB1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ascii="宋体" w:hAnsi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jc w:val="right"/>
                          </w:pP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  <w:lang w:val="zh-CN"/>
                            </w:rPr>
                            <w:t>-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t xml:space="preserve"> 1 -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pO5poOAgAABw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2B0lmims6PL1y+Xbj8v3z2Qa6WmtXyBrZ5EXutemi6mD38MZp+4q&#10;p+IX8xDEQfT5Sq7oAuHx0nw2n+cIccTGH+BkT9et8+GNMIpEo6AO20ukstPWhz51TInVtNk0UsLP&#10;FlKTtqA3L1/l6cI1AnCpUSMO0TcbrdDtu2GCvSnPGMyZXhne8k2D4lvmwyNzkAIahrzDA45KGhQx&#10;g0VJbdynv/ljPjaEKCUtpFVQDe1TIt9qbC6qcDTcaOxHQx/VnYFWsQ30kkxccEGOZuWM+gjNr2MN&#10;hJjmqFTQMJp3oZc33gwX63VKgtYsC1u9szxCR8a8XR8DCEy8RlJ6JgauoLa0meFlRDn/+p+ynt7v&#10;6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+k7mmg4CAAAHBAAADgAAAAAAAAABACAAAAAf&#10;AQAAZHJzL2Uyb0RvYy54bWxQSwUGAAAAAAYABgBZAQAAn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jc w:val="right"/>
                    </w:pP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instrText xml:space="preserve">PAGE   \* MERGEFORMAT</w:instrTex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28"/>
                        <w:szCs w:val="28"/>
                        <w:lang w:val="zh-CN"/>
                      </w:rPr>
                      <w:t>-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t xml:space="preserve"> 1 -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-</w:t>
    </w:r>
    <w:r>
      <w:rPr>
        <w:rFonts w:ascii="宋体" w:hAnsi="宋体"/>
        <w:sz w:val="28"/>
        <w:szCs w:val="28"/>
      </w:rPr>
      <w:t xml:space="preserve"> 2 -</w:t>
    </w:r>
    <w:r>
      <w:rPr>
        <w:rFonts w:ascii="宋体" w:hAnsi="宋体"/>
        <w:sz w:val="28"/>
        <w:szCs w:val="28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A8F0455"/>
    <w:multiLevelType w:val="singleLevel"/>
    <w:tmpl w:val="DA8F0455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9127EDC"/>
    <w:multiLevelType w:val="singleLevel"/>
    <w:tmpl w:val="29127EDC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4B0BF12E"/>
    <w:multiLevelType w:val="singleLevel"/>
    <w:tmpl w:val="4B0BF12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xNmEyOGZiNDc0MzBhYWZjZjE2ZmJmYjc5YzZhYzUifQ=="/>
  </w:docVars>
  <w:rsids>
    <w:rsidRoot w:val="3A0731B0"/>
    <w:rsid w:val="00080298"/>
    <w:rsid w:val="0008462D"/>
    <w:rsid w:val="000D2878"/>
    <w:rsid w:val="00101E75"/>
    <w:rsid w:val="00164F10"/>
    <w:rsid w:val="001839E0"/>
    <w:rsid w:val="0018466C"/>
    <w:rsid w:val="001C2A3C"/>
    <w:rsid w:val="001C5802"/>
    <w:rsid w:val="00287125"/>
    <w:rsid w:val="002C755A"/>
    <w:rsid w:val="002E1393"/>
    <w:rsid w:val="002F1392"/>
    <w:rsid w:val="00311CE7"/>
    <w:rsid w:val="003319C7"/>
    <w:rsid w:val="003533CB"/>
    <w:rsid w:val="00354E32"/>
    <w:rsid w:val="003B0833"/>
    <w:rsid w:val="003B6FB0"/>
    <w:rsid w:val="00437F83"/>
    <w:rsid w:val="00485517"/>
    <w:rsid w:val="0054037B"/>
    <w:rsid w:val="00586A73"/>
    <w:rsid w:val="005A3AB1"/>
    <w:rsid w:val="005B0D2D"/>
    <w:rsid w:val="005C5399"/>
    <w:rsid w:val="005D5EB9"/>
    <w:rsid w:val="005E3DAE"/>
    <w:rsid w:val="00646C60"/>
    <w:rsid w:val="006D0881"/>
    <w:rsid w:val="006D5392"/>
    <w:rsid w:val="00701B3F"/>
    <w:rsid w:val="00727BFF"/>
    <w:rsid w:val="007A5F15"/>
    <w:rsid w:val="007D520E"/>
    <w:rsid w:val="00826641"/>
    <w:rsid w:val="008B3417"/>
    <w:rsid w:val="008C37D2"/>
    <w:rsid w:val="008E5A94"/>
    <w:rsid w:val="00954932"/>
    <w:rsid w:val="00983A53"/>
    <w:rsid w:val="00A040E5"/>
    <w:rsid w:val="00AB1EFF"/>
    <w:rsid w:val="00AD29E1"/>
    <w:rsid w:val="00B0410B"/>
    <w:rsid w:val="00B14F8B"/>
    <w:rsid w:val="00B65710"/>
    <w:rsid w:val="00BA36BF"/>
    <w:rsid w:val="00BB5A49"/>
    <w:rsid w:val="00C22EC9"/>
    <w:rsid w:val="00C325C3"/>
    <w:rsid w:val="00C62DA8"/>
    <w:rsid w:val="00C65E20"/>
    <w:rsid w:val="00C71083"/>
    <w:rsid w:val="00C71513"/>
    <w:rsid w:val="00C722D7"/>
    <w:rsid w:val="00C773DC"/>
    <w:rsid w:val="00CE476D"/>
    <w:rsid w:val="00D31A6A"/>
    <w:rsid w:val="00D8501A"/>
    <w:rsid w:val="00D9673E"/>
    <w:rsid w:val="00DA4443"/>
    <w:rsid w:val="00DC70D2"/>
    <w:rsid w:val="00E520F3"/>
    <w:rsid w:val="00E67595"/>
    <w:rsid w:val="00E82AE3"/>
    <w:rsid w:val="00EB0296"/>
    <w:rsid w:val="00EC3D17"/>
    <w:rsid w:val="00ED68E8"/>
    <w:rsid w:val="00F02DA1"/>
    <w:rsid w:val="00F1557E"/>
    <w:rsid w:val="00FA53F6"/>
    <w:rsid w:val="00FB06C5"/>
    <w:rsid w:val="00FC6FFA"/>
    <w:rsid w:val="00FE662E"/>
    <w:rsid w:val="00FE66D8"/>
    <w:rsid w:val="00FF428D"/>
    <w:rsid w:val="0159126E"/>
    <w:rsid w:val="016110B2"/>
    <w:rsid w:val="02897931"/>
    <w:rsid w:val="036E328E"/>
    <w:rsid w:val="03FA2051"/>
    <w:rsid w:val="04FA4824"/>
    <w:rsid w:val="05A221EF"/>
    <w:rsid w:val="0600615C"/>
    <w:rsid w:val="06135229"/>
    <w:rsid w:val="06EA1F7B"/>
    <w:rsid w:val="07117EF5"/>
    <w:rsid w:val="0856729F"/>
    <w:rsid w:val="08BA2A19"/>
    <w:rsid w:val="0A243C99"/>
    <w:rsid w:val="0C434B68"/>
    <w:rsid w:val="0C8357D3"/>
    <w:rsid w:val="0CDE72E7"/>
    <w:rsid w:val="0D0D519F"/>
    <w:rsid w:val="0D282DCF"/>
    <w:rsid w:val="0F7644A8"/>
    <w:rsid w:val="12A90552"/>
    <w:rsid w:val="13F65013"/>
    <w:rsid w:val="154A2E62"/>
    <w:rsid w:val="16185F2A"/>
    <w:rsid w:val="16775464"/>
    <w:rsid w:val="168241D2"/>
    <w:rsid w:val="168A1C6D"/>
    <w:rsid w:val="173F7ECF"/>
    <w:rsid w:val="1BFC50E1"/>
    <w:rsid w:val="1D596426"/>
    <w:rsid w:val="1DF47922"/>
    <w:rsid w:val="20BA16B0"/>
    <w:rsid w:val="211E6D76"/>
    <w:rsid w:val="226225B1"/>
    <w:rsid w:val="24EA4C18"/>
    <w:rsid w:val="26FB07D5"/>
    <w:rsid w:val="28680B8D"/>
    <w:rsid w:val="288B5C70"/>
    <w:rsid w:val="2E682204"/>
    <w:rsid w:val="2EBC2749"/>
    <w:rsid w:val="2EDA4EED"/>
    <w:rsid w:val="315F6649"/>
    <w:rsid w:val="31A97CD4"/>
    <w:rsid w:val="32D04D88"/>
    <w:rsid w:val="32DF0C47"/>
    <w:rsid w:val="336D7B14"/>
    <w:rsid w:val="34664DED"/>
    <w:rsid w:val="35934D03"/>
    <w:rsid w:val="36B542DF"/>
    <w:rsid w:val="39E20626"/>
    <w:rsid w:val="39EB3198"/>
    <w:rsid w:val="39EC42A2"/>
    <w:rsid w:val="3A0731B0"/>
    <w:rsid w:val="3A2C384F"/>
    <w:rsid w:val="3A99307B"/>
    <w:rsid w:val="3AB00BEC"/>
    <w:rsid w:val="3ACE13D0"/>
    <w:rsid w:val="3C003C3E"/>
    <w:rsid w:val="3D21765D"/>
    <w:rsid w:val="3E72152F"/>
    <w:rsid w:val="3EF04A2D"/>
    <w:rsid w:val="3F9F3D14"/>
    <w:rsid w:val="3FB55835"/>
    <w:rsid w:val="447241EC"/>
    <w:rsid w:val="45251E72"/>
    <w:rsid w:val="45C87020"/>
    <w:rsid w:val="469814BD"/>
    <w:rsid w:val="481C6D32"/>
    <w:rsid w:val="483570C0"/>
    <w:rsid w:val="48694C46"/>
    <w:rsid w:val="4A192B55"/>
    <w:rsid w:val="4B2D6177"/>
    <w:rsid w:val="4D9C5834"/>
    <w:rsid w:val="4F0D1728"/>
    <w:rsid w:val="4F773A21"/>
    <w:rsid w:val="502838B2"/>
    <w:rsid w:val="50691503"/>
    <w:rsid w:val="50C2085F"/>
    <w:rsid w:val="53495B9C"/>
    <w:rsid w:val="538D403E"/>
    <w:rsid w:val="539D5528"/>
    <w:rsid w:val="55012924"/>
    <w:rsid w:val="554775A5"/>
    <w:rsid w:val="55AB6322"/>
    <w:rsid w:val="578A6CD9"/>
    <w:rsid w:val="58741435"/>
    <w:rsid w:val="5A437BF3"/>
    <w:rsid w:val="5C693FF0"/>
    <w:rsid w:val="5E5D4F0E"/>
    <w:rsid w:val="5E631301"/>
    <w:rsid w:val="5F26277E"/>
    <w:rsid w:val="609F06BE"/>
    <w:rsid w:val="618B3A99"/>
    <w:rsid w:val="62334E87"/>
    <w:rsid w:val="63A85F74"/>
    <w:rsid w:val="64800D38"/>
    <w:rsid w:val="64F67403"/>
    <w:rsid w:val="660D7827"/>
    <w:rsid w:val="66A86E8B"/>
    <w:rsid w:val="684946C9"/>
    <w:rsid w:val="6E6A4AE2"/>
    <w:rsid w:val="6F15780F"/>
    <w:rsid w:val="6F796F38"/>
    <w:rsid w:val="70215954"/>
    <w:rsid w:val="73F86908"/>
    <w:rsid w:val="75117326"/>
    <w:rsid w:val="751F7ECA"/>
    <w:rsid w:val="772B452C"/>
    <w:rsid w:val="77AF0B10"/>
    <w:rsid w:val="78602ED7"/>
    <w:rsid w:val="78745037"/>
    <w:rsid w:val="78C46402"/>
    <w:rsid w:val="796A6BC2"/>
    <w:rsid w:val="7A4555A2"/>
    <w:rsid w:val="7A8138CF"/>
    <w:rsid w:val="7BDD2DA9"/>
    <w:rsid w:val="7E30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iPriority="99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3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index 8"/>
    <w:basedOn w:val="1"/>
    <w:next w:val="1"/>
    <w:unhideWhenUsed/>
    <w:qFormat/>
    <w:uiPriority w:val="99"/>
    <w:pPr>
      <w:ind w:left="1400" w:leftChars="1400"/>
    </w:pPr>
  </w:style>
  <w:style w:type="paragraph" w:styleId="4">
    <w:name w:val="toc 5"/>
    <w:basedOn w:val="1"/>
    <w:next w:val="1"/>
    <w:qFormat/>
    <w:uiPriority w:val="0"/>
    <w:pPr>
      <w:spacing w:line="600" w:lineRule="exact"/>
      <w:ind w:firstLine="200" w:firstLineChars="200"/>
      <w:jc w:val="left"/>
    </w:pPr>
    <w:rPr>
      <w:rFonts w:ascii="方正黑体_GBK" w:eastAsia="方正黑体_GBK"/>
      <w:szCs w:val="32"/>
    </w:rPr>
  </w:style>
  <w:style w:type="paragraph" w:styleId="5">
    <w:name w:val="Balloon Text"/>
    <w:basedOn w:val="1"/>
    <w:link w:val="15"/>
    <w:qFormat/>
    <w:uiPriority w:val="0"/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qFormat/>
    <w:uiPriority w:val="0"/>
    <w:pPr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</w:rPr>
  </w:style>
  <w:style w:type="character" w:customStyle="1" w:styleId="12">
    <w:name w:val="页眉 字符"/>
    <w:basedOn w:val="10"/>
    <w:link w:val="6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paragraph" w:customStyle="1" w:styleId="13">
    <w:name w:val="BodyText"/>
    <w:basedOn w:val="1"/>
    <w:qFormat/>
    <w:uiPriority w:val="99"/>
    <w:rPr>
      <w:rFonts w:cs="Calibri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15">
    <w:name w:val="批注框文本 字符"/>
    <w:basedOn w:val="10"/>
    <w:link w:val="5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6">
    <w:name w:val="NormalCharacter"/>
    <w:qFormat/>
    <w:uiPriority w:val="0"/>
    <w:rPr>
      <w:rFonts w:ascii="Times New Roman" w:hAnsi="Times New Roman" w:eastAsia="宋体"/>
    </w:rPr>
  </w:style>
  <w:style w:type="paragraph" w:customStyle="1" w:styleId="17">
    <w:name w:val="常用样式"/>
    <w:basedOn w:val="1"/>
    <w:qFormat/>
    <w:uiPriority w:val="0"/>
    <w:pPr>
      <w:spacing w:line="594" w:lineRule="exact"/>
      <w:ind w:firstLine="640" w:firstLineChars="200"/>
    </w:pPr>
    <w:rPr>
      <w:rFonts w:ascii="Times New Roman" w:hAnsi="Times New Roman" w:eastAsia="方正仿宋_GBK"/>
      <w:sz w:val="32"/>
      <w:szCs w:val="32"/>
    </w:rPr>
  </w:style>
  <w:style w:type="paragraph" w:customStyle="1" w:styleId="18">
    <w:name w:val="Normal_0"/>
    <w:qFormat/>
    <w:uiPriority w:val="0"/>
    <w:pPr>
      <w:spacing w:before="120" w:after="240"/>
      <w:jc w:val="both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2391</Words>
  <Characters>2758</Characters>
  <Lines>20</Lines>
  <Paragraphs>5</Paragraphs>
  <TotalTime>23</TotalTime>
  <ScaleCrop>false</ScaleCrop>
  <LinksUpToDate>false</LinksUpToDate>
  <CharactersWithSpaces>2776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2021-12-07T03:14:00Z</dcterms:created>
  <dc:creator>HP</dc:creator>
  <cp:lastModifiedBy>大盛镇</cp:lastModifiedBy>
  <cp:lastPrinted>2021-12-07T03:14:00Z</cp:lastPrinted>
  <dcterms:modified xsi:type="dcterms:W3CDTF">2023-11-02T03:58:29Z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  <property fmtid="{D5CDD505-2E9C-101B-9397-08002B2CF9AE}" pid="3" name="ICV">
    <vt:lpwstr>F6C4F9C9D54948679267F5B6A998EB65</vt:lpwstr>
  </property>
  <property fmtid="{D5CDD505-2E9C-101B-9397-08002B2CF9AE}" pid="4" name="KSOSaveFontToCloudKey">
    <vt:lpwstr>427869757_embed</vt:lpwstr>
  </property>
</Properties>
</file>