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0F2F" w:rsidRDefault="00E50F2F">
      <w:pPr>
        <w:spacing w:line="600" w:lineRule="exact"/>
        <w:rPr>
          <w:rFonts w:ascii="华文中宋" w:eastAsia="华文中宋" w:hAnsi="华文中宋" w:cs="华文中宋"/>
          <w:sz w:val="44"/>
          <w:szCs w:val="44"/>
        </w:rPr>
      </w:pPr>
      <w:bookmarkStart w:id="0" w:name="_GoBack"/>
    </w:p>
    <w:p w:rsidR="00E50F2F" w:rsidRDefault="00E50F2F">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重庆市</w:t>
      </w:r>
      <w:proofErr w:type="gramStart"/>
      <w:r>
        <w:rPr>
          <w:rFonts w:ascii="华文中宋" w:eastAsia="华文中宋" w:hAnsi="华文中宋" w:cs="华文中宋" w:hint="eastAsia"/>
          <w:sz w:val="44"/>
          <w:szCs w:val="44"/>
        </w:rPr>
        <w:t>渝</w:t>
      </w:r>
      <w:proofErr w:type="gramEnd"/>
      <w:r>
        <w:rPr>
          <w:rFonts w:ascii="华文中宋" w:eastAsia="华文中宋" w:hAnsi="华文中宋" w:cs="华文中宋" w:hint="eastAsia"/>
          <w:sz w:val="44"/>
          <w:szCs w:val="44"/>
        </w:rPr>
        <w:t>北区大盛镇村建服务中心2023年部门预算情况说明</w:t>
      </w:r>
    </w:p>
    <w:p w:rsidR="00E50F2F" w:rsidRDefault="00E50F2F">
      <w:pPr>
        <w:spacing w:line="600" w:lineRule="exact"/>
        <w:ind w:firstLineChars="200" w:firstLine="880"/>
        <w:jc w:val="center"/>
        <w:rPr>
          <w:rFonts w:ascii="华文中宋" w:eastAsia="华文中宋" w:hAnsi="华文中宋" w:cs="华文中宋"/>
          <w:sz w:val="44"/>
          <w:szCs w:val="44"/>
        </w:rPr>
      </w:pPr>
    </w:p>
    <w:p w:rsidR="00E50F2F" w:rsidRDefault="00E50F2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E50F2F" w:rsidRDefault="00E50F2F">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E50F2F" w:rsidRDefault="00E50F2F" w:rsidP="00D50DC4">
      <w:pPr>
        <w:pStyle w:val="a6"/>
        <w:tabs>
          <w:tab w:val="center" w:pos="4153"/>
          <w:tab w:val="left" w:pos="7275"/>
        </w:tabs>
        <w:spacing w:line="600" w:lineRule="exact"/>
        <w:ind w:firstLine="640"/>
        <w:jc w:val="left"/>
        <w:rPr>
          <w:rFonts w:ascii="仿宋_GB2312" w:eastAsia="仿宋_GB2312" w:hAnsi="仿宋_GB2312" w:cs="仿宋_GB2312"/>
          <w:sz w:val="32"/>
          <w:highlight w:val="yellow"/>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北区大盛镇村建服务中心主要承担违法建筑整治、人居环境综合整治、危旧房改造、农村公路建设和管护、污染防治等事务性工作。</w:t>
      </w:r>
    </w:p>
    <w:p w:rsidR="00E50F2F" w:rsidRDefault="00E50F2F">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E50F2F" w:rsidRDefault="00E50F2F" w:rsidP="00D50DC4">
      <w:pPr>
        <w:pStyle w:val="a6"/>
        <w:tabs>
          <w:tab w:val="center" w:pos="4153"/>
          <w:tab w:val="left" w:pos="7275"/>
        </w:tabs>
        <w:spacing w:line="600" w:lineRule="exact"/>
        <w:ind w:firstLine="640"/>
        <w:jc w:val="left"/>
        <w:rPr>
          <w:rFonts w:ascii="仿宋_GB2312" w:eastAsia="仿宋_GB2312" w:hAnsi="仿宋_GB2312" w:cs="仿宋_GB2312"/>
          <w:sz w:val="32"/>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北区大盛镇村建服务中心无下设机构。</w:t>
      </w:r>
    </w:p>
    <w:p w:rsidR="00E50F2F" w:rsidRDefault="00E50F2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部门预算总体情况</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北区大盛镇村建服务中心所有收入和支出均纳入部门预算管理。</w:t>
      </w:r>
    </w:p>
    <w:p w:rsidR="00E50F2F" w:rsidRDefault="00E50F2F">
      <w:pPr>
        <w:numPr>
          <w:ilvl w:val="0"/>
          <w:numId w:val="2"/>
        </w:num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收入预算：2023年年初预算总收入6,948,476.80元，其中：一般公共预算拨款收入6,947,499.25元占99.99%、政府性基金预算拨款收入977.55元占0.01%。</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2023年年初预算总支出6,948,476.80元，其中：社会保障和就业支出136,972.80占1.97%，卫生健康支出68,272.00元占0.98%，城乡社区支出5,736,490.95元占82.56%，农林水支出200,000.00元占2.88%，交通运输支出738,254.65元占10.62%，住房保障支出68,486.40元占0.99%。</w:t>
      </w:r>
    </w:p>
    <w:p w:rsidR="00E50F2F" w:rsidRDefault="00E50F2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部门预算情况说明</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（一）2023年一般公共预算财政拨款收入6,947,499.25元，一般公共预算财政拨款支出6,947,499.25元。</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基本支出1,634,244.60元，占23.52%。其中：人员经费1,312,363.36元，主要用于保障在职人员工资福利及社会保险缴费、离休人员离休费、退休人员补助等，主要包括：基本工资、津贴补贴、奖金、机关事业单位基本养老保险缴费、其他社会保障缴费、住房公积金、其他工资福利；公用经费321,881.24元，主要用于保障部门正常运转的各项商品服务支出；主要包括：办公费、印刷费、水费、电费、邮电费、物业管理费、差旅费、其他交通费用、会议费、培训费、公务接待费、公务用车运行维护费；</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（2）项目支出5,313,254.65元占76.48%，主要用于农村人居环境整治、乡村治理、农村公路建设及养护资金等工作。</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2.按支出功能科目说明</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城乡社区支出（类）城乡社区管理事务（款）其他城乡社区管理事务支出（项）2023年预算数为1,775,000.00元，比2022年预算数减少2725000元，减少60.56%。主要原因是减少了场镇农村环境清扫保洁（保洁分拣员补贴）经费的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（2）城乡社区支出（类） 建设市场管理与监督（款）建设市场管理与监督（项）2023年预算数为3,960,513.40元，比2022年预算数增加3051282.1元，增加335.59%。主要原因是增加了场镇农村环境清扫保洁（保洁分拣员补贴）经费的预算。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（3）农林水支出（类）农业农村（款）一般行政管理事务（项）2023年预算数为100,000.00元，比2022年预算数增加36300元，增加56.99%。主要原因是增加了农村人居环境整治工作监管经费的预算。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（4）农林水支出（类）农业农村（款）  其他农业农村支出（项）2023年预算数为100,000.00元，比2022年预算数增加100,000.00元，增加100.00%。主要原因是增加了乡村治理工作监管经费的预算。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（5）交通运输支出（类）公路水路运输（款）公路养护（项）2023年预算数为734,372.00元，比2022年预算数增加734,372.00元，增加100.00%。主要原因是增加了农村公路建设及养护资金的预算。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2023年政府性</w:t>
      </w:r>
      <w:r>
        <w:rPr>
          <w:rFonts w:ascii="仿宋_GB2312" w:eastAsia="仿宋_GB2312" w:hAnsi="仿宋_GB2312" w:cs="仿宋_GB2312"/>
          <w:sz w:val="32"/>
        </w:rPr>
        <w:t>基金预算</w:t>
      </w:r>
      <w:r>
        <w:rPr>
          <w:rFonts w:ascii="仿宋_GB2312" w:eastAsia="仿宋_GB2312" w:hAnsi="仿宋_GB2312" w:cs="仿宋_GB2312" w:hint="eastAsia"/>
          <w:sz w:val="32"/>
        </w:rPr>
        <w:t>收入977.55元，政府性基金预算支出977.55元，按支出功能科目分：</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（1）城乡社区支出（类）国有土地使用权出让收入安排的支出（款）  农村基础设施建设支出（项）2023年预算数为977.55元，比2022年预算金额增加977.55增加100.00%。主要原因是增加了农村公路建设及养护资金的预算。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E50F2F" w:rsidRDefault="00E50F2F">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北区大盛镇村建服务中心</w:t>
      </w:r>
      <w:r>
        <w:rPr>
          <w:rFonts w:ascii="仿宋_GB2312" w:eastAsia="仿宋_GB2312" w:hAnsi="仿宋_GB2312" w:cs="仿宋_GB2312"/>
          <w:sz w:val="32"/>
        </w:rPr>
        <w:t>202</w:t>
      </w:r>
      <w:r>
        <w:rPr>
          <w:rFonts w:ascii="仿宋_GB2312" w:eastAsia="仿宋_GB2312" w:hAnsi="仿宋_GB2312" w:cs="仿宋_GB2312" w:hint="eastAsia"/>
          <w:sz w:val="32"/>
        </w:rPr>
        <w:t>3</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w:t>
      </w:r>
      <w:r>
        <w:rPr>
          <w:rFonts w:ascii="仿宋_GB2312" w:eastAsia="仿宋_GB2312" w:hAnsi="仿宋_GB2312" w:cs="仿宋_GB2312" w:hint="eastAsia"/>
          <w:sz w:val="32"/>
        </w:rPr>
        <w:t>国有资本经营</w:t>
      </w:r>
      <w:r>
        <w:rPr>
          <w:rFonts w:ascii="仿宋_GB2312" w:eastAsia="仿宋_GB2312" w:hAnsi="仿宋_GB2312" w:cs="仿宋_GB2312"/>
          <w:sz w:val="32"/>
        </w:rPr>
        <w:t>预算拨款安排的支出。</w:t>
      </w:r>
    </w:p>
    <w:p w:rsidR="00E50F2F" w:rsidRDefault="00E50F2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 xml:space="preserve"> “三公”经费情况说明</w:t>
      </w:r>
    </w:p>
    <w:p w:rsidR="00E50F2F" w:rsidRDefault="00E50F2F">
      <w:pPr>
        <w:spacing w:line="600" w:lineRule="exact"/>
        <w:ind w:firstLineChars="200" w:firstLine="640"/>
        <w:rPr>
          <w:rFonts w:ascii="黑体" w:eastAsia="黑体" w:hAnsi="黑体" w:cs="仿宋_GB2312"/>
          <w:sz w:val="32"/>
        </w:rPr>
      </w:pPr>
      <w:r>
        <w:rPr>
          <w:rFonts w:ascii="仿宋_GB2312" w:eastAsia="仿宋_GB2312" w:hAnsi="仿宋_GB2312" w:cs="仿宋_GB2312" w:hint="eastAsia"/>
          <w:sz w:val="32"/>
        </w:rPr>
        <w:lastRenderedPageBreak/>
        <w:t>2023年“三公”经费预算5,000.00元。其中：因公出国（境）费用0元，与2022年预算相同，主要原因是无因公出国（境）计划；公务接待费5,000.00元；公务用车运行维护费0元；</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0元，主要原因是无公务用车购置计划。</w:t>
      </w:r>
    </w:p>
    <w:p w:rsidR="00E50F2F" w:rsidRDefault="00E50F2F">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E50F2F" w:rsidRDefault="00E50F2F">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E50F2F" w:rsidRDefault="00E50F2F">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我单位是事业单位，不在机关运行经费统计范围之内。</w:t>
      </w:r>
    </w:p>
    <w:p w:rsidR="00E50F2F" w:rsidRDefault="00E50F2F">
      <w:pPr>
        <w:numPr>
          <w:ilvl w:val="0"/>
          <w:numId w:val="3"/>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政府采购情况。重庆市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北区大盛镇村建服务中心</w:t>
      </w:r>
      <w:r>
        <w:rPr>
          <w:rFonts w:ascii="仿宋_GB2312" w:eastAsia="仿宋_GB2312" w:hAnsi="仿宋_GB2312" w:cs="仿宋_GB2312"/>
          <w:sz w:val="32"/>
        </w:rPr>
        <w:t>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hint="eastAsia"/>
          <w:sz w:val="32"/>
        </w:rPr>
        <w:t>0元（政府采购货物预算0元、政府采购工程预算0元、政府采购服务预算0元） ；其中一般</w:t>
      </w:r>
      <w:r>
        <w:rPr>
          <w:rFonts w:ascii="仿宋_GB2312" w:eastAsia="仿宋_GB2312" w:hAnsi="仿宋_GB2312" w:cs="仿宋_GB2312"/>
          <w:sz w:val="32"/>
        </w:rPr>
        <w:t>公</w:t>
      </w:r>
      <w:r>
        <w:rPr>
          <w:rFonts w:ascii="仿宋_GB2312" w:eastAsia="仿宋_GB2312" w:hAnsi="仿宋_GB2312" w:cs="仿宋_GB2312" w:hint="eastAsia"/>
          <w:sz w:val="32"/>
        </w:rPr>
        <w:t>共预算财政</w:t>
      </w:r>
      <w:r>
        <w:rPr>
          <w:rFonts w:ascii="仿宋_GB2312" w:eastAsia="仿宋_GB2312" w:hAnsi="仿宋_GB2312" w:cs="仿宋_GB2312"/>
          <w:sz w:val="32"/>
        </w:rPr>
        <w:t>拨款政府采购</w:t>
      </w:r>
      <w:r>
        <w:rPr>
          <w:rFonts w:ascii="仿宋_GB2312" w:eastAsia="仿宋_GB2312" w:hAnsi="仿宋_GB2312" w:cs="仿宋_GB2312" w:hint="eastAsia"/>
          <w:sz w:val="32"/>
        </w:rPr>
        <w:t>0元（政府采购货物预算0元、政府采购工程预算0元、政府采购服务预算0元）。</w:t>
      </w:r>
    </w:p>
    <w:p w:rsidR="00E50F2F" w:rsidRDefault="00E50F2F">
      <w:pPr>
        <w:ind w:firstLineChars="200" w:firstLine="640"/>
        <w:rPr>
          <w:rFonts w:ascii="仿宋_GB2312" w:eastAsia="仿宋_GB2312" w:hAnsi="仿宋_GB2312" w:cs="仿宋_GB2312"/>
          <w:color w:val="FF0000"/>
          <w:sz w:val="32"/>
        </w:rPr>
      </w:pPr>
      <w:r>
        <w:rPr>
          <w:rFonts w:ascii="仿宋_GB2312" w:eastAsia="仿宋_GB2312" w:hAnsi="仿宋_GB2312" w:cs="仿宋_GB2312" w:hint="eastAsia"/>
          <w:color w:val="000000"/>
          <w:sz w:val="32"/>
        </w:rPr>
        <w:t>3．绩效目标情况。</w:t>
      </w:r>
      <w:r>
        <w:rPr>
          <w:rFonts w:ascii="仿宋_GB2312" w:eastAsia="仿宋_GB2312" w:hAnsi="仿宋_GB2312" w:cs="仿宋_GB2312"/>
          <w:color w:val="000000"/>
          <w:sz w:val="32"/>
        </w:rPr>
        <w:t>202</w:t>
      </w:r>
      <w:r>
        <w:rPr>
          <w:rFonts w:ascii="仿宋_GB2312" w:eastAsia="仿宋_GB2312" w:hAnsi="仿宋_GB2312" w:cs="仿宋_GB2312" w:hint="eastAsia"/>
          <w:color w:val="000000"/>
          <w:sz w:val="32"/>
        </w:rPr>
        <w:t>3年</w:t>
      </w:r>
      <w:r>
        <w:rPr>
          <w:rFonts w:ascii="仿宋_GB2312" w:eastAsia="仿宋_GB2312" w:hAnsi="仿宋_GB2312" w:cs="仿宋_GB2312"/>
          <w:color w:val="000000"/>
          <w:sz w:val="32"/>
        </w:rPr>
        <w:t>项目支出</w:t>
      </w:r>
      <w:r>
        <w:rPr>
          <w:rFonts w:ascii="仿宋_GB2312" w:eastAsia="仿宋_GB2312" w:hAnsi="仿宋_GB2312" w:cs="仿宋_GB2312" w:hint="eastAsia"/>
          <w:color w:val="000000"/>
          <w:sz w:val="32"/>
        </w:rPr>
        <w:t>均实行了</w:t>
      </w:r>
      <w:r>
        <w:rPr>
          <w:rFonts w:ascii="仿宋_GB2312" w:eastAsia="仿宋_GB2312" w:hAnsi="仿宋_GB2312" w:cs="仿宋_GB2312"/>
          <w:color w:val="000000"/>
          <w:sz w:val="32"/>
        </w:rPr>
        <w:t>绩效目标管理</w:t>
      </w:r>
      <w:r>
        <w:rPr>
          <w:rFonts w:ascii="仿宋_GB2312" w:eastAsia="仿宋_GB2312" w:hAnsi="仿宋_GB2312" w:cs="仿宋_GB2312" w:hint="eastAsia"/>
          <w:color w:val="000000"/>
          <w:sz w:val="32"/>
        </w:rPr>
        <w:t>，涉及</w:t>
      </w:r>
      <w:r>
        <w:rPr>
          <w:rFonts w:ascii="仿宋_GB2312" w:eastAsia="仿宋_GB2312" w:hAnsi="仿宋_GB2312" w:cs="仿宋_GB2312"/>
          <w:color w:val="000000"/>
          <w:sz w:val="32"/>
        </w:rPr>
        <w:t>项目</w:t>
      </w:r>
      <w:r>
        <w:rPr>
          <w:rFonts w:ascii="仿宋_GB2312" w:eastAsia="仿宋_GB2312" w:hAnsi="仿宋_GB2312" w:cs="仿宋_GB2312" w:hint="eastAsia"/>
          <w:color w:val="000000"/>
          <w:sz w:val="32"/>
        </w:rPr>
        <w:t>7个</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涉及当年财政拨款4575000元，全部为一般公共预算拨款</w:t>
      </w:r>
      <w:r>
        <w:rPr>
          <w:rFonts w:ascii="仿宋_GB2312" w:eastAsia="仿宋_GB2312" w:hAnsi="仿宋_GB2312" w:cs="仿宋_GB2312"/>
          <w:color w:val="000000"/>
          <w:sz w:val="32"/>
        </w:rPr>
        <w:t>项目</w:t>
      </w:r>
      <w:r>
        <w:rPr>
          <w:rFonts w:ascii="仿宋_GB2312" w:eastAsia="仿宋_GB2312" w:hAnsi="仿宋_GB2312" w:cs="仿宋_GB2312" w:hint="eastAsia"/>
          <w:color w:val="000000"/>
          <w:sz w:val="32"/>
        </w:rPr>
        <w:t>，纳入重点绩效目标评价的项目0个。</w:t>
      </w:r>
    </w:p>
    <w:p w:rsidR="00E50F2F" w:rsidRDefault="00E50F2F">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4．国有资产占有使用情况。</w:t>
      </w:r>
    </w:p>
    <w:p w:rsidR="00E50F2F" w:rsidRDefault="00E50F2F">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截至2023年12 月底，重庆市</w:t>
      </w:r>
      <w:proofErr w:type="gramStart"/>
      <w:r>
        <w:rPr>
          <w:rFonts w:ascii="仿宋_GB2312" w:eastAsia="仿宋_GB2312" w:hAnsi="仿宋_GB2312" w:cs="仿宋_GB2312" w:hint="eastAsia"/>
          <w:color w:val="000000"/>
          <w:sz w:val="32"/>
        </w:rPr>
        <w:t>渝</w:t>
      </w:r>
      <w:proofErr w:type="gramEnd"/>
      <w:r>
        <w:rPr>
          <w:rFonts w:ascii="仿宋_GB2312" w:eastAsia="仿宋_GB2312" w:hAnsi="仿宋_GB2312" w:cs="仿宋_GB2312" w:hint="eastAsia"/>
          <w:color w:val="000000"/>
          <w:sz w:val="32"/>
        </w:rPr>
        <w:t>北区</w:t>
      </w:r>
      <w:r>
        <w:rPr>
          <w:rFonts w:ascii="仿宋_GB2312" w:eastAsia="仿宋_GB2312" w:hAnsi="仿宋_GB2312" w:cs="仿宋_GB2312" w:hint="eastAsia"/>
          <w:sz w:val="32"/>
        </w:rPr>
        <w:t>大盛</w:t>
      </w:r>
      <w:r>
        <w:rPr>
          <w:rFonts w:ascii="仿宋_GB2312" w:eastAsia="仿宋_GB2312" w:hAnsi="仿宋_GB2312" w:cs="仿宋_GB2312" w:hint="eastAsia"/>
          <w:color w:val="000000"/>
          <w:sz w:val="32"/>
        </w:rPr>
        <w:t>镇村建服务中心共有车辆1辆，其中，领导干部用车0辆、机要通信用车0辆、应急保障用车0辆、执法执勤用车0辆、特种专业技术用车1辆、其他用车0辆，其他用车主要是部属单位用于机要通信和应急保障之外公务用途的车辆。单位价值50 万元以上通用设备0台（套），单位价值100 万元以上专用设备0台（套）。</w:t>
      </w:r>
    </w:p>
    <w:p w:rsidR="00E50F2F" w:rsidRDefault="00E50F2F">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lastRenderedPageBreak/>
        <w:t>2023年一般公共预算安排购置车辆0 辆，其中，领导干部用车0 辆、机要通信用车0 辆、应急保障用车0 辆、执法执勤用车0 辆、特种专业技术用车0 辆、其他用车0 辆。单位价值50 万元以上通用设备0 台（套），单位价值100 万元以上专用设备0 台（套）。</w:t>
      </w:r>
    </w:p>
    <w:p w:rsidR="00E50F2F" w:rsidRDefault="00E50F2F">
      <w:pPr>
        <w:numPr>
          <w:ilvl w:val="0"/>
          <w:numId w:val="1"/>
        </w:numPr>
        <w:spacing w:line="600" w:lineRule="exact"/>
        <w:ind w:firstLine="640"/>
        <w:rPr>
          <w:rFonts w:ascii="黑体" w:eastAsia="黑体" w:hAnsi="黑体" w:cs="仿宋_GB2312"/>
          <w:sz w:val="32"/>
        </w:rPr>
      </w:pPr>
      <w:r>
        <w:rPr>
          <w:rFonts w:ascii="黑体" w:eastAsia="黑体" w:hAnsi="黑体" w:cs="仿宋_GB2312" w:hint="eastAsia"/>
          <w:sz w:val="32"/>
        </w:rPr>
        <w:t>专业</w:t>
      </w:r>
      <w:proofErr w:type="gramStart"/>
      <w:r>
        <w:rPr>
          <w:rFonts w:ascii="黑体" w:eastAsia="黑体" w:hAnsi="黑体" w:cs="仿宋_GB2312" w:hint="eastAsia"/>
          <w:sz w:val="32"/>
        </w:rPr>
        <w:t>性名</w:t>
      </w:r>
      <w:proofErr w:type="gramEnd"/>
      <w:r>
        <w:rPr>
          <w:rFonts w:ascii="黑体" w:eastAsia="黑体" w:hAnsi="黑体" w:cs="仿宋_GB2312" w:hint="eastAsia"/>
          <w:sz w:val="32"/>
        </w:rPr>
        <w:t>词</w:t>
      </w:r>
      <w:r>
        <w:rPr>
          <w:rFonts w:ascii="黑体" w:eastAsia="黑体" w:hAnsi="黑体" w:cs="仿宋_GB2312"/>
          <w:sz w:val="32"/>
        </w:rPr>
        <w:t>解释</w:t>
      </w:r>
    </w:p>
    <w:p w:rsidR="00E50F2F" w:rsidRDefault="00E50F2F">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E50F2F" w:rsidRDefault="00E50F2F">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E50F2F" w:rsidRDefault="00E50F2F">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E50F2F" w:rsidRDefault="00E50F2F">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E50F2F" w:rsidRDefault="00E50F2F">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E50F2F" w:rsidRDefault="00E50F2F">
      <w:pPr>
        <w:pStyle w:val="a6"/>
        <w:tabs>
          <w:tab w:val="center" w:pos="4153"/>
          <w:tab w:val="left" w:pos="7275"/>
        </w:tabs>
        <w:spacing w:line="600" w:lineRule="exact"/>
        <w:ind w:firstLine="640"/>
        <w:jc w:val="left"/>
        <w:rPr>
          <w:rFonts w:ascii="方正黑体_GBK" w:eastAsia="方正黑体_GBK"/>
          <w:sz w:val="32"/>
          <w:szCs w:val="32"/>
        </w:rPr>
      </w:pPr>
      <w:r>
        <w:rPr>
          <w:rFonts w:ascii="方正黑体_GBK" w:eastAsia="方正黑体_GBK" w:hint="eastAsia"/>
          <w:sz w:val="32"/>
          <w:szCs w:val="32"/>
        </w:rPr>
        <w:lastRenderedPageBreak/>
        <w:t>七、预算公开联系方式及信息反馈</w:t>
      </w:r>
    </w:p>
    <w:p w:rsidR="00E50F2F" w:rsidRDefault="00E50F2F">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 xml:space="preserve">蒋丽娟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023-67259341</w:t>
      </w:r>
      <w:bookmarkEnd w:id="0"/>
    </w:p>
    <w:sectPr w:rsidR="00E50F2F">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46" w:rsidRDefault="00683D46" w:rsidP="00D50DC4">
      <w:r>
        <w:separator/>
      </w:r>
    </w:p>
  </w:endnote>
  <w:endnote w:type="continuationSeparator" w:id="0">
    <w:p w:rsidR="00683D46" w:rsidRDefault="00683D46" w:rsidP="00D5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46" w:rsidRDefault="00683D46" w:rsidP="00D50DC4">
      <w:r>
        <w:separator/>
      </w:r>
    </w:p>
  </w:footnote>
  <w:footnote w:type="continuationSeparator" w:id="0">
    <w:p w:rsidR="00683D46" w:rsidRDefault="00683D46" w:rsidP="00D50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10A27"/>
    <w:multiLevelType w:val="singleLevel"/>
    <w:tmpl w:val="FE510A27"/>
    <w:lvl w:ilvl="0">
      <w:start w:val="1"/>
      <w:numFmt w:val="chineseCounting"/>
      <w:suff w:val="nothing"/>
      <w:lvlText w:val="（%1）"/>
      <w:lvlJc w:val="left"/>
      <w:rPr>
        <w:rFonts w:hint="eastAsia"/>
      </w:rPr>
    </w:lvl>
  </w:abstractNum>
  <w:abstractNum w:abstractNumId="1">
    <w:nsid w:val="216E84BB"/>
    <w:multiLevelType w:val="singleLevel"/>
    <w:tmpl w:val="216E84BB"/>
    <w:lvl w:ilvl="0">
      <w:start w:val="2"/>
      <w:numFmt w:val="decimal"/>
      <w:suff w:val="nothing"/>
      <w:lvlText w:val="%1．"/>
      <w:lvlJc w:val="left"/>
    </w:lvl>
  </w:abstractNum>
  <w:abstractNum w:abstractNumId="2">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GU3ZmIxMWU4NGU4MzYwYzNmYjI4YWYzY2EwZTIifQ=="/>
  </w:docVars>
  <w:rsids>
    <w:rsidRoot w:val="00DA29EC"/>
    <w:rsid w:val="00010A4C"/>
    <w:rsid w:val="00011C0A"/>
    <w:rsid w:val="00015C20"/>
    <w:rsid w:val="000177C4"/>
    <w:rsid w:val="00092A76"/>
    <w:rsid w:val="000C052C"/>
    <w:rsid w:val="000C7230"/>
    <w:rsid w:val="000D1E2E"/>
    <w:rsid w:val="000E6192"/>
    <w:rsid w:val="00100357"/>
    <w:rsid w:val="00100AAE"/>
    <w:rsid w:val="001059D1"/>
    <w:rsid w:val="00136E30"/>
    <w:rsid w:val="00155BDF"/>
    <w:rsid w:val="00165A9E"/>
    <w:rsid w:val="001B5681"/>
    <w:rsid w:val="001B72DF"/>
    <w:rsid w:val="001C7AB4"/>
    <w:rsid w:val="001F6746"/>
    <w:rsid w:val="00201568"/>
    <w:rsid w:val="002077C2"/>
    <w:rsid w:val="00213D30"/>
    <w:rsid w:val="00252C96"/>
    <w:rsid w:val="0025506F"/>
    <w:rsid w:val="00263A4D"/>
    <w:rsid w:val="00274A55"/>
    <w:rsid w:val="00283219"/>
    <w:rsid w:val="002A55D2"/>
    <w:rsid w:val="002B0787"/>
    <w:rsid w:val="002B6671"/>
    <w:rsid w:val="002C3EB2"/>
    <w:rsid w:val="003211DB"/>
    <w:rsid w:val="00334601"/>
    <w:rsid w:val="003413F2"/>
    <w:rsid w:val="00342706"/>
    <w:rsid w:val="00365711"/>
    <w:rsid w:val="003B6D9E"/>
    <w:rsid w:val="003D7194"/>
    <w:rsid w:val="00420B5E"/>
    <w:rsid w:val="00421337"/>
    <w:rsid w:val="0043586B"/>
    <w:rsid w:val="0048078B"/>
    <w:rsid w:val="004A2AC5"/>
    <w:rsid w:val="004B4814"/>
    <w:rsid w:val="004D3BBE"/>
    <w:rsid w:val="004E2BC5"/>
    <w:rsid w:val="00561B43"/>
    <w:rsid w:val="00566333"/>
    <w:rsid w:val="0057748D"/>
    <w:rsid w:val="00581A78"/>
    <w:rsid w:val="00594787"/>
    <w:rsid w:val="005A5E8E"/>
    <w:rsid w:val="005D2BE5"/>
    <w:rsid w:val="006017EB"/>
    <w:rsid w:val="00603050"/>
    <w:rsid w:val="00632401"/>
    <w:rsid w:val="006343EF"/>
    <w:rsid w:val="00646B44"/>
    <w:rsid w:val="006528A3"/>
    <w:rsid w:val="00683D46"/>
    <w:rsid w:val="006956B1"/>
    <w:rsid w:val="006A2903"/>
    <w:rsid w:val="006B3188"/>
    <w:rsid w:val="00717BAB"/>
    <w:rsid w:val="00730C25"/>
    <w:rsid w:val="00741A3C"/>
    <w:rsid w:val="007C5090"/>
    <w:rsid w:val="007C6F5D"/>
    <w:rsid w:val="007E0F51"/>
    <w:rsid w:val="008154D9"/>
    <w:rsid w:val="00822FF1"/>
    <w:rsid w:val="008373F3"/>
    <w:rsid w:val="008709B3"/>
    <w:rsid w:val="008B3A52"/>
    <w:rsid w:val="008C44A4"/>
    <w:rsid w:val="008D37C5"/>
    <w:rsid w:val="00940719"/>
    <w:rsid w:val="00957F68"/>
    <w:rsid w:val="00965D0C"/>
    <w:rsid w:val="009A0AEA"/>
    <w:rsid w:val="009E5004"/>
    <w:rsid w:val="009F25DE"/>
    <w:rsid w:val="00A33D0D"/>
    <w:rsid w:val="00A35AD1"/>
    <w:rsid w:val="00A707FB"/>
    <w:rsid w:val="00AA6F0A"/>
    <w:rsid w:val="00AC4FA6"/>
    <w:rsid w:val="00AC5ADE"/>
    <w:rsid w:val="00B115D5"/>
    <w:rsid w:val="00B1315E"/>
    <w:rsid w:val="00B27F69"/>
    <w:rsid w:val="00B81563"/>
    <w:rsid w:val="00B81EE1"/>
    <w:rsid w:val="00B91A78"/>
    <w:rsid w:val="00B95F42"/>
    <w:rsid w:val="00B977E5"/>
    <w:rsid w:val="00BA17E0"/>
    <w:rsid w:val="00BB3DEA"/>
    <w:rsid w:val="00C07310"/>
    <w:rsid w:val="00C21FA4"/>
    <w:rsid w:val="00C34AC1"/>
    <w:rsid w:val="00C65368"/>
    <w:rsid w:val="00D203EC"/>
    <w:rsid w:val="00D31301"/>
    <w:rsid w:val="00D5004F"/>
    <w:rsid w:val="00D5030C"/>
    <w:rsid w:val="00D50DC4"/>
    <w:rsid w:val="00D55CBC"/>
    <w:rsid w:val="00D821A0"/>
    <w:rsid w:val="00D85CC3"/>
    <w:rsid w:val="00D96E68"/>
    <w:rsid w:val="00DA29EC"/>
    <w:rsid w:val="00DB4259"/>
    <w:rsid w:val="00DD4C9D"/>
    <w:rsid w:val="00DF1090"/>
    <w:rsid w:val="00E0720E"/>
    <w:rsid w:val="00E37820"/>
    <w:rsid w:val="00E50F2F"/>
    <w:rsid w:val="00E50F9E"/>
    <w:rsid w:val="00E64757"/>
    <w:rsid w:val="00E672D9"/>
    <w:rsid w:val="00E85A98"/>
    <w:rsid w:val="00EC349D"/>
    <w:rsid w:val="00EE7A3D"/>
    <w:rsid w:val="00F02B03"/>
    <w:rsid w:val="00F42379"/>
    <w:rsid w:val="00F60F86"/>
    <w:rsid w:val="00F6531A"/>
    <w:rsid w:val="00F759C4"/>
    <w:rsid w:val="00F9561B"/>
    <w:rsid w:val="00FB22BD"/>
    <w:rsid w:val="00FD0839"/>
    <w:rsid w:val="00FF083D"/>
    <w:rsid w:val="04477AA3"/>
    <w:rsid w:val="07CD6021"/>
    <w:rsid w:val="087C2531"/>
    <w:rsid w:val="0B5036E2"/>
    <w:rsid w:val="0EDD34DE"/>
    <w:rsid w:val="12443874"/>
    <w:rsid w:val="17150965"/>
    <w:rsid w:val="19B80DD0"/>
    <w:rsid w:val="207A52F7"/>
    <w:rsid w:val="21E07116"/>
    <w:rsid w:val="24E375EC"/>
    <w:rsid w:val="24E94023"/>
    <w:rsid w:val="29B32DDC"/>
    <w:rsid w:val="2CF074BC"/>
    <w:rsid w:val="2FB71421"/>
    <w:rsid w:val="32387CE9"/>
    <w:rsid w:val="35E25912"/>
    <w:rsid w:val="39AE7FEB"/>
    <w:rsid w:val="3C4F6F1A"/>
    <w:rsid w:val="3D4F2F4A"/>
    <w:rsid w:val="414D59F2"/>
    <w:rsid w:val="50CF01D2"/>
    <w:rsid w:val="553D3BA4"/>
    <w:rsid w:val="565F3DA6"/>
    <w:rsid w:val="5F331681"/>
    <w:rsid w:val="62BF00A6"/>
    <w:rsid w:val="68BD1762"/>
    <w:rsid w:val="6AEE053E"/>
    <w:rsid w:val="6F433E0D"/>
    <w:rsid w:val="77733DE0"/>
    <w:rsid w:val="77CA50CB"/>
    <w:rsid w:val="7AD93877"/>
    <w:rsid w:val="7D3D0E9C"/>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批注框文本 Char"/>
    <w:link w:val="a4"/>
    <w:rPr>
      <w:kern w:val="2"/>
      <w:sz w:val="18"/>
      <w:szCs w:val="18"/>
    </w:rPr>
  </w:style>
  <w:style w:type="character" w:customStyle="1" w:styleId="Char1">
    <w:name w:val="页眉 Char"/>
    <w:link w:val="a5"/>
    <w:rPr>
      <w:kern w:val="2"/>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Char0">
    <w:name w:val="批注框文本 Char"/>
    <w:link w:val="a4"/>
    <w:rPr>
      <w:kern w:val="2"/>
      <w:sz w:val="18"/>
      <w:szCs w:val="18"/>
    </w:rPr>
  </w:style>
  <w:style w:type="character" w:customStyle="1" w:styleId="Char1">
    <w:name w:val="页眉 Char"/>
    <w:link w:val="a5"/>
    <w:rPr>
      <w:kern w:val="2"/>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2315</Words>
  <Characters>504</Characters>
  <Application>Microsoft Office Word</Application>
  <DocSecurity>0</DocSecurity>
  <PresentationFormat/>
  <Lines>4</Lines>
  <Paragraphs>5</Paragraphs>
  <Slides>0</Slides>
  <Notes>0</Notes>
  <HiddenSlides>0</HiddenSlides>
  <MMClips>0</MMClips>
  <ScaleCrop>false</ScaleCrop>
  <Company>微软中国</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2023-02-15T11:52:00Z</cp:lastPrinted>
  <dcterms:created xsi:type="dcterms:W3CDTF">2023-02-17T06:33:00Z</dcterms:created>
  <dcterms:modified xsi:type="dcterms:W3CDTF">2023-02-17T06:33:00Z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DCC5D40EDC7B4F5F843BEB54F9EE2C4D</vt:lpwstr>
  </property>
</Properties>
</file>