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A1466">
      <w:pPr>
        <w:spacing w:line="312" w:lineRule="auto"/>
        <w:jc w:val="center"/>
        <w:rPr>
          <w:rFonts w:ascii="仿宋_GB2312" w:eastAsia="仿宋_GB2312"/>
          <w:kern w:val="0"/>
          <w:sz w:val="24"/>
        </w:rPr>
      </w:pPr>
      <w:bookmarkStart w:id="0" w:name="OLE_LINK12"/>
      <w:bookmarkStart w:id="1" w:name="_Toc171325102"/>
      <w:bookmarkStart w:id="2" w:name="_Toc238907086"/>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1C8C1B8A">
      <w:pPr>
        <w:spacing w:line="312" w:lineRule="auto"/>
        <w:jc w:val="center"/>
        <w:rPr>
          <w:rFonts w:ascii="仿宋_GB2312" w:eastAsia="仿宋_GB2312"/>
          <w:kern w:val="0"/>
          <w:sz w:val="24"/>
        </w:rPr>
      </w:pPr>
      <w:r>
        <w:rPr>
          <w:rFonts w:hint="eastAsia"/>
        </w:rPr>
        <w:t xml:space="preserve">                                  </w:t>
      </w:r>
      <w:r>
        <w:rPr>
          <w:rFonts w:hint="eastAsia"/>
          <w:b/>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r>
        <w:rPr>
          <w:rFonts w:ascii="仿宋_GB2312" w:eastAsia="仿宋_GB2312"/>
          <w:kern w:val="0"/>
          <w:sz w:val="24"/>
        </w:rPr>
        <w:t xml:space="preserve"> </w:t>
      </w:r>
      <w:r>
        <w:rPr>
          <w:rFonts w:hint="eastAsia" w:ascii="仿宋_GB2312" w:eastAsia="仿宋_GB2312"/>
          <w:kern w:val="0"/>
          <w:sz w:val="24"/>
        </w:rPr>
        <w:t xml:space="preserve"> </w:t>
      </w:r>
    </w:p>
    <w:p w14:paraId="6D9AB29A">
      <w:pPr>
        <w:pStyle w:val="13"/>
        <w:jc w:val="center"/>
        <w:rPr>
          <w:rFonts w:ascii="宋体" w:hAnsi="宋体" w:cs="黑体"/>
          <w:b/>
          <w:bCs/>
          <w:sz w:val="32"/>
          <w:szCs w:val="32"/>
          <w:lang w:val="zh-CN"/>
        </w:rPr>
      </w:pPr>
      <w:r>
        <w:rPr>
          <w:rFonts w:hint="eastAsia"/>
        </w:rPr>
        <w:t xml:space="preserve">                                  </w:t>
      </w:r>
      <w:r>
        <w:rPr>
          <w:rFonts w:hint="eastAsia"/>
          <w:b/>
        </w:rPr>
        <w:t xml:space="preserve"> </w:t>
      </w:r>
      <w:r>
        <w:rPr>
          <w:rFonts w:hint="eastAsia" w:ascii="宋体" w:hAnsi="宋体"/>
          <w:color w:val="000000"/>
        </w:rPr>
        <w:t xml:space="preserve">                          </w:t>
      </w:r>
      <w:r>
        <w:rPr>
          <w:rFonts w:hint="eastAsia" w:ascii="宋体" w:hAnsi="宋体"/>
          <w:b/>
          <w:color w:val="000000"/>
        </w:rPr>
        <w:t xml:space="preserve"> </w:t>
      </w:r>
    </w:p>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3"/>
        <w:rPr>
          <w:lang w:val="zh-CN"/>
        </w:rPr>
      </w:pPr>
    </w:p>
    <w:p w14:paraId="32726841">
      <w:pPr>
        <w:pStyle w:val="13"/>
        <w:rPr>
          <w:lang w:val="zh-CN"/>
        </w:rPr>
      </w:pPr>
    </w:p>
    <w:p w14:paraId="04C6B739">
      <w:pPr>
        <w:pStyle w:val="13"/>
        <w:rPr>
          <w:lang w:val="zh-CN"/>
        </w:rPr>
      </w:pPr>
    </w:p>
    <w:p w14:paraId="41FE674B">
      <w:pPr>
        <w:autoSpaceDE w:val="0"/>
        <w:autoSpaceDN w:val="0"/>
        <w:adjustRightInd w:val="0"/>
        <w:spacing w:line="700" w:lineRule="exact"/>
        <w:ind w:firstLine="240" w:firstLineChars="1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zh-CN" w:eastAsia="zh-CN"/>
        </w:rPr>
        <w:t>工程名称：</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仿宋" w:hAnsi="仿宋" w:eastAsia="仿宋" w:cs="仿宋"/>
          <w:sz w:val="24"/>
          <w:szCs w:val="24"/>
          <w:highlight w:val="none"/>
          <w:u w:val="single"/>
          <w:lang w:val="en-US" w:eastAsia="zh-CN"/>
        </w:rPr>
        <w:t>茨竹镇卫星水库库区照明工程</w:t>
      </w:r>
      <w:r>
        <w:rPr>
          <w:rFonts w:hint="eastAsia" w:ascii="宋体" w:hAnsi="宋体" w:cs="宋体"/>
          <w:color w:val="000000"/>
          <w:sz w:val="24"/>
          <w:szCs w:val="24"/>
          <w:u w:val="single"/>
          <w:lang w:val="en-US" w:eastAsia="zh-CN"/>
        </w:rPr>
        <w:t xml:space="preserve">             </w:t>
      </w:r>
    </w:p>
    <w:p w14:paraId="388CD650">
      <w:pPr>
        <w:autoSpaceDE w:val="0"/>
        <w:autoSpaceDN w:val="0"/>
        <w:adjustRightInd w:val="0"/>
        <w:spacing w:line="700" w:lineRule="exact"/>
        <w:ind w:left="1679" w:leftChars="114" w:hanging="1440" w:hangingChars="600"/>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招</w:t>
      </w:r>
      <w:r>
        <w:rPr>
          <w:rFonts w:hint="eastAsia" w:ascii="宋体" w:hAnsi="宋体" w:eastAsia="宋体" w:cs="宋体"/>
          <w:color w:val="000000"/>
          <w:sz w:val="24"/>
          <w:szCs w:val="24"/>
          <w:lang w:val="en-US" w:eastAsia="zh-CN"/>
        </w:rPr>
        <w:t>标内容：</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u w:val="single"/>
          <w:lang w:val="en-US" w:eastAsia="zh-CN"/>
        </w:rPr>
        <w:t>采购</w:t>
      </w:r>
      <w:r>
        <w:rPr>
          <w:rFonts w:hint="eastAsia" w:ascii="宋体" w:hAnsi="宋体" w:eastAsia="宋体" w:cs="宋体"/>
          <w:color w:val="000000"/>
          <w:sz w:val="24"/>
          <w:szCs w:val="24"/>
          <w:u w:val="single"/>
          <w:lang w:val="en-US" w:eastAsia="zh-CN"/>
        </w:rPr>
        <w:t>路灯（太阳能灯杆、LED灯具、成套太阳能系统、地脚螺栓预埋件（螺帽、法兰片）</w:t>
      </w:r>
      <w:r>
        <w:rPr>
          <w:rFonts w:hint="eastAsia" w:ascii="仿宋" w:hAnsi="仿宋" w:eastAsia="仿宋" w:cs="仿宋"/>
          <w:sz w:val="24"/>
          <w:szCs w:val="24"/>
          <w:highlight w:val="none"/>
          <w:u w:val="single"/>
          <w:lang w:val="en-US" w:eastAsia="zh-CN"/>
        </w:rPr>
        <w:t>、热镀锌角钢（L50*5）、绝缘护套导线（BVV-3X2.5））、聚氯乙烯电缆护管（PVCφ50）</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 xml:space="preserve"> </w:t>
      </w:r>
    </w:p>
    <w:p w14:paraId="4A8527EE">
      <w:pPr>
        <w:autoSpaceDE w:val="0"/>
        <w:autoSpaceDN w:val="0"/>
        <w:adjustRightInd w:val="0"/>
        <w:spacing w:line="70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联 系 人：</w:t>
      </w:r>
      <w:r>
        <w:rPr>
          <w:rFonts w:hint="eastAsia" w:ascii="宋体" w:hAnsi="宋体" w:eastAsia="宋体" w:cs="宋体"/>
          <w:color w:val="000000"/>
          <w:sz w:val="24"/>
          <w:szCs w:val="24"/>
          <w:u w:val="single"/>
          <w:lang w:val="en-US" w:eastAsia="zh-CN"/>
        </w:rPr>
        <w:t xml:space="preserve"> 庹昌玲</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时    间：</w:t>
      </w:r>
      <w:r>
        <w:rPr>
          <w:rFonts w:hint="eastAsia" w:ascii="宋体" w:hAnsi="宋体" w:eastAsia="宋体" w:cs="宋体"/>
          <w:color w:val="000000"/>
          <w:sz w:val="24"/>
          <w:szCs w:val="24"/>
          <w:u w:val="single"/>
          <w:lang w:val="en-US" w:eastAsia="zh-CN"/>
        </w:rPr>
        <w:t xml:space="preserve">2025 </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u w:val="single"/>
          <w:lang w:val="zh-CN" w:eastAsia="zh-CN"/>
        </w:rPr>
        <w:t xml:space="preserve"> </w:t>
      </w:r>
      <w:r>
        <w:rPr>
          <w:rFonts w:hint="eastAsia" w:ascii="宋体" w:hAnsi="宋体" w:eastAsia="宋体" w:cs="宋体"/>
          <w:color w:val="000000"/>
          <w:sz w:val="24"/>
          <w:szCs w:val="24"/>
          <w:u w:val="single"/>
          <w:lang w:val="en-US" w:eastAsia="zh-CN"/>
        </w:rPr>
        <w:t xml:space="preserve">6 </w:t>
      </w:r>
      <w:r>
        <w:rPr>
          <w:rFonts w:hint="eastAsia" w:ascii="宋体" w:hAnsi="宋体" w:eastAsia="宋体" w:cs="宋体"/>
          <w:color w:val="000000"/>
          <w:sz w:val="24"/>
          <w:szCs w:val="24"/>
          <w:lang w:val="zh-CN" w:eastAsia="zh-CN"/>
        </w:rPr>
        <w:t>月</w:t>
      </w:r>
      <w:r>
        <w:rPr>
          <w:rFonts w:hint="eastAsia" w:ascii="宋体" w:hAnsi="宋体" w:eastAsia="宋体" w:cs="宋体"/>
          <w:color w:val="000000"/>
          <w:sz w:val="24"/>
          <w:szCs w:val="24"/>
          <w:u w:val="single"/>
          <w:lang w:val="zh-CN" w:eastAsia="zh-CN"/>
        </w:rPr>
        <w:t xml:space="preserve"> </w:t>
      </w:r>
      <w:r>
        <w:rPr>
          <w:rFonts w:hint="eastAsia" w:ascii="宋体" w:hAnsi="宋体" w:cs="宋体"/>
          <w:color w:val="000000"/>
          <w:sz w:val="24"/>
          <w:szCs w:val="24"/>
          <w:u w:val="single"/>
          <w:lang w:val="en-US" w:eastAsia="zh-CN"/>
        </w:rPr>
        <w:t>12</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日</w:t>
      </w:r>
    </w:p>
    <w:p w14:paraId="434DD1F5">
      <w:pPr>
        <w:pStyle w:val="7"/>
        <w:snapToGrid w:val="0"/>
        <w:spacing w:line="400" w:lineRule="exact"/>
        <w:jc w:val="both"/>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7"/>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w:t>
      </w:r>
      <w:r>
        <w:rPr>
          <w:rFonts w:hint="eastAsia" w:ascii="宋体" w:hAnsi="宋体" w:eastAsia="宋体" w:cs="宋体"/>
          <w:color w:val="000000" w:themeColor="text1"/>
          <w:spacing w:val="-10"/>
          <w:sz w:val="24"/>
          <w:szCs w:val="24"/>
          <w:u w:val="single"/>
          <w:lang w:val="en-US" w:eastAsia="zh-CN"/>
          <w14:textFill>
            <w14:solidFill>
              <w14:schemeClr w14:val="tx1"/>
            </w14:solidFill>
          </w14:textFill>
        </w:rPr>
        <w:t>茨竹镇卫星水库库区照明工程</w:t>
      </w:r>
      <w:r>
        <w:rPr>
          <w:rFonts w:hint="eastAsia" w:ascii="宋体" w:hAnsi="宋体" w:cs="宋体"/>
          <w:color w:val="000000" w:themeColor="text1"/>
          <w:spacing w:val="-10"/>
          <w:sz w:val="24"/>
          <w:szCs w:val="24"/>
          <w:u w:val="single"/>
          <w:lang w:val="en-US" w:eastAsia="zh-CN"/>
          <w14:textFill>
            <w14:solidFill>
              <w14:schemeClr w14:val="tx1"/>
            </w14:solidFill>
          </w14:textFill>
        </w:rPr>
        <w:t xml:space="preserve"> </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p>
    <w:p w14:paraId="60B8F680">
      <w:pPr>
        <w:pStyle w:val="7"/>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cs="宋体"/>
          <w:b/>
          <w:bCs/>
          <w:color w:val="000000" w:themeColor="text1"/>
          <w:sz w:val="24"/>
          <w:szCs w:val="22"/>
          <w:highlight w:val="none"/>
          <w:lang w:val="en-US" w:eastAsia="zh-CN" w:bidi="ar-SA"/>
          <w14:textFill>
            <w14:solidFill>
              <w14:schemeClr w14:val="tx1"/>
            </w14:solidFill>
          </w14:textFill>
        </w:rPr>
        <w:t>16.6万</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元 </w:t>
      </w:r>
    </w:p>
    <w:p w14:paraId="05653D5B">
      <w:pPr>
        <w:pStyle w:val="7"/>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4"/>
        <w:tblW w:w="11250" w:type="dxa"/>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
        <w:gridCol w:w="480"/>
        <w:gridCol w:w="651"/>
        <w:gridCol w:w="5903"/>
        <w:gridCol w:w="537"/>
        <w:gridCol w:w="802"/>
        <w:gridCol w:w="848"/>
        <w:gridCol w:w="989"/>
        <w:gridCol w:w="650"/>
        <w:gridCol w:w="250"/>
      </w:tblGrid>
      <w:tr w14:paraId="619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250" w:type="dxa"/>
            <w:gridSpan w:val="10"/>
            <w:tcBorders>
              <w:top w:val="nil"/>
              <w:left w:val="nil"/>
              <w:bottom w:val="nil"/>
              <w:right w:val="nil"/>
            </w:tcBorders>
            <w:shd w:val="clear" w:color="auto" w:fill="auto"/>
            <w:vAlign w:val="center"/>
          </w:tcPr>
          <w:p w14:paraId="45143F1C">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茨竹镇卫星水库库区照明工程采购路灯最高限价</w:t>
            </w:r>
            <w:r>
              <w:rPr>
                <w:rFonts w:hint="eastAsia" w:ascii="宋体" w:hAnsi="宋体" w:cs="宋体"/>
                <w:b/>
                <w:bCs/>
                <w:i w:val="0"/>
                <w:iCs w:val="0"/>
                <w:color w:val="000000"/>
                <w:kern w:val="0"/>
                <w:sz w:val="24"/>
                <w:szCs w:val="24"/>
                <w:u w:val="none"/>
                <w:lang w:val="en-US" w:eastAsia="zh-CN" w:bidi="ar"/>
              </w:rPr>
              <w:t>清单</w:t>
            </w:r>
          </w:p>
        </w:tc>
      </w:tr>
      <w:tr w14:paraId="4A5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B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最高限价单价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E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最高限价总价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4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F03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6065E48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一、供配电系统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2、装置效能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电效率，照明部件功率与蓄电池的额定输出功率之比应大于90%；持续放电能力，按GB24460-2009第5.1.2条的要求保持正常照明，最后一天蓄电池应最少剩余20%的蓄电量。                                                                                             二、照明布置形式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1、本次设计照明光源设计为太阳能LED灯（灯型由业主确定），灯具功率为50W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灯杆高度6.0m。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2、灯杆、灯具、光源、电器主要参数要求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光源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a、光源采用LED，要求显示指数大于等于65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色温3300K～5000K。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b、色品容差不大于7SDCM，在寿命周期内光源的色品坐标与初始值的偏差不应超过0.012。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c、在标称工作状态下，灯具连续燃点3000小时的光源光通量维持率不应小于96%，灯具连续燃点6000小时的光源光通量维持率不应小于92%。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a、光源选择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选择优质LED光源，光源光效≥110Lm/W，整灯光效≥95Lm/W，显色指数Ra≥ 70，LED光源色温Tcp=3300k-5000K，寿命≥30000h。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E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5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166</w:t>
            </w:r>
            <w:r>
              <w:rPr>
                <w:rFonts w:hint="eastAsia" w:ascii="宋体" w:hAnsi="宋体" w:eastAsia="宋体" w:cs="宋体"/>
                <w:i w:val="0"/>
                <w:iCs w:val="0"/>
                <w:color w:val="000000"/>
                <w:kern w:val="0"/>
                <w:sz w:val="24"/>
                <w:szCs w:val="24"/>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3D9">
            <w:pPr>
              <w:jc w:val="center"/>
              <w:rPr>
                <w:rFonts w:hint="eastAsia" w:ascii="宋体" w:hAnsi="宋体" w:eastAsia="宋体" w:cs="宋体"/>
                <w:i w:val="0"/>
                <w:iCs w:val="0"/>
                <w:color w:val="000000"/>
                <w:sz w:val="24"/>
                <w:szCs w:val="24"/>
                <w:u w:val="none"/>
              </w:rPr>
            </w:pPr>
          </w:p>
        </w:tc>
      </w:tr>
      <w:tr w14:paraId="5746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19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C1E">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72BE">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3BD4BDC7">
            <w:pPr>
              <w:keepNext w:val="0"/>
              <w:keepLines w:val="0"/>
              <w:widowControl/>
              <w:numPr>
                <w:ilvl w:val="0"/>
                <w:numId w:val="1"/>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499745</wp:posOffset>
                  </wp:positionH>
                  <wp:positionV relativeFrom="page">
                    <wp:posOffset>4337050</wp:posOffset>
                  </wp:positionV>
                  <wp:extent cx="1903730" cy="1990725"/>
                  <wp:effectExtent l="0" t="0" r="1270" b="9525"/>
                  <wp:wrapSquare wrapText="bothSides"/>
                  <wp:docPr id="16" name="图片 16"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dda196deb230d7d86059a4b8b27ecc"/>
                          <pic:cNvPicPr>
                            <a:picLocks noChangeAspect="1"/>
                          </pic:cNvPicPr>
                        </pic:nvPicPr>
                        <pic:blipFill>
                          <a:blip r:embed="rId10"/>
                          <a:stretch>
                            <a:fillRect/>
                          </a:stretch>
                        </pic:blipFill>
                        <pic:spPr>
                          <a:xfrm>
                            <a:off x="0" y="0"/>
                            <a:ext cx="1903730" cy="1990725"/>
                          </a:xfrm>
                          <a:prstGeom prst="rect">
                            <a:avLst/>
                          </a:prstGeom>
                        </pic:spPr>
                      </pic:pic>
                    </a:graphicData>
                  </a:graphic>
                </wp:anchor>
              </w:drawing>
            </w:r>
            <w:r>
              <w:rPr>
                <w:rFonts w:hint="eastAsia" w:ascii="宋体" w:hAnsi="宋体" w:eastAsia="宋体" w:cs="宋体"/>
                <w:i w:val="0"/>
                <w:iCs w:val="0"/>
                <w:color w:val="000000"/>
                <w:kern w:val="0"/>
                <w:sz w:val="24"/>
                <w:szCs w:val="24"/>
                <w:u w:val="none"/>
                <w:lang w:val="en-US" w:eastAsia="zh-CN" w:bidi="ar"/>
              </w:rPr>
              <w:t>灯杆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灯杆高度为6.0m，灯臂长度1.0~ 1.2m。灯杆主要参数要求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灯杆材质为国标优质Q235或宝钢的特制SS400低硅低碳钢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其中Si≤0.04%、屈服强度245DPa</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。采用圆锥形；提供钢材供货合同及质量证明书。并做热浸锌喷塑防腐处理，灯杆样式和颜色由业主指定。路灯灯杆外径底端130mm、顶端60mm、壁厚3mm（包含字体及编号）。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蓄电池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蓄电池安装方式采用背负式，采用不低于50Ah的动力磷酸铁锂电池，工作电压3.2V。在满寿命周期内的充放电次数不小于3000次。（提供锂电池厂家进入国家工信部《锂离子电池行业规范条件》企业名单，提供（直辖市）级以上带有“CMA</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CNAS”标志的检验报告。锂电池使用全新电池，严禁使用从新能源汽车上拆下来的旧锂电芯组装的锂电池，中标单位在中标后24小时内送锂电池样品甲方确认，产品交货安装时由甲方二次抽检）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5）地脚螺栓预埋件（详图）、热镀锌角钢（L50*5）、每个基础2.5米长、绝缘护套导线（BVV-3X2.5）每个基础1米、聚氯乙烯电缆护管（PVCφ50）每个基础</w:t>
            </w:r>
            <w:r>
              <w:rPr>
                <w:rFonts w:hint="eastAsia" w:ascii="宋体" w:hAnsi="宋体" w:cs="宋体"/>
                <w:i w:val="0"/>
                <w:iCs w:val="0"/>
                <w:color w:val="000000"/>
                <w:kern w:val="0"/>
                <w:sz w:val="24"/>
                <w:szCs w:val="24"/>
                <w:u w:val="none"/>
                <w:lang w:val="en-US" w:eastAsia="zh-CN" w:bidi="ar"/>
              </w:rPr>
              <w:t>0.8</w:t>
            </w:r>
            <w:r>
              <w:rPr>
                <w:rFonts w:hint="eastAsia" w:ascii="宋体" w:hAnsi="宋体" w:eastAsia="宋体" w:cs="宋体"/>
                <w:i w:val="0"/>
                <w:iCs w:val="0"/>
                <w:color w:val="000000"/>
                <w:kern w:val="0"/>
                <w:sz w:val="24"/>
                <w:szCs w:val="24"/>
                <w:u w:val="none"/>
                <w:lang w:val="en-US" w:eastAsia="zh-CN" w:bidi="ar"/>
              </w:rPr>
              <w:t>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24B4DF4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2BBFEB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1B9786B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6DF76F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90D25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FF56F1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F0493B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386E2F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4BC355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0E1E678">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灯开闭控制采用时钟和光控相结合的方式进行控制。根据本地区自然环境，照明系统每天工作8小时（前半夜4小时全功率照亮，后半夜4小时半功率照亮），保证连续阴雨天数3～5天提供照明，两个连续阴雨天之间的设计最短天数为20天。本地区晴天日照峰值时间约3012h。</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545C">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BCAF">
            <w:pPr>
              <w:jc w:val="center"/>
              <w:rPr>
                <w:rFonts w:hint="eastAsia" w:ascii="宋体" w:hAnsi="宋体" w:eastAsia="宋体" w:cs="宋体"/>
                <w:i w:val="0"/>
                <w:iCs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31ED">
            <w:pPr>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6BA8">
            <w:pPr>
              <w:jc w:val="center"/>
              <w:rPr>
                <w:rFonts w:hint="eastAsia" w:ascii="宋体" w:hAnsi="宋体" w:eastAsia="宋体" w:cs="宋体"/>
                <w:i w:val="0"/>
                <w:iCs w:val="0"/>
                <w:color w:val="000000"/>
                <w:sz w:val="24"/>
                <w:szCs w:val="24"/>
                <w:u w:val="none"/>
              </w:rPr>
            </w:pPr>
          </w:p>
        </w:tc>
        <w:tc>
          <w:tcPr>
            <w:tcW w:w="650" w:type="dxa"/>
            <w:tcBorders>
              <w:top w:val="nil"/>
              <w:left w:val="single" w:color="000000" w:sz="4" w:space="0"/>
              <w:bottom w:val="single" w:color="000000" w:sz="4" w:space="0"/>
              <w:right w:val="single" w:color="000000" w:sz="4" w:space="0"/>
            </w:tcBorders>
            <w:shd w:val="clear" w:color="auto" w:fill="auto"/>
            <w:noWrap/>
            <w:vAlign w:val="center"/>
          </w:tcPr>
          <w:p w14:paraId="6B89A752">
            <w:pPr>
              <w:jc w:val="center"/>
              <w:rPr>
                <w:rFonts w:hint="eastAsia" w:ascii="宋体" w:hAnsi="宋体" w:eastAsia="宋体" w:cs="宋体"/>
                <w:i w:val="0"/>
                <w:iCs w:val="0"/>
                <w:color w:val="000000"/>
                <w:sz w:val="24"/>
                <w:szCs w:val="24"/>
                <w:u w:val="none"/>
              </w:rPr>
            </w:pPr>
          </w:p>
        </w:tc>
      </w:tr>
      <w:tr w14:paraId="2955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2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97B5">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24D7">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79417C6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四、照明节能措施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2、路灯控制：为节约电能，可通过</w:t>
            </w:r>
            <w:r>
              <w:rPr>
                <w:rFonts w:hint="eastAsia" w:ascii="宋体" w:hAnsi="宋体" w:cs="宋体"/>
                <w:i w:val="0"/>
                <w:iCs w:val="0"/>
                <w:color w:val="000000"/>
                <w:kern w:val="0"/>
                <w:sz w:val="24"/>
                <w:szCs w:val="24"/>
                <w:u w:val="none"/>
                <w:lang w:val="en-US" w:eastAsia="zh-CN" w:bidi="ar"/>
              </w:rPr>
              <w:t>设置</w:t>
            </w:r>
            <w:r>
              <w:rPr>
                <w:rFonts w:hint="eastAsia" w:ascii="宋体" w:hAnsi="宋体" w:eastAsia="宋体" w:cs="宋体"/>
                <w:i w:val="0"/>
                <w:iCs w:val="0"/>
                <w:color w:val="000000"/>
                <w:kern w:val="0"/>
                <w:sz w:val="24"/>
                <w:szCs w:val="24"/>
                <w:u w:val="none"/>
                <w:lang w:val="en-US" w:eastAsia="zh-CN" w:bidi="ar"/>
              </w:rPr>
              <w:t>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B83">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C18">
            <w:pPr>
              <w:jc w:val="center"/>
              <w:rPr>
                <w:rFonts w:hint="eastAsia" w:ascii="宋体" w:hAnsi="宋体" w:eastAsia="宋体" w:cs="宋体"/>
                <w:i w:val="0"/>
                <w:iCs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A183">
            <w:pPr>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DAEC">
            <w:pPr>
              <w:jc w:val="center"/>
              <w:rPr>
                <w:rFonts w:hint="eastAsia" w:ascii="宋体" w:hAnsi="宋体" w:eastAsia="宋体" w:cs="宋体"/>
                <w:i w:val="0"/>
                <w:iCs w:val="0"/>
                <w:color w:val="000000"/>
                <w:sz w:val="24"/>
                <w:szCs w:val="24"/>
                <w:u w:val="none"/>
              </w:rPr>
            </w:pPr>
          </w:p>
        </w:tc>
        <w:tc>
          <w:tcPr>
            <w:tcW w:w="650" w:type="dxa"/>
            <w:tcBorders>
              <w:top w:val="nil"/>
              <w:left w:val="single" w:color="000000" w:sz="4" w:space="0"/>
              <w:bottom w:val="single" w:color="000000" w:sz="4" w:space="0"/>
              <w:right w:val="single" w:color="000000" w:sz="4" w:space="0"/>
            </w:tcBorders>
            <w:shd w:val="clear" w:color="auto" w:fill="auto"/>
            <w:noWrap/>
            <w:vAlign w:val="center"/>
          </w:tcPr>
          <w:p w14:paraId="6ED6DAFC">
            <w:pPr>
              <w:jc w:val="center"/>
              <w:rPr>
                <w:rFonts w:hint="eastAsia" w:ascii="宋体" w:hAnsi="宋体" w:eastAsia="宋体" w:cs="宋体"/>
                <w:i w:val="0"/>
                <w:iCs w:val="0"/>
                <w:color w:val="000000"/>
                <w:sz w:val="24"/>
                <w:szCs w:val="24"/>
                <w:u w:val="none"/>
              </w:rPr>
            </w:pPr>
          </w:p>
        </w:tc>
      </w:tr>
      <w:tr w14:paraId="7881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40" w:type="dxa"/>
          <w:wAfter w:w="250" w:type="dxa"/>
          <w:trHeight w:val="1404"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E6D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注：1、单价费用包含：包括设备购买、辅材费、到场后的下车费、运输费、财务费用、税金、利润等一切费用。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2、送货到现场后，甲方委托专业机构抽检。</w:t>
            </w:r>
          </w:p>
        </w:tc>
      </w:tr>
    </w:tbl>
    <w:p w14:paraId="3573D806">
      <w:pPr>
        <w:pStyle w:val="7"/>
        <w:keepNext w:val="0"/>
        <w:keepLines w:val="0"/>
        <w:pageBreakBefore w:val="0"/>
        <w:widowControl/>
        <w:kinsoku/>
        <w:wordWrap/>
        <w:overflowPunct/>
        <w:topLinePunct w:val="0"/>
        <w:autoSpaceDE/>
        <w:autoSpaceDN/>
        <w:bidi w:val="0"/>
        <w:adjustRightInd/>
        <w:snapToGrid w:val="0"/>
        <w:spacing w:line="500" w:lineRule="exact"/>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w:t>
      </w:r>
      <w:r>
        <w:rPr>
          <w:rFonts w:hint="eastAsia" w:ascii="宋体" w:hAnsi="宋体" w:cs="宋体"/>
          <w:color w:val="000000" w:themeColor="text1"/>
          <w:sz w:val="24"/>
          <w:szCs w:val="24"/>
          <w:highlight w:val="none"/>
          <w:lang w:val="en-US" w:eastAsia="zh-CN"/>
          <w14:textFill>
            <w14:solidFill>
              <w14:schemeClr w14:val="tx1"/>
            </w14:solidFill>
          </w14:textFill>
        </w:rPr>
        <w:t>路灯</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的相关资质。</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阅读产品品牌、</w:t>
      </w:r>
      <w:r>
        <w:rPr>
          <w:rFonts w:hint="eastAsia" w:ascii="宋体" w:hAnsi="宋体" w:eastAsia="宋体" w:cs="宋体"/>
          <w:b w:val="0"/>
          <w:bCs w:val="0"/>
          <w:i w:val="0"/>
          <w:iCs w:val="0"/>
          <w:color w:val="000000"/>
          <w:kern w:val="0"/>
          <w:sz w:val="24"/>
          <w:szCs w:val="24"/>
          <w:u w:val="none"/>
          <w:lang w:val="en-US" w:eastAsia="zh-CN" w:bidi="ar"/>
        </w:rPr>
        <w:t>规格</w:t>
      </w:r>
      <w:r>
        <w:rPr>
          <w:rFonts w:hint="eastAsia" w:ascii="宋体" w:hAnsi="宋体" w:cs="宋体"/>
          <w:sz w:val="24"/>
          <w:szCs w:val="24"/>
          <w:highlight w:val="none"/>
          <w:lang w:val="en-US" w:eastAsia="zh-CN"/>
        </w:rPr>
        <w:t>及</w:t>
      </w:r>
      <w:r>
        <w:rPr>
          <w:rFonts w:hint="eastAsia" w:ascii="宋体" w:hAnsi="宋体" w:cs="宋体"/>
          <w:sz w:val="24"/>
          <w:szCs w:val="24"/>
          <w:lang w:val="en-US" w:eastAsia="zh-CN"/>
        </w:rPr>
        <w:t>质量要求、</w:t>
      </w:r>
      <w:r>
        <w:rPr>
          <w:rFonts w:hint="eastAsia" w:ascii="宋体" w:hAnsi="宋体" w:eastAsia="宋体" w:cs="宋体"/>
          <w:sz w:val="24"/>
          <w:szCs w:val="24"/>
        </w:rPr>
        <w:t>验收等各项因素的影响，不得以此为借口而调价。各投标人所报价格是经过认真</w:t>
      </w:r>
      <w:r>
        <w:rPr>
          <w:rFonts w:hint="eastAsia" w:ascii="宋体" w:hAnsi="宋体" w:cs="宋体"/>
          <w:sz w:val="24"/>
          <w:szCs w:val="24"/>
          <w:lang w:val="en-US" w:eastAsia="zh-CN"/>
        </w:rPr>
        <w:t>阅读产品规格和材质及质量要求、</w:t>
      </w:r>
      <w:r>
        <w:rPr>
          <w:rFonts w:hint="eastAsia" w:ascii="宋体" w:hAnsi="宋体" w:eastAsia="宋体" w:cs="宋体"/>
          <w:sz w:val="24"/>
          <w:szCs w:val="24"/>
        </w:rPr>
        <w:t>验收等各项因素并掌握了现场所有情况的最终报价。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7"/>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、技术、质量及其他要求</w:t>
      </w:r>
    </w:p>
    <w:p w14:paraId="5D8F9AEA">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国家现行有关的</w:t>
      </w:r>
      <w:r>
        <w:rPr>
          <w:rFonts w:hint="eastAsia" w:ascii="宋体" w:hAnsi="宋体" w:cs="宋体"/>
          <w:sz w:val="24"/>
          <w:szCs w:val="24"/>
          <w:lang w:eastAsia="zh-CN"/>
        </w:rPr>
        <w:t>法律法规</w:t>
      </w:r>
      <w:r>
        <w:rPr>
          <w:rFonts w:hint="eastAsia" w:ascii="宋体" w:hAnsi="宋体" w:eastAsia="宋体" w:cs="宋体"/>
          <w:sz w:val="24"/>
          <w:szCs w:val="24"/>
        </w:rPr>
        <w:t>：</w:t>
      </w:r>
    </w:p>
    <w:p w14:paraId="7AEE174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《民用建筑电气设计标准》 GB 51348-2019</w:t>
      </w:r>
    </w:p>
    <w:p w14:paraId="509DBD7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《供配电系统设计规范》 GB 50052-2009</w:t>
      </w:r>
    </w:p>
    <w:p w14:paraId="34C721B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《低压配电设计规范》 GB 50054-2011</w:t>
      </w:r>
    </w:p>
    <w:p w14:paraId="1B11069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《建筑照明设计标准》 GB/T 50034-2024</w:t>
      </w:r>
    </w:p>
    <w:p w14:paraId="1BFDA1F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《电力工程电缆设计标准》 GB 50217-2018</w:t>
      </w:r>
    </w:p>
    <w:p w14:paraId="5534DB3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《建筑电气与智能化通用规范》 GB 55024-2022</w:t>
      </w:r>
    </w:p>
    <w:p w14:paraId="72A1B0C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《建筑环境通用规范》 GB 55016-2021</w:t>
      </w:r>
    </w:p>
    <w:p w14:paraId="1B36CE5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《建筑物防雷设计规范》 GB 50057-2010</w:t>
      </w:r>
    </w:p>
    <w:p w14:paraId="5A0788E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bookmarkStart w:id="3" w:name="_GoBack"/>
      <w:r>
        <w:rPr>
          <w:rFonts w:hint="eastAsia" w:ascii="宋体" w:hAnsi="宋体" w:eastAsia="宋体" w:cs="宋体"/>
          <w:sz w:val="24"/>
          <w:szCs w:val="24"/>
        </w:rPr>
        <w:t>《村镇照明规范》 GB/T 40995-2021</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eastAsia="宋体" w:cs="宋体"/>
          <w:sz w:val="24"/>
          <w:szCs w:val="24"/>
          <w:u w:val="single"/>
        </w:rPr>
        <w:t>货物外观与规格验收</w:t>
      </w:r>
      <w:r>
        <w:rPr>
          <w:rFonts w:hint="eastAsia" w:ascii="宋体" w:hAnsi="宋体" w:cs="宋体"/>
          <w:sz w:val="24"/>
          <w:szCs w:val="24"/>
          <w:u w:val="single"/>
          <w:lang w:eastAsia="zh-CN"/>
        </w:rPr>
        <w:t>、技术性能测试（</w:t>
      </w:r>
      <w:r>
        <w:rPr>
          <w:rFonts w:hint="eastAsia" w:ascii="宋体" w:hAnsi="宋体" w:cs="宋体"/>
          <w:sz w:val="24"/>
          <w:szCs w:val="24"/>
          <w:u w:val="single"/>
          <w:lang w:val="en-US" w:eastAsia="zh-CN"/>
        </w:rPr>
        <w:t>检测内容见本文</w:t>
      </w:r>
      <w:r>
        <w:rPr>
          <w:rFonts w:hint="eastAsia" w:ascii="宋体" w:hAnsi="宋体" w:eastAsia="宋体" w:cs="宋体"/>
          <w:i w:val="0"/>
          <w:iCs w:val="0"/>
          <w:color w:val="000000"/>
          <w:kern w:val="0"/>
          <w:sz w:val="24"/>
          <w:szCs w:val="24"/>
          <w:u w:val="single"/>
          <w:lang w:val="en-US" w:eastAsia="zh-CN" w:bidi="ar"/>
        </w:rPr>
        <w:t>设备型号、规格及</w:t>
      </w:r>
      <w:r>
        <w:rPr>
          <w:rFonts w:hint="eastAsia" w:ascii="宋体" w:hAnsi="宋体" w:cs="宋体"/>
          <w:i w:val="0"/>
          <w:iCs w:val="0"/>
          <w:color w:val="000000"/>
          <w:kern w:val="0"/>
          <w:sz w:val="24"/>
          <w:szCs w:val="24"/>
          <w:u w:val="single"/>
          <w:lang w:val="en-US" w:eastAsia="zh-CN" w:bidi="ar"/>
        </w:rPr>
        <w:t>参数表</w:t>
      </w:r>
      <w:r>
        <w:rPr>
          <w:rFonts w:hint="eastAsia" w:ascii="宋体" w:hAnsi="宋体" w:cs="宋体"/>
          <w:sz w:val="24"/>
          <w:szCs w:val="24"/>
          <w:u w:val="single"/>
          <w:lang w:eastAsia="zh-CN"/>
        </w:rPr>
        <w:t>）安全与合规性验证、文件与资料验收、数量与包装验收、合同符合性验收、</w:t>
      </w:r>
      <w:r>
        <w:rPr>
          <w:rFonts w:hint="eastAsia" w:ascii="宋体" w:hAnsi="宋体" w:cs="宋体"/>
          <w:sz w:val="24"/>
          <w:szCs w:val="24"/>
          <w:u w:val="single"/>
          <w:lang w:val="en-US" w:eastAsia="zh-CN"/>
        </w:rPr>
        <w:t>售后</w:t>
      </w:r>
      <w:r>
        <w:rPr>
          <w:rFonts w:hint="eastAsia" w:ascii="宋体" w:hAnsi="宋体" w:eastAsia="宋体" w:cs="宋体"/>
          <w:sz w:val="24"/>
          <w:szCs w:val="24"/>
          <w:u w:val="single"/>
        </w:rPr>
        <w:t>等内容。</w:t>
      </w:r>
    </w:p>
    <w:p w14:paraId="71D757B9">
      <w:pPr>
        <w:pStyle w:val="13"/>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送货</w:t>
      </w:r>
      <w:r>
        <w:rPr>
          <w:rFonts w:hint="eastAsia" w:ascii="宋体" w:hAnsi="宋体" w:eastAsia="宋体" w:cs="宋体"/>
          <w:b/>
          <w:bCs/>
          <w:sz w:val="24"/>
          <w:szCs w:val="24"/>
        </w:rPr>
        <w:t>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cs="宋体"/>
          <w:sz w:val="24"/>
          <w:szCs w:val="24"/>
          <w:lang w:val="en-US" w:eastAsia="zh-CN"/>
        </w:rPr>
        <w:t>送货</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3"/>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送货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val="zh-CN" w:eastAsia="zh-CN"/>
        </w:rPr>
        <w:t>茨竹镇</w:t>
      </w:r>
      <w:r>
        <w:rPr>
          <w:rFonts w:hint="eastAsia" w:ascii="宋体" w:hAnsi="宋体" w:eastAsia="宋体" w:cs="宋体"/>
          <w:color w:val="auto"/>
          <w:sz w:val="24"/>
          <w:szCs w:val="24"/>
          <w:highlight w:val="none"/>
          <w:u w:val="single"/>
          <w:lang w:val="en-US" w:eastAsia="zh-CN"/>
        </w:rPr>
        <w:t>施工范围内</w:t>
      </w:r>
      <w:r>
        <w:rPr>
          <w:rFonts w:hint="eastAsia" w:ascii="宋体" w:hAnsi="宋体" w:eastAsia="宋体" w:cs="宋体"/>
          <w:sz w:val="24"/>
          <w:szCs w:val="24"/>
          <w:u w:val="single"/>
          <w:lang w:val="en-US" w:eastAsia="zh-CN"/>
        </w:rPr>
        <w:t>。</w:t>
      </w:r>
    </w:p>
    <w:p w14:paraId="2FCCA342">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cs="宋体"/>
          <w:b/>
          <w:bCs/>
          <w:sz w:val="24"/>
          <w:szCs w:val="24"/>
          <w:lang w:val="en-US" w:eastAsia="zh-CN"/>
        </w:rPr>
        <w:t>保证金收取及</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5DEF16E2">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6.1投标保证金</w:t>
      </w:r>
    </w:p>
    <w:p w14:paraId="719559C3">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6.1.1缴纳形式：银行转账的形式，转账时间截止至开标日三天前（抬头：重庆市揽众农业发展有限责任公司；开户行及账号：重庆农村商业银行渝北支行1317010120010003557；）。</w:t>
      </w:r>
    </w:p>
    <w:p w14:paraId="42974088">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6.1.2收取标准：投标保证金为固定金额3000元（大写：叁千元整）。</w:t>
      </w:r>
    </w:p>
    <w:p w14:paraId="488A2A80">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6.1.3退还要求：在投标截止时间前撤回已提交投标文件的，自收到书面撤回通知之日起5个工作日内退还；未中标的，自中标通知书发出之日起5个工作日内退还；已中标的，自采购合同签订之日起5个工作日内退还或转为履约保证金。若采购人终止招标，应在终止采购活动后5个工作日内，退还投标保证金。</w:t>
      </w:r>
    </w:p>
    <w:p w14:paraId="600D00F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6.1.4不予退还的情形：投标供货商在投标有效期内撤销投标文件；中标后无正当理由不与采购人订立合同；在签订合同时向采购人提出附加条件；不按照招标文件要求提交履约保证金等，采购人或采购代理机构可不予退还投标保证金。</w:t>
      </w:r>
    </w:p>
    <w:p w14:paraId="3F94084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6.1.5逾期退还的责任：除退还本金外，还应按中国人民银行同期贷款基准利率上浮20％后的利率支付超期资金占用费，但因投标供应商自身原因导致无法及时退还的除外。</w:t>
      </w:r>
    </w:p>
    <w:p w14:paraId="1A7DB7FE">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6.2履约保证金</w:t>
      </w:r>
    </w:p>
    <w:p w14:paraId="793C75CA">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6.2.1</w:t>
      </w:r>
      <w:r>
        <w:rPr>
          <w:rFonts w:hint="eastAsia" w:ascii="宋体" w:hAnsi="宋体" w:eastAsia="宋体" w:cs="宋体"/>
          <w:color w:val="000000"/>
          <w:kern w:val="0"/>
          <w:sz w:val="24"/>
          <w:szCs w:val="24"/>
          <w:lang w:val="en-US" w:eastAsia="zh-CN" w:bidi="ar-SA"/>
        </w:rPr>
        <w:t>缴纳形式</w:t>
      </w:r>
      <w:r>
        <w:rPr>
          <w:rFonts w:hint="eastAsia" w:ascii="宋体" w:hAnsi="宋体" w:cs="宋体"/>
          <w:color w:val="000000"/>
          <w:kern w:val="0"/>
          <w:sz w:val="24"/>
          <w:szCs w:val="24"/>
          <w:lang w:val="en-US" w:eastAsia="zh-CN" w:bidi="ar-SA"/>
        </w:rPr>
        <w:t>：银行转账的形式（抬头：重庆市揽众农业发展有限责任公司；开户行及账号：重庆农村商业银行渝北支行1317010120010003557；）。</w:t>
      </w:r>
    </w:p>
    <w:p w14:paraId="5B3988E4">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6.2.2收取时间：</w:t>
      </w:r>
      <w:r>
        <w:rPr>
          <w:rFonts w:hint="eastAsia" w:ascii="宋体" w:hAnsi="宋体" w:eastAsia="宋体" w:cs="宋体"/>
          <w:color w:val="000000"/>
          <w:kern w:val="0"/>
          <w:sz w:val="24"/>
          <w:szCs w:val="24"/>
          <w:lang w:val="en-US" w:eastAsia="zh-CN" w:bidi="ar-SA"/>
        </w:rPr>
        <w:t>中标通知书发出后，中标人接到通知书后、签订合同之前收取。</w:t>
      </w:r>
    </w:p>
    <w:bookmarkEnd w:id="3"/>
    <w:p w14:paraId="53124F0A">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6.2.3</w:t>
      </w:r>
      <w:r>
        <w:rPr>
          <w:rFonts w:hint="eastAsia" w:ascii="宋体" w:hAnsi="宋体" w:eastAsia="宋体" w:cs="宋体"/>
          <w:color w:val="000000"/>
          <w:kern w:val="0"/>
          <w:sz w:val="24"/>
          <w:szCs w:val="24"/>
          <w:lang w:val="en-US" w:eastAsia="zh-CN" w:bidi="ar-SA"/>
        </w:rPr>
        <w:t>数额标准</w:t>
      </w:r>
      <w:r>
        <w:rPr>
          <w:rFonts w:hint="eastAsia" w:ascii="宋体" w:hAnsi="宋体" w:cs="宋体"/>
          <w:color w:val="000000"/>
          <w:kern w:val="0"/>
          <w:sz w:val="24"/>
          <w:szCs w:val="24"/>
          <w:lang w:val="en-US" w:eastAsia="zh-CN" w:bidi="ar-SA"/>
        </w:rPr>
        <w:t>：中标</w:t>
      </w:r>
      <w:r>
        <w:rPr>
          <w:rFonts w:hint="eastAsia" w:ascii="宋体" w:hAnsi="宋体" w:eastAsia="宋体" w:cs="宋体"/>
          <w:color w:val="000000"/>
          <w:kern w:val="0"/>
          <w:sz w:val="24"/>
          <w:szCs w:val="24"/>
          <w:lang w:val="en-US" w:eastAsia="zh-CN" w:bidi="ar-SA"/>
        </w:rPr>
        <w:t>合同总价</w:t>
      </w:r>
      <w:r>
        <w:rPr>
          <w:rFonts w:hint="eastAsia" w:ascii="宋体" w:hAnsi="宋体" w:cs="宋体"/>
          <w:color w:val="000000"/>
          <w:kern w:val="0"/>
          <w:sz w:val="24"/>
          <w:szCs w:val="24"/>
          <w:lang w:val="en-US" w:eastAsia="zh-CN" w:bidi="ar-SA"/>
        </w:rPr>
        <w:t>的10%。</w:t>
      </w:r>
      <w:r>
        <w:rPr>
          <w:rFonts w:hint="eastAsia" w:ascii="宋体" w:hAnsi="宋体" w:eastAsia="宋体" w:cs="宋体"/>
          <w:color w:val="000000"/>
          <w:kern w:val="0"/>
          <w:sz w:val="24"/>
          <w:szCs w:val="24"/>
          <w:lang w:val="en-US" w:eastAsia="zh-CN" w:bidi="ar-SA"/>
        </w:rPr>
        <w:t xml:space="preserve"> </w:t>
      </w:r>
    </w:p>
    <w:p w14:paraId="0B769EEC">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6.2.4</w:t>
      </w:r>
      <w:r>
        <w:rPr>
          <w:rFonts w:hint="eastAsia" w:ascii="宋体" w:hAnsi="宋体" w:eastAsia="宋体" w:cs="宋体"/>
          <w:color w:val="000000"/>
          <w:kern w:val="0"/>
          <w:sz w:val="24"/>
          <w:szCs w:val="24"/>
          <w:lang w:val="en-US" w:eastAsia="zh-CN" w:bidi="ar-SA"/>
        </w:rPr>
        <w:t xml:space="preserve"> 退还方式</w:t>
      </w:r>
      <w:r>
        <w:rPr>
          <w:rFonts w:hint="eastAsia" w:ascii="宋体" w:hAnsi="宋体" w:cs="宋体"/>
          <w:color w:val="000000"/>
          <w:kern w:val="0"/>
          <w:sz w:val="24"/>
          <w:szCs w:val="24"/>
          <w:lang w:val="en-US" w:eastAsia="zh-CN" w:bidi="ar-SA"/>
        </w:rPr>
        <w:t>：茨竹镇产业发展中心委托第三方专业检测机构检测合格，并送货完成后20个工作日内无息退还。</w:t>
      </w:r>
    </w:p>
    <w:p w14:paraId="3E1D415F">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6.2.5</w:t>
      </w:r>
      <w:r>
        <w:rPr>
          <w:rFonts w:hint="eastAsia" w:ascii="宋体" w:hAnsi="宋体" w:eastAsia="宋体" w:cs="宋体"/>
          <w:color w:val="000000"/>
          <w:kern w:val="0"/>
          <w:sz w:val="24"/>
          <w:szCs w:val="24"/>
          <w:lang w:val="en-US" w:eastAsia="zh-CN" w:bidi="ar-SA"/>
        </w:rPr>
        <w:t>逾期责任</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逾期退还履约保证金的，应按合同约定对中标供应商受到的损失予以补偿。</w:t>
      </w:r>
    </w:p>
    <w:p w14:paraId="74A85128">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6.3支付方式</w:t>
      </w:r>
      <w:r>
        <w:rPr>
          <w:rFonts w:hint="eastAsia" w:ascii="宋体" w:hAnsi="宋体" w:eastAsia="宋体" w:cs="宋体"/>
          <w:color w:val="000000"/>
          <w:kern w:val="0"/>
          <w:sz w:val="24"/>
          <w:szCs w:val="24"/>
          <w:lang w:val="en-US" w:eastAsia="zh-CN" w:bidi="ar-SA"/>
        </w:rPr>
        <w:t xml:space="preserve"> </w:t>
      </w:r>
      <w:r>
        <w:rPr>
          <w:rFonts w:hint="eastAsia" w:ascii="宋体" w:hAnsi="宋体" w:cs="宋体"/>
          <w:color w:val="000000"/>
          <w:kern w:val="0"/>
          <w:sz w:val="24"/>
          <w:szCs w:val="24"/>
          <w:lang w:val="en-US" w:eastAsia="zh-CN" w:bidi="ar-SA"/>
        </w:rPr>
        <w:t>：</w:t>
      </w:r>
    </w:p>
    <w:p w14:paraId="2A1EC673">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6.3.1供货方送货到指定现场后按批次支</w:t>
      </w:r>
      <w:r>
        <w:rPr>
          <w:rFonts w:hint="eastAsia" w:ascii="宋体" w:hAnsi="宋体" w:eastAsia="宋体" w:cs="宋体"/>
          <w:color w:val="000000"/>
          <w:kern w:val="0"/>
          <w:sz w:val="24"/>
          <w:szCs w:val="24"/>
          <w:lang w:val="en-US" w:eastAsia="zh-CN" w:bidi="ar-SA"/>
        </w:rPr>
        <w:t>付</w:t>
      </w:r>
      <w:r>
        <w:rPr>
          <w:rFonts w:hint="eastAsia" w:ascii="宋体" w:hAnsi="宋体" w:cs="宋体"/>
          <w:color w:val="000000"/>
          <w:kern w:val="0"/>
          <w:sz w:val="24"/>
          <w:szCs w:val="24"/>
          <w:lang w:val="en-US" w:eastAsia="zh-CN" w:bidi="ar-SA"/>
        </w:rPr>
        <w:t>到货</w:t>
      </w:r>
      <w:r>
        <w:rPr>
          <w:rFonts w:hint="eastAsia" w:ascii="宋体" w:hAnsi="宋体" w:eastAsia="宋体" w:cs="宋体"/>
          <w:color w:val="000000"/>
          <w:kern w:val="0"/>
          <w:sz w:val="24"/>
          <w:szCs w:val="24"/>
          <w:lang w:val="en-US" w:eastAsia="zh-CN" w:bidi="ar-SA"/>
        </w:rPr>
        <w:t>总价的</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0%（分批次出货、分批次付款）；</w:t>
      </w:r>
      <w:r>
        <w:rPr>
          <w:rFonts w:hint="eastAsia" w:ascii="宋体" w:hAnsi="宋体" w:cs="宋体"/>
          <w:color w:val="000000"/>
          <w:kern w:val="0"/>
          <w:sz w:val="24"/>
          <w:szCs w:val="24"/>
          <w:lang w:val="en-US" w:eastAsia="zh-CN" w:bidi="ar-SA"/>
        </w:rPr>
        <w:t>购买方对外观、壁厚、合格证等常规参数全数抽检，茨竹镇产业发展中心委托第三方专业检测机构检测（随机抽检）合格后支付至到货总价的80%；全部路灯安装完成并验收合格后支付至合同总价的97%；余款3%作为质保金，质保2年（自产品检验合格之日起算，质保期内出现产品故障问题，免费提供产品配件）。</w:t>
      </w:r>
    </w:p>
    <w:p w14:paraId="2774EB6E">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6.3.2若抽检不合格，到场产品全部退回乙方，造成的所有损失由乙方承担；如乙方不能再次按甲方要求提供合格产品，甲方有权终止合同，由此对甲方造成的所有损失由乙方承担，履约保证金不予退还。</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招</w:t>
      </w:r>
      <w:r>
        <w:rPr>
          <w:rFonts w:hint="eastAsia" w:ascii="宋体" w:hAnsi="宋体" w:eastAsia="宋体" w:cs="宋体"/>
          <w:b/>
          <w:bCs/>
          <w:color w:val="000000" w:themeColor="text1"/>
          <w:sz w:val="24"/>
          <w:szCs w:val="24"/>
          <w14:textFill>
            <w14:solidFill>
              <w14:schemeClr w14:val="tx1"/>
            </w14:solidFill>
          </w14:textFill>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.1本</w:t>
      </w:r>
      <w:r>
        <w:rPr>
          <w:rFonts w:hint="eastAsia" w:ascii="宋体" w:hAnsi="宋体" w:eastAsia="宋体" w:cs="宋体"/>
          <w:color w:val="000000" w:themeColor="text1"/>
          <w:kern w:val="0"/>
          <w:sz w:val="24"/>
          <w:szCs w:val="24"/>
          <w:lang w:val="en-US" w:eastAsia="zh-CN" w:bidi="ar-SA"/>
          <w14:textFill>
            <w14:solidFill>
              <w14:schemeClr w14:val="tx1"/>
            </w14:solidFill>
          </w14:textFill>
        </w:rPr>
        <w:t>次</w:t>
      </w:r>
      <w:r>
        <w:rPr>
          <w:rFonts w:hint="eastAsia" w:ascii="宋体" w:hAnsi="宋体" w:cs="宋体"/>
          <w:color w:val="000000" w:themeColor="text1"/>
          <w:kern w:val="0"/>
          <w:sz w:val="24"/>
          <w:szCs w:val="24"/>
          <w:lang w:val="en-US" w:eastAsia="zh-CN" w:bidi="ar-SA"/>
          <w14:textFill>
            <w14:solidFill>
              <w14:schemeClr w14:val="tx1"/>
            </w14:solidFill>
          </w14:textFill>
        </w:rPr>
        <w:t>招</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u w:val="singl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single"/>
          <w14:textFill>
            <w14:solidFill>
              <w14:schemeClr w14:val="tx1"/>
            </w14:solidFill>
          </w14:textFill>
        </w:rPr>
        <w:t>公司</w:t>
      </w:r>
      <w:r>
        <w:rPr>
          <w:rFonts w:hint="eastAsia" w:ascii="宋体" w:hAnsi="宋体" w:eastAsia="宋体" w:cs="宋体"/>
          <w:bCs/>
          <w:color w:val="000000" w:themeColor="text1"/>
          <w:sz w:val="24"/>
          <w:szCs w:val="24"/>
          <w14:textFill>
            <w14:solidFill>
              <w14:schemeClr w14:val="tx1"/>
            </w14:solidFill>
          </w14:textFill>
        </w:rPr>
        <w:t>组织，</w:t>
      </w:r>
      <w:r>
        <w:rPr>
          <w:rFonts w:hint="eastAsia" w:ascii="宋体" w:hAnsi="宋体" w:cs="宋体"/>
          <w:bCs/>
          <w:color w:val="000000" w:themeColor="text1"/>
          <w:sz w:val="24"/>
          <w:szCs w:val="24"/>
          <w:lang w:val="en-US" w:eastAsia="zh-CN"/>
          <w14:textFill>
            <w14:solidFill>
              <w14:schemeClr w14:val="tx1"/>
            </w14:solidFill>
          </w14:textFill>
        </w:rPr>
        <w:t>招</w:t>
      </w:r>
      <w:r>
        <w:rPr>
          <w:rFonts w:hint="eastAsia" w:ascii="宋体" w:hAnsi="宋体" w:eastAsia="宋体" w:cs="宋体"/>
          <w:bCs/>
          <w:color w:val="000000" w:themeColor="text1"/>
          <w:sz w:val="24"/>
          <w:szCs w:val="24"/>
          <w14:textFill>
            <w14:solidFill>
              <w14:schemeClr w14:val="tx1"/>
            </w14:solidFill>
          </w14:textFill>
        </w:rPr>
        <w:t>标结果适</w:t>
      </w:r>
      <w:r>
        <w:rPr>
          <w:rFonts w:hint="eastAsia" w:ascii="宋体" w:hAnsi="宋体" w:eastAsia="宋体" w:cs="宋体"/>
          <w:bCs/>
          <w:color w:val="000000" w:themeColor="text1"/>
          <w:sz w:val="24"/>
          <w:szCs w:val="24"/>
          <w:u w:val="none"/>
          <w14:textFill>
            <w14:solidFill>
              <w14:schemeClr w14:val="tx1"/>
            </w14:solidFill>
          </w14:textFill>
        </w:rPr>
        <w:t>用于</w:t>
      </w:r>
      <w:r>
        <w:rPr>
          <w:rFonts w:hint="eastAsia" w:ascii="宋体" w:hAnsi="宋体" w:eastAsia="宋体" w:cs="宋体"/>
          <w:bCs/>
          <w:color w:val="000000" w:themeColor="text1"/>
          <w:sz w:val="24"/>
          <w:szCs w:val="24"/>
          <w:u w:val="non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none"/>
          <w14:textFill>
            <w14:solidFill>
              <w14:schemeClr w14:val="tx1"/>
            </w14:solidFill>
          </w14:textFill>
        </w:rPr>
        <w:t>公司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茨竹镇卫星水库库区照明工程采购路灯</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4D428D1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招标时间2025年6月12日08时30分至2025年7月10日17时30分；投标书必须在2025年7月11日上午9点50分，送至渝北区茨竹镇竹峰路145号会议室，2025年7月11日上午10点准时开标。</w:t>
      </w:r>
    </w:p>
    <w:p w14:paraId="02E21ED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4D4EDEDF">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采取公开、透明、诚信的原则。评标价格</w:t>
      </w:r>
      <w:r>
        <w:rPr>
          <w:rFonts w:hint="eastAsia" w:ascii="宋体" w:hAnsi="宋体" w:cs="宋体"/>
          <w:sz w:val="24"/>
          <w:szCs w:val="24"/>
          <w:lang w:val="en-US" w:eastAsia="zh-CN"/>
        </w:rPr>
        <w:t>最低、</w:t>
      </w:r>
      <w:r>
        <w:rPr>
          <w:rFonts w:hint="eastAsia" w:ascii="宋体" w:hAnsi="宋体" w:eastAsia="宋体" w:cs="宋体"/>
          <w:sz w:val="24"/>
          <w:szCs w:val="24"/>
          <w:lang w:val="en-US" w:eastAsia="zh-CN"/>
        </w:rPr>
        <w:t>突出质量优先的原则。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茨竹镇卫星水库库区照明工程采购路灯</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w:t>
      </w:r>
      <w:r>
        <w:rPr>
          <w:rFonts w:hint="eastAsia" w:ascii="宋体" w:hAnsi="宋体" w:eastAsia="宋体" w:cs="宋体"/>
          <w:color w:val="auto"/>
          <w:sz w:val="24"/>
          <w:szCs w:val="24"/>
          <w:highlight w:val="none"/>
          <w:lang w:val="en-US" w:eastAsia="zh-CN"/>
        </w:rPr>
        <w:t>订《</w:t>
      </w:r>
      <w:r>
        <w:rPr>
          <w:rFonts w:hint="eastAsia" w:ascii="宋体" w:hAnsi="宋体" w:cs="宋体"/>
          <w:color w:val="auto"/>
          <w:spacing w:val="-10"/>
          <w:sz w:val="24"/>
          <w:szCs w:val="24"/>
          <w:highlight w:val="none"/>
          <w:u w:val="single"/>
          <w:lang w:val="en-US" w:eastAsia="zh-CN"/>
        </w:rPr>
        <w:t>路灯采购合同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9D738E">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6164F67A">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063DDE77">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1F62003C">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519A7B88">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投 标 书</w:t>
      </w:r>
    </w:p>
    <w:p w14:paraId="49874CCA">
      <w:pPr>
        <w:pStyle w:val="13"/>
        <w:rPr>
          <w:rFonts w:hint="eastAsia" w:cs="仿宋" w:asciiTheme="minorEastAsia" w:hAnsiTheme="minorEastAsia" w:eastAsiaTheme="minorEastAsia"/>
          <w:kern w:val="2"/>
          <w:sz w:val="110"/>
          <w:szCs w:val="24"/>
        </w:rPr>
      </w:pPr>
    </w:p>
    <w:p w14:paraId="48CB83E1">
      <w:pPr>
        <w:pStyle w:val="13"/>
        <w:rPr>
          <w:rFonts w:hint="eastAsia" w:cs="仿宋" w:asciiTheme="minorEastAsia" w:hAnsiTheme="minorEastAsia" w:eastAsiaTheme="minorEastAsia"/>
          <w:kern w:val="2"/>
          <w:sz w:val="110"/>
          <w:szCs w:val="24"/>
        </w:rPr>
      </w:pPr>
    </w:p>
    <w:p w14:paraId="4F3B83CF">
      <w:pPr>
        <w:pStyle w:val="13"/>
        <w:rPr>
          <w:rFonts w:hint="eastAsia" w:cs="仿宋" w:asciiTheme="minorEastAsia" w:hAnsiTheme="minorEastAsia" w:eastAsiaTheme="minorEastAsia"/>
          <w:kern w:val="2"/>
          <w:sz w:val="110"/>
          <w:szCs w:val="24"/>
        </w:rPr>
      </w:pPr>
    </w:p>
    <w:p w14:paraId="557CF3B2">
      <w:pPr>
        <w:pStyle w:val="13"/>
        <w:rPr>
          <w:rFonts w:hint="eastAsia" w:cs="仿宋" w:asciiTheme="minorEastAsia" w:hAnsiTheme="minorEastAsia" w:eastAsiaTheme="minorEastAsia"/>
          <w:kern w:val="2"/>
          <w:sz w:val="110"/>
          <w:szCs w:val="24"/>
        </w:rPr>
      </w:pPr>
    </w:p>
    <w:p w14:paraId="1D08ED40">
      <w:pPr>
        <w:pStyle w:val="13"/>
        <w:rPr>
          <w:rFonts w:cs="仿宋" w:asciiTheme="minorEastAsia" w:hAnsiTheme="minorEastAsia" w:eastAsiaTheme="minorEastAsia"/>
          <w:sz w:val="24"/>
          <w:szCs w:val="24"/>
          <w:highlight w:val="none"/>
        </w:rPr>
      </w:pPr>
    </w:p>
    <w:p w14:paraId="55BC9DFE">
      <w:pPr>
        <w:snapToGrid w:val="0"/>
        <w:spacing w:line="300" w:lineRule="auto"/>
        <w:ind w:firstLine="241" w:firstLineChars="1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000000"/>
          <w:sz w:val="24"/>
          <w:szCs w:val="24"/>
          <w:u w:val="single"/>
          <w:lang w:val="en-US" w:eastAsia="zh-CN"/>
        </w:rPr>
        <w:t>茨竹镇卫星水库库区照明工程</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left="1444" w:leftChars="114" w:hanging="1205" w:hangingChars="5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宋体" w:hAnsi="宋体" w:cs="宋体"/>
          <w:color w:val="000000"/>
          <w:sz w:val="24"/>
          <w:szCs w:val="24"/>
          <w:u w:val="single"/>
          <w:lang w:val="en-US" w:eastAsia="zh-CN"/>
        </w:rPr>
        <w:t>采购</w:t>
      </w:r>
      <w:r>
        <w:rPr>
          <w:rFonts w:hint="eastAsia" w:ascii="宋体" w:hAnsi="宋体" w:eastAsia="宋体" w:cs="宋体"/>
          <w:color w:val="000000"/>
          <w:sz w:val="24"/>
          <w:szCs w:val="24"/>
          <w:u w:val="single"/>
          <w:lang w:val="en-US" w:eastAsia="zh-CN"/>
        </w:rPr>
        <w:t>路灯（太阳能灯杆、LED灯具、成套太阳能系统、地脚螺栓预埋件（螺帽、法兰片）</w:t>
      </w:r>
      <w:r>
        <w:rPr>
          <w:rFonts w:hint="eastAsia" w:ascii="宋体" w:hAnsi="宋体" w:cs="宋体"/>
          <w:color w:val="000000"/>
          <w:sz w:val="24"/>
          <w:szCs w:val="24"/>
          <w:u w:val="single"/>
          <w:lang w:val="en-US" w:eastAsia="zh-CN"/>
        </w:rPr>
        <w:t>、</w:t>
      </w:r>
      <w:r>
        <w:rPr>
          <w:rFonts w:hint="eastAsia" w:ascii="仿宋" w:hAnsi="仿宋" w:eastAsia="仿宋" w:cs="仿宋"/>
          <w:sz w:val="24"/>
          <w:szCs w:val="24"/>
          <w:highlight w:val="none"/>
          <w:u w:val="single"/>
          <w:lang w:val="en-US" w:eastAsia="zh-CN"/>
        </w:rPr>
        <w:t>热镀锌角钢（L50*5）、绝缘护套导线（BVV-3X2.5））、聚氯乙烯电缆护管（PVCφ50））</w:t>
      </w:r>
      <w:r>
        <w:rPr>
          <w:rFonts w:hint="eastAsia" w:ascii="宋体" w:hAnsi="宋体" w:eastAsia="宋体" w:cs="宋体"/>
          <w:color w:val="000000"/>
          <w:sz w:val="24"/>
          <w:szCs w:val="24"/>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241" w:firstLineChars="100"/>
        <w:outlineLvl w:val="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重庆市揽众农业发展有限责任公司</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241" w:firstLineChars="1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2EF3208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8"/>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11"/>
                    <a:stretch>
                      <a:fillRect/>
                    </a:stretch>
                  </pic:blipFill>
                  <pic:spPr>
                    <a:xfrm>
                      <a:off x="0" y="0"/>
                      <a:ext cx="38735" cy="57150"/>
                    </a:xfrm>
                    <a:prstGeom prst="rect">
                      <a:avLst/>
                    </a:prstGeom>
                    <a:noFill/>
                    <a:ln>
                      <a:noFill/>
                    </a:ln>
                  </pic:spPr>
                </pic:pic>
              </a:graphicData>
            </a:graphic>
          </wp:anchor>
        </w:drawing>
      </w:r>
    </w:p>
    <w:tbl>
      <w:tblPr>
        <w:tblStyle w:val="14"/>
        <w:tblW w:w="11102"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
        <w:gridCol w:w="480"/>
        <w:gridCol w:w="651"/>
        <w:gridCol w:w="5903"/>
        <w:gridCol w:w="537"/>
        <w:gridCol w:w="802"/>
        <w:gridCol w:w="836"/>
        <w:gridCol w:w="1001"/>
        <w:gridCol w:w="650"/>
        <w:gridCol w:w="236"/>
      </w:tblGrid>
      <w:tr w14:paraId="05B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1102" w:type="dxa"/>
            <w:gridSpan w:val="10"/>
            <w:tcBorders>
              <w:top w:val="nil"/>
              <w:left w:val="nil"/>
              <w:bottom w:val="nil"/>
              <w:right w:val="nil"/>
            </w:tcBorders>
            <w:shd w:val="clear" w:color="auto" w:fill="auto"/>
            <w:vAlign w:val="center"/>
          </w:tcPr>
          <w:p w14:paraId="71CEC2D2">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508B0AB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23BC617">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44B2F7F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B695FD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0DF1538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57E111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8D00A9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AB75C0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3" name="图片_1"/>
                  <wp:cNvGraphicFramePr/>
                  <a:graphic xmlns:a="http://schemas.openxmlformats.org/drawingml/2006/main">
                    <a:graphicData uri="http://schemas.openxmlformats.org/drawingml/2006/picture">
                      <pic:pic xmlns:pic="http://schemas.openxmlformats.org/drawingml/2006/picture">
                        <pic:nvPicPr>
                          <pic:cNvPr id="33"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4" name="图片_2"/>
                  <wp:cNvGraphicFramePr/>
                  <a:graphic xmlns:a="http://schemas.openxmlformats.org/drawingml/2006/main">
                    <a:graphicData uri="http://schemas.openxmlformats.org/drawingml/2006/picture">
                      <pic:pic xmlns:pic="http://schemas.openxmlformats.org/drawingml/2006/picture">
                        <pic:nvPicPr>
                          <pic:cNvPr id="34"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茨竹镇卫星水库库区照明工程采购路灯报价单</w:t>
            </w:r>
          </w:p>
        </w:tc>
      </w:tr>
      <w:tr w14:paraId="1000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102" w:type="dxa"/>
            <w:gridSpan w:val="10"/>
            <w:tcBorders>
              <w:top w:val="nil"/>
              <w:left w:val="nil"/>
              <w:bottom w:val="nil"/>
              <w:right w:val="nil"/>
            </w:tcBorders>
            <w:shd w:val="clear" w:color="auto" w:fill="auto"/>
            <w:vAlign w:val="center"/>
          </w:tcPr>
          <w:p w14:paraId="1DACF62E">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7"/>
                          <a:stretch>
                            <a:fillRect/>
                          </a:stretch>
                        </pic:blipFill>
                        <pic:spPr>
                          <a:xfrm>
                            <a:off x="0" y="0"/>
                            <a:ext cx="38735" cy="57150"/>
                          </a:xfrm>
                          <a:prstGeom prst="rect">
                            <a:avLst/>
                          </a:prstGeom>
                          <a:noFill/>
                          <a:ln>
                            <a:noFill/>
                          </a:ln>
                        </pic:spPr>
                      </pic:pic>
                    </a:graphicData>
                  </a:graphic>
                </wp:anchor>
              </w:drawing>
            </w:r>
          </w:p>
        </w:tc>
      </w:tr>
      <w:tr w14:paraId="35C9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 w:type="dxa"/>
          <w:wAfter w:w="236" w:type="dxa"/>
          <w:trHeight w:val="89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D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8260" cy="57150"/>
                  <wp:effectExtent l="0" t="0" r="8890" b="0"/>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1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设备型号、规格及</w:t>
            </w:r>
            <w:r>
              <w:rPr>
                <w:rFonts w:hint="eastAsia" w:ascii="宋体" w:hAnsi="宋体" w:cs="宋体"/>
                <w:i w:val="0"/>
                <w:iCs w:val="0"/>
                <w:color w:val="000000"/>
                <w:kern w:val="0"/>
                <w:sz w:val="24"/>
                <w:szCs w:val="24"/>
                <w:u w:val="none"/>
                <w:lang w:val="en-US" w:eastAsia="zh-CN" w:bidi="ar"/>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5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7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价单价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价总价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5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D5E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6" w:type="dxa"/>
          <w:wAfter w:w="236" w:type="dxa"/>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w:t>
            </w: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1E8C857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一、供配电系统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采用太阳能LED灯。每盏路灯自带太阳能电池板和蓄电池，不再敷设供电电缆。太阳能电池在白天阳光充足时向蓄电池进行充电以供灯源夜间照明使用。为有效控制系统的充放电以及路灯光源的点亮和关闭，太阳能充放电控制器需要有定时和配时相结合照明的功能，还要具有防反接、防反充、防过充、防过放、防短路、防雷击、防水及温度补差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2、装置效能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电效率，照明部件功率与蓄电池的额定输出功率之比应大于90%；持续放电能力，按GB24460-2009第5.1.2条的要求保持正常照明，最后一天蓄电池应最少剩余20%的蓄电量。                                                                                             二、照明布置形式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1、本次设计照明光源设计为太阳能LED灯（灯型由业主确定），灯具功率为50W</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灯杆高度6.0m。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2、灯杆、灯具、光源、电器主要参数要求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光源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a、光源采用LED，要求显示指数大于等于65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色温3300K～5000K。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b、色品容差不大于7SDCM，在寿命周期内光源的色品坐标与初始值的偏差不应超过0.012。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c、在标称工作状态下，灯具连续燃点3000小时的光源光通量维持率不应小于96%，灯具连续燃点6000小时的光源光通量维持率不应小于92%。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a、光源选择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选择优质LED光源，光源光效≥110Lm/W，整灯光效≥95Lm/W，显色指数Ra≥ 70，LED光源色温Tcp=3300k-5000K，寿命≥30000h。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b、灯具防护等级不低于IP65，灯具效率不低于85%（不含电器），灯具自然功率因数≥0.95。道路照明灯具维护系数0.7，灯具电气腔的防护等级不应低于IP43。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c、灯具的电源模组应符合现行国家标准《灯的控制装置 第14部分：LED模块用直流或交流电子控制装置的特殊要求》GB19510.14的要求，且可现场替换，替换后防护等级不应降低。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d、灯具电源应通过国家强制性产品认证。</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7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A3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166</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5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auto" w:sz="4" w:space="0"/>
              <w:right w:val="single" w:color="000000" w:sz="4" w:space="0"/>
            </w:tcBorders>
            <w:shd w:val="clear" w:color="auto" w:fill="auto"/>
            <w:vAlign w:val="center"/>
          </w:tcPr>
          <w:p w14:paraId="46829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FEC8A7">
            <w:pPr>
              <w:jc w:val="center"/>
              <w:rPr>
                <w:rFonts w:hint="eastAsia" w:ascii="宋体" w:hAnsi="宋体" w:eastAsia="宋体" w:cs="宋体"/>
                <w:i w:val="0"/>
                <w:iCs w:val="0"/>
                <w:color w:val="000000"/>
                <w:sz w:val="24"/>
                <w:szCs w:val="24"/>
                <w:u w:val="none"/>
              </w:rPr>
            </w:pPr>
          </w:p>
        </w:tc>
      </w:tr>
      <w:tr w14:paraId="2D25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 w:type="dxa"/>
          <w:wAfter w:w="236" w:type="dxa"/>
          <w:trHeight w:val="119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777">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26B">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59A4F20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593725</wp:posOffset>
                  </wp:positionH>
                  <wp:positionV relativeFrom="page">
                    <wp:posOffset>4376420</wp:posOffset>
                  </wp:positionV>
                  <wp:extent cx="1903730" cy="1990725"/>
                  <wp:effectExtent l="0" t="0" r="1270" b="9525"/>
                  <wp:wrapSquare wrapText="bothSides"/>
                  <wp:docPr id="21" name="图片 21" descr="edda196deb230d7d86059a4b8b27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dda196deb230d7d86059a4b8b27ecc"/>
                          <pic:cNvPicPr>
                            <a:picLocks noChangeAspect="1"/>
                          </pic:cNvPicPr>
                        </pic:nvPicPr>
                        <pic:blipFill>
                          <a:blip r:embed="rId10"/>
                          <a:stretch>
                            <a:fillRect/>
                          </a:stretch>
                        </pic:blipFill>
                        <pic:spPr>
                          <a:xfrm>
                            <a:off x="0" y="0"/>
                            <a:ext cx="1903730" cy="1990725"/>
                          </a:xfrm>
                          <a:prstGeom prst="rect">
                            <a:avLst/>
                          </a:prstGeom>
                        </pic:spPr>
                      </pic:pic>
                    </a:graphicData>
                  </a:graphic>
                </wp:anchor>
              </w:draw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灯杆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灯杆高度为6.0m，灯臂长度1.0~ 1.2m。灯杆主要参数要求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灯杆材质为国标优质Q235或宝钢的特制SS400低硅低碳钢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其中Si≤0.04%、屈服强度245DPa)。采用圆锥形；提供钢材供货合同及质量证明书。并做热浸锌喷塑防腐处理，灯杆样式和颜色由业主指定。路灯灯杆外径底端130mm、顶端60mm、壁厚3mm（包含字体及编号）。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蓄电池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蓄电池安装方式采用背负式，采用不低于50Ah的动力磷酸铁锂电池，工作电压3.2V。在满寿命周期内的充放电次数不小于3000次。（提供锂电池厂家进入国家工信部《锂离子电池行业规范条件》企业名单，提供（直辖市）级以上带有“CMA”、“CNAS”标志的检验报告。锂电池使用全新电池，严禁使用从新能源汽车上拆下来的旧锂电芯组装的锂电池，中标单位在中标后24小时内送锂电池样品甲方确认，产品交货安装时由甲方二次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5）地脚螺栓预埋件（详图）、热镀锌角钢（L50*5）、每个基础2.5米长、绝缘护套导线（BVV-3X2.5）每个基础1米、聚氯乙烯电缆护管（PVCφ50）每个基础</w:t>
            </w:r>
            <w:r>
              <w:rPr>
                <w:rFonts w:hint="eastAsia" w:ascii="宋体" w:hAnsi="宋体" w:cs="宋体"/>
                <w:i w:val="0"/>
                <w:iCs w:val="0"/>
                <w:color w:val="000000"/>
                <w:kern w:val="0"/>
                <w:sz w:val="24"/>
                <w:szCs w:val="24"/>
                <w:u w:val="none"/>
                <w:lang w:val="en-US" w:eastAsia="zh-CN" w:bidi="ar"/>
              </w:rPr>
              <w:t>0.8</w:t>
            </w:r>
            <w:r>
              <w:rPr>
                <w:rFonts w:hint="eastAsia" w:ascii="宋体" w:hAnsi="宋体" w:eastAsia="宋体" w:cs="宋体"/>
                <w:i w:val="0"/>
                <w:iCs w:val="0"/>
                <w:color w:val="000000"/>
                <w:kern w:val="0"/>
                <w:sz w:val="24"/>
                <w:szCs w:val="24"/>
                <w:u w:val="none"/>
                <w:lang w:val="en-US" w:eastAsia="zh-CN" w:bidi="ar"/>
              </w:rPr>
              <w:t>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7534CAA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2A3DA6C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752E54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359990D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6F25783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CFC1A5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04DA5A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C64D6A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74E098D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p>
          <w:p w14:paraId="56DCD8E5">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路灯开闭控制采用时钟和光控相结合的方式进行控制。根据本地区自然环境，照明系统每天工作8小时（前半夜4小时全功率照亮，后半夜4小时半功率照亮），保证连续阴雨天数3～5天提供照明，两个连续阴雨天之间的设计最短天数为20天。本地区晴天日照峰值时间约3012h。</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4D6">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3DF">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D8C8F0">
            <w:pPr>
              <w:jc w:val="center"/>
              <w:rPr>
                <w:rFonts w:hint="eastAsia" w:ascii="宋体" w:hAnsi="宋体" w:eastAsia="宋体" w:cs="宋体"/>
                <w:i w:val="0"/>
                <w:iCs w:val="0"/>
                <w:color w:val="000000"/>
                <w:sz w:val="24"/>
                <w:szCs w:val="24"/>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14:paraId="24592F48">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D807">
            <w:pPr>
              <w:jc w:val="center"/>
              <w:rPr>
                <w:rFonts w:hint="eastAsia" w:ascii="宋体" w:hAnsi="宋体" w:eastAsia="宋体" w:cs="宋体"/>
                <w:i w:val="0"/>
                <w:iCs w:val="0"/>
                <w:color w:val="000000"/>
                <w:sz w:val="24"/>
                <w:szCs w:val="24"/>
                <w:u w:val="none"/>
              </w:rPr>
            </w:pPr>
          </w:p>
        </w:tc>
      </w:tr>
      <w:tr w14:paraId="51F8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 w:type="dxa"/>
          <w:wAfter w:w="236" w:type="dxa"/>
          <w:trHeight w:val="2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2473">
            <w:pPr>
              <w:jc w:val="center"/>
              <w:rPr>
                <w:rFonts w:hint="eastAsia" w:ascii="宋体" w:hAnsi="宋体" w:eastAsia="宋体" w:cs="宋体"/>
                <w:i w:val="0"/>
                <w:iCs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FCA">
            <w:pPr>
              <w:jc w:val="center"/>
              <w:rPr>
                <w:rFonts w:hint="eastAsia" w:ascii="宋体" w:hAnsi="宋体" w:eastAsia="宋体" w:cs="宋体"/>
                <w:i w:val="0"/>
                <w:iCs w:val="0"/>
                <w:color w:val="000000"/>
                <w:sz w:val="24"/>
                <w:szCs w:val="24"/>
                <w:u w:val="none"/>
              </w:rPr>
            </w:pPr>
          </w:p>
        </w:tc>
        <w:tc>
          <w:tcPr>
            <w:tcW w:w="5903" w:type="dxa"/>
            <w:tcBorders>
              <w:top w:val="single" w:color="000000" w:sz="4" w:space="0"/>
              <w:left w:val="single" w:color="000000" w:sz="4" w:space="0"/>
              <w:bottom w:val="single" w:color="000000" w:sz="4" w:space="0"/>
              <w:right w:val="single" w:color="000000" w:sz="4" w:space="0"/>
            </w:tcBorders>
            <w:shd w:val="clear" w:color="auto" w:fill="auto"/>
            <w:vAlign w:val="top"/>
          </w:tcPr>
          <w:p w14:paraId="5EDAD66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四、照明节能措施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1、本次设计光源采用高节能 LED灯。要求 LED灯光效不小于95Lm/W。光源及镇流器的能效指标应符合国家现行有关能效标准的要求。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2、路灯控制：为节约电能，可通过</w:t>
            </w:r>
            <w:r>
              <w:rPr>
                <w:rFonts w:hint="eastAsia" w:ascii="宋体" w:hAnsi="宋体" w:cs="宋体"/>
                <w:i w:val="0"/>
                <w:iCs w:val="0"/>
                <w:color w:val="000000"/>
                <w:kern w:val="0"/>
                <w:sz w:val="24"/>
                <w:szCs w:val="24"/>
                <w:u w:val="none"/>
                <w:lang w:val="en-US" w:eastAsia="zh-CN" w:bidi="ar"/>
              </w:rPr>
              <w:t>设置</w:t>
            </w:r>
            <w:r>
              <w:rPr>
                <w:rFonts w:hint="eastAsia" w:ascii="宋体" w:hAnsi="宋体" w:eastAsia="宋体" w:cs="宋体"/>
                <w:i w:val="0"/>
                <w:iCs w:val="0"/>
                <w:color w:val="000000"/>
                <w:kern w:val="0"/>
                <w:sz w:val="24"/>
                <w:szCs w:val="24"/>
                <w:u w:val="none"/>
                <w:lang w:val="en-US" w:eastAsia="zh-CN" w:bidi="ar"/>
              </w:rPr>
              <w:t>半夜灯的方式对路灯进行控制管理。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06B">
            <w:pPr>
              <w:jc w:val="center"/>
              <w:rPr>
                <w:rFonts w:hint="eastAsia" w:ascii="宋体" w:hAnsi="宋体" w:eastAsia="宋体" w:cs="宋体"/>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2BB1">
            <w:pPr>
              <w:jc w:val="center"/>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A791">
            <w:pPr>
              <w:jc w:val="center"/>
              <w:rPr>
                <w:rFonts w:hint="eastAsia" w:ascii="宋体" w:hAnsi="宋体" w:eastAsia="宋体" w:cs="宋体"/>
                <w:i w:val="0"/>
                <w:iCs w:val="0"/>
                <w:color w:val="000000"/>
                <w:sz w:val="24"/>
                <w:szCs w:val="24"/>
                <w:u w:val="none"/>
              </w:rPr>
            </w:pPr>
          </w:p>
        </w:tc>
        <w:tc>
          <w:tcPr>
            <w:tcW w:w="1001" w:type="dxa"/>
            <w:tcBorders>
              <w:top w:val="single" w:color="auto" w:sz="4" w:space="0"/>
              <w:left w:val="single" w:color="000000" w:sz="4" w:space="0"/>
              <w:bottom w:val="single" w:color="000000" w:sz="4" w:space="0"/>
              <w:right w:val="single" w:color="000000" w:sz="4" w:space="0"/>
            </w:tcBorders>
            <w:shd w:val="clear" w:color="auto" w:fill="auto"/>
            <w:vAlign w:val="center"/>
          </w:tcPr>
          <w:p w14:paraId="1AA5EA8E">
            <w:pPr>
              <w:jc w:val="center"/>
              <w:rPr>
                <w:rFonts w:hint="eastAsia" w:ascii="宋体" w:hAnsi="宋体" w:eastAsia="宋体" w:cs="宋体"/>
                <w:i w:val="0"/>
                <w:iCs w:val="0"/>
                <w:color w:val="000000"/>
                <w:sz w:val="24"/>
                <w:szCs w:val="24"/>
                <w:u w:val="none"/>
              </w:rPr>
            </w:pPr>
          </w:p>
        </w:tc>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A84C7D4">
            <w:pPr>
              <w:jc w:val="center"/>
              <w:rPr>
                <w:rFonts w:hint="eastAsia" w:ascii="宋体" w:hAnsi="宋体" w:eastAsia="宋体" w:cs="宋体"/>
                <w:i w:val="0"/>
                <w:iCs w:val="0"/>
                <w:color w:val="000000"/>
                <w:sz w:val="24"/>
                <w:szCs w:val="24"/>
                <w:u w:val="none"/>
              </w:rPr>
            </w:pPr>
          </w:p>
        </w:tc>
      </w:tr>
      <w:tr w14:paraId="4C78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 w:type="dxa"/>
          <w:wAfter w:w="236" w:type="dxa"/>
          <w:trHeight w:val="1404"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C14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注：1、单价费用包含：包括设备购买、辅材费、机械、人工费、仓储费、（场内原材料及成品保护费）、上下车费、运输费、财务费用、税金、利润等一切费用。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2、送货到现场后，甲方委托专业机构抽检。</w:t>
            </w:r>
          </w:p>
        </w:tc>
      </w:tr>
    </w:tbl>
    <w:p w14:paraId="0947AC17">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4C5E0DC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7FE3CF69">
      <w:pPr>
        <w:pStyle w:val="8"/>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020" w:right="1680" w:bottom="1020" w:left="1680" w:header="0" w:footer="1219" w:gutter="0"/>
          <w:pgNumType w:fmt="decimal" w:start="1"/>
          <w:cols w:space="0" w:num="1"/>
          <w:rtlGutter w:val="0"/>
          <w:docGrid w:linePitch="0" w:charSpace="0"/>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3"/>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茨竹镇卫星水库库区照明工程</w:t>
      </w:r>
      <w:r>
        <w:rPr>
          <w:rFonts w:hint="eastAsia" w:ascii="宋体" w:hAnsi="宋体" w:cs="宋体"/>
          <w:color w:val="000000"/>
          <w:sz w:val="24"/>
          <w:szCs w:val="24"/>
          <w:u w:val="single"/>
          <w:lang w:val="en-US" w:eastAsia="zh-CN"/>
        </w:rPr>
        <w:t>采购路灯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；并</w:t>
      </w:r>
      <w:r>
        <w:rPr>
          <w:rFonts w:hint="eastAsia" w:ascii="宋体" w:hAnsi="宋体" w:eastAsia="宋体" w:cs="宋体"/>
          <w:sz w:val="24"/>
          <w:szCs w:val="24"/>
        </w:rPr>
        <w:t>抽调一批技术骨干组建成一个施工经验丰富、组织管理能力强的项目领导班子</w:t>
      </w:r>
      <w:r>
        <w:rPr>
          <w:rFonts w:hint="eastAsia" w:ascii="宋体" w:hAnsi="宋体" w:cs="宋体"/>
          <w:sz w:val="24"/>
          <w:szCs w:val="24"/>
          <w:lang w:eastAsia="zh-CN"/>
        </w:rPr>
        <w:t>，</w:t>
      </w:r>
      <w:r>
        <w:rPr>
          <w:rFonts w:hint="eastAsia" w:ascii="宋体" w:hAnsi="宋体" w:eastAsia="宋体" w:cs="宋体"/>
          <w:sz w:val="24"/>
          <w:szCs w:val="24"/>
          <w:lang w:eastAsia="zh-CN"/>
        </w:rPr>
        <w:t>为您的项目提供质量保证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w:t>
      </w:r>
      <w:r>
        <w:rPr>
          <w:rFonts w:hint="eastAsia" w:ascii="宋体" w:hAnsi="宋体" w:cs="宋体"/>
          <w:sz w:val="24"/>
          <w:szCs w:val="24"/>
          <w:lang w:val="en-US" w:eastAsia="zh-CN"/>
        </w:rPr>
        <w:t>设备</w:t>
      </w:r>
      <w:r>
        <w:rPr>
          <w:rFonts w:hint="eastAsia" w:ascii="宋体" w:hAnsi="宋体" w:eastAsia="宋体" w:cs="宋体"/>
          <w:sz w:val="24"/>
          <w:szCs w:val="24"/>
        </w:rPr>
        <w:t>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设备</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设备</w:t>
      </w:r>
      <w:r>
        <w:rPr>
          <w:rFonts w:hint="eastAsia" w:ascii="宋体" w:hAnsi="宋体" w:eastAsia="宋体" w:cs="宋体"/>
          <w:sz w:val="24"/>
          <w:szCs w:val="24"/>
        </w:rPr>
        <w:t>的质量要求及合同要求。</w:t>
      </w:r>
    </w:p>
    <w:p w14:paraId="53749EE4">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w:t>
      </w:r>
      <w:r>
        <w:rPr>
          <w:rFonts w:hint="eastAsia" w:ascii="宋体" w:hAnsi="宋体" w:eastAsia="宋体" w:cs="宋体"/>
          <w:color w:val="auto"/>
          <w:sz w:val="24"/>
          <w:szCs w:val="24"/>
        </w:rPr>
        <w:t>规格、型号和质量要求提供合格的产品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产品</w:t>
      </w:r>
      <w:r>
        <w:rPr>
          <w:rFonts w:hint="eastAsia" w:ascii="宋体" w:hAnsi="宋体" w:cs="宋体"/>
          <w:color w:val="auto"/>
          <w:sz w:val="24"/>
          <w:szCs w:val="24"/>
        </w:rPr>
        <w:t>到位后</w:t>
      </w:r>
      <w:r>
        <w:rPr>
          <w:rFonts w:hint="eastAsia" w:ascii="宋体" w:hAnsi="宋体" w:cs="宋体"/>
          <w:color w:val="auto"/>
          <w:sz w:val="24"/>
          <w:szCs w:val="24"/>
          <w:highlight w:val="none"/>
        </w:rPr>
        <w:t>，我司提供专业人员对</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自检</w:t>
      </w:r>
      <w:r>
        <w:rPr>
          <w:rFonts w:hint="eastAsia" w:ascii="宋体" w:hAnsi="宋体" w:cs="宋体"/>
          <w:color w:val="auto"/>
          <w:sz w:val="24"/>
          <w:szCs w:val="24"/>
          <w:highlight w:val="none"/>
        </w:rPr>
        <w:t>，确保</w:t>
      </w:r>
      <w:r>
        <w:rPr>
          <w:rFonts w:hint="eastAsia" w:ascii="宋体" w:hAnsi="宋体" w:cs="宋体"/>
          <w:color w:val="auto"/>
          <w:sz w:val="24"/>
          <w:szCs w:val="24"/>
          <w:highlight w:val="none"/>
          <w:lang w:val="en-US" w:eastAsia="zh-CN"/>
        </w:rPr>
        <w:t>产品无质量问题</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再</w:t>
      </w:r>
      <w:r>
        <w:rPr>
          <w:rFonts w:hint="eastAsia" w:ascii="宋体" w:hAnsi="宋体" w:cs="宋体"/>
          <w:color w:val="auto"/>
          <w:sz w:val="24"/>
          <w:szCs w:val="24"/>
          <w:highlight w:val="none"/>
        </w:rPr>
        <w:t>经</w:t>
      </w:r>
      <w:r>
        <w:rPr>
          <w:rFonts w:hint="eastAsia" w:ascii="宋体" w:hAnsi="宋体" w:cs="宋体"/>
          <w:color w:val="auto"/>
          <w:sz w:val="24"/>
          <w:szCs w:val="24"/>
          <w:highlight w:val="none"/>
          <w:lang w:val="en-US" w:eastAsia="zh-CN"/>
        </w:rPr>
        <w:t>相关单位</w:t>
      </w:r>
      <w:r>
        <w:rPr>
          <w:rFonts w:hint="eastAsia" w:ascii="宋体" w:hAnsi="宋体" w:cs="宋体"/>
          <w:color w:val="auto"/>
          <w:sz w:val="24"/>
          <w:szCs w:val="24"/>
          <w:highlight w:val="none"/>
        </w:rPr>
        <w:t>验收合格后，提供</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年的维护服务。并且定期指派技术人员观察设备的运行情况，解决设备在运行过程中所发生的问题</w:t>
      </w:r>
      <w:r>
        <w:rPr>
          <w:rFonts w:hint="eastAsia" w:ascii="宋体" w:hAnsi="宋体" w:cs="宋体"/>
          <w:color w:val="auto"/>
          <w:sz w:val="24"/>
          <w:szCs w:val="24"/>
        </w:rPr>
        <w:t>。如设备运行过程中出现问题，应及时维修、</w:t>
      </w:r>
      <w:r>
        <w:rPr>
          <w:rFonts w:hint="eastAsia" w:ascii="宋体" w:hAnsi="宋体" w:cs="宋体"/>
          <w:color w:val="auto"/>
          <w:sz w:val="24"/>
          <w:szCs w:val="24"/>
          <w:lang w:eastAsia="zh-CN"/>
        </w:rPr>
        <w:t>更换</w:t>
      </w:r>
      <w:r>
        <w:rPr>
          <w:rFonts w:hint="eastAsia" w:ascii="宋体" w:hAnsi="宋体" w:cs="宋体"/>
          <w:color w:val="auto"/>
          <w:sz w:val="24"/>
          <w:szCs w:val="24"/>
        </w:rPr>
        <w:t>零件</w:t>
      </w:r>
      <w:r>
        <w:rPr>
          <w:rFonts w:hint="eastAsia" w:ascii="宋体" w:hAnsi="宋体" w:eastAsia="宋体" w:cs="宋体"/>
          <w:color w:val="auto"/>
          <w:sz w:val="24"/>
          <w:szCs w:val="24"/>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3"/>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4BFD6C66">
      <w:pPr>
        <w:pStyle w:val="3"/>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A275B52">
      <w:pPr>
        <w:rPr>
          <w:rFonts w:hint="eastAsia"/>
        </w:rPr>
      </w:pPr>
    </w:p>
    <w:p w14:paraId="65488B46">
      <w:pPr>
        <w:pStyle w:val="3"/>
        <w:pageBreakBefore w:val="0"/>
        <w:widowControl/>
        <w:kinsoku/>
        <w:wordWrap/>
        <w:overflowPunct/>
        <w:topLinePunct w:val="0"/>
        <w:autoSpaceDE/>
        <w:autoSpaceDN/>
        <w:bidi w:val="0"/>
        <w:adjustRightInd/>
        <w:snapToGrid/>
        <w:spacing w:after="0" w:afterLines="0" w:afterAutospacing="0" w:line="500" w:lineRule="exact"/>
        <w:ind w:firstLine="3534" w:firstLineChars="800"/>
        <w:jc w:val="both"/>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仿宋_GB2312"/>
          <w:bCs/>
          <w:color w:val="000000" w:themeColor="text1"/>
          <w:sz w:val="24"/>
          <w:szCs w:val="24"/>
          <w:u w:val="single"/>
          <w:lang w:val="en-US" w:eastAsia="zh-CN"/>
          <w14:textFill>
            <w14:solidFill>
              <w14:schemeClr w14:val="tx1"/>
            </w14:solidFill>
          </w14:textFill>
        </w:rPr>
        <w:t xml:space="preserve"> 茨竹镇卫星水库库区照明工程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3E49227">
      <w:pPr>
        <w:pStyle w:val="3"/>
        <w:bidi w:val="0"/>
        <w:jc w:val="both"/>
        <w:rPr>
          <w:rFonts w:hint="eastAsia"/>
        </w:rPr>
      </w:pPr>
    </w:p>
    <w:p w14:paraId="1F2675A3">
      <w:pPr>
        <w:pStyle w:val="3"/>
        <w:bidi w:val="0"/>
        <w:ind w:firstLine="3534" w:firstLineChars="800"/>
        <w:jc w:val="both"/>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4"/>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18976B90">
      <w:pPr>
        <w:spacing w:beforeAutospacing="0" w:line="480" w:lineRule="auto"/>
        <w:jc w:val="both"/>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3"/>
        <w:rPr>
          <w:rFonts w:hint="eastAsia" w:ascii="宋体" w:hAnsi="宋体" w:cs="宋体"/>
          <w:kern w:val="0"/>
          <w:sz w:val="36"/>
          <w:szCs w:val="36"/>
          <w:lang w:val="en-US" w:eastAsia="zh-CN"/>
        </w:rPr>
      </w:pPr>
    </w:p>
    <w:p w14:paraId="6D9159D3">
      <w:pPr>
        <w:pStyle w:val="13"/>
        <w:rPr>
          <w:rFonts w:hint="eastAsia" w:ascii="宋体" w:hAnsi="宋体" w:cs="宋体"/>
          <w:kern w:val="0"/>
          <w:sz w:val="36"/>
          <w:szCs w:val="36"/>
          <w:lang w:val="en-US" w:eastAsia="zh-CN"/>
        </w:rPr>
      </w:pPr>
    </w:p>
    <w:p w14:paraId="631B9854">
      <w:pPr>
        <w:pStyle w:val="13"/>
        <w:rPr>
          <w:rFonts w:hint="eastAsia" w:ascii="宋体" w:hAnsi="宋体" w:cs="宋体"/>
          <w:kern w:val="0"/>
          <w:sz w:val="36"/>
          <w:szCs w:val="36"/>
          <w:lang w:val="en-US" w:eastAsia="zh-CN"/>
        </w:rPr>
      </w:pPr>
    </w:p>
    <w:p w14:paraId="5FCE89AC">
      <w:pPr>
        <w:pStyle w:val="13"/>
        <w:rPr>
          <w:rFonts w:hint="eastAsia" w:ascii="宋体" w:hAnsi="宋体" w:cs="宋体"/>
          <w:kern w:val="0"/>
          <w:sz w:val="36"/>
          <w:szCs w:val="36"/>
          <w:lang w:val="en-US" w:eastAsia="zh-CN"/>
        </w:rPr>
      </w:pPr>
    </w:p>
    <w:p w14:paraId="33F9BD36">
      <w:pPr>
        <w:pStyle w:val="13"/>
        <w:rPr>
          <w:rFonts w:hint="eastAsia" w:ascii="宋体" w:hAnsi="宋体" w:eastAsia="宋体" w:cs="宋体"/>
          <w:kern w:val="0"/>
          <w:sz w:val="36"/>
          <w:szCs w:val="36"/>
          <w:lang w:val="en-US" w:eastAsia="zh-CN"/>
        </w:rPr>
      </w:pPr>
    </w:p>
    <w:p w14:paraId="0E9FDF30">
      <w:pPr>
        <w:pStyle w:val="13"/>
        <w:rPr>
          <w:rFonts w:hint="eastAsia" w:ascii="宋体" w:hAnsi="宋体" w:cs="宋体"/>
          <w:kern w:val="0"/>
          <w:sz w:val="36"/>
          <w:szCs w:val="36"/>
          <w:lang w:val="en-US" w:eastAsia="zh-CN"/>
        </w:rPr>
      </w:pPr>
    </w:p>
    <w:p w14:paraId="5CB85A3F">
      <w:pPr>
        <w:pStyle w:val="13"/>
        <w:rPr>
          <w:rFonts w:hint="eastAsia" w:ascii="宋体" w:hAnsi="宋体" w:cs="宋体"/>
          <w:kern w:val="0"/>
          <w:sz w:val="36"/>
          <w:szCs w:val="36"/>
          <w:lang w:val="en-US" w:eastAsia="zh-CN"/>
        </w:rPr>
      </w:pPr>
    </w:p>
    <w:p w14:paraId="657F5F7E">
      <w:pPr>
        <w:pStyle w:val="13"/>
        <w:rPr>
          <w:rFonts w:hint="eastAsia" w:ascii="宋体" w:hAnsi="宋体" w:cs="宋体"/>
          <w:kern w:val="0"/>
          <w:sz w:val="36"/>
          <w:szCs w:val="36"/>
          <w:lang w:val="en-US" w:eastAsia="zh-CN"/>
        </w:rPr>
      </w:pPr>
    </w:p>
    <w:p w14:paraId="013F7A7B">
      <w:pPr>
        <w:pStyle w:val="13"/>
        <w:rPr>
          <w:rFonts w:hint="eastAsia" w:ascii="宋体" w:hAnsi="宋体" w:cs="宋体"/>
          <w:kern w:val="0"/>
          <w:sz w:val="36"/>
          <w:szCs w:val="36"/>
          <w:lang w:val="en-US" w:eastAsia="zh-CN"/>
        </w:rPr>
      </w:pPr>
    </w:p>
    <w:p w14:paraId="133D1C1E">
      <w:pPr>
        <w:pStyle w:val="13"/>
        <w:rPr>
          <w:rFonts w:hint="eastAsia" w:ascii="宋体" w:hAnsi="宋体" w:cs="宋体"/>
          <w:kern w:val="0"/>
          <w:sz w:val="36"/>
          <w:szCs w:val="36"/>
          <w:lang w:val="en-US" w:eastAsia="zh-CN"/>
        </w:rPr>
      </w:pPr>
    </w:p>
    <w:p w14:paraId="2BA38137">
      <w:pPr>
        <w:pStyle w:val="13"/>
        <w:rPr>
          <w:rFonts w:hint="eastAsia" w:ascii="宋体" w:hAnsi="宋体" w:cs="宋体"/>
          <w:kern w:val="0"/>
          <w:sz w:val="36"/>
          <w:szCs w:val="36"/>
          <w:lang w:val="en-US" w:eastAsia="zh-CN"/>
        </w:rPr>
      </w:pPr>
    </w:p>
    <w:p w14:paraId="574D076C">
      <w:pPr>
        <w:pStyle w:val="13"/>
        <w:rPr>
          <w:rFonts w:hint="eastAsia" w:ascii="宋体" w:hAnsi="宋体" w:cs="宋体"/>
          <w:kern w:val="0"/>
          <w:sz w:val="36"/>
          <w:szCs w:val="36"/>
          <w:lang w:val="en-US" w:eastAsia="zh-CN"/>
        </w:rPr>
      </w:pPr>
    </w:p>
    <w:p w14:paraId="06D979EE">
      <w:pPr>
        <w:pStyle w:val="13"/>
        <w:rPr>
          <w:rFonts w:hint="eastAsia" w:ascii="宋体" w:hAnsi="宋体" w:cs="宋体"/>
          <w:kern w:val="0"/>
          <w:sz w:val="36"/>
          <w:szCs w:val="36"/>
          <w:lang w:val="en-US" w:eastAsia="zh-CN"/>
        </w:rPr>
      </w:pPr>
    </w:p>
    <w:p w14:paraId="6CDE7EEE">
      <w:pPr>
        <w:pStyle w:val="13"/>
        <w:rPr>
          <w:rFonts w:hint="eastAsia" w:ascii="宋体" w:hAnsi="宋体" w:cs="宋体"/>
          <w:kern w:val="0"/>
          <w:sz w:val="36"/>
          <w:szCs w:val="36"/>
          <w:lang w:val="en-US" w:eastAsia="zh-CN"/>
        </w:rPr>
      </w:pPr>
    </w:p>
    <w:p w14:paraId="3C42F97E">
      <w:pPr>
        <w:pStyle w:val="13"/>
        <w:rPr>
          <w:rFonts w:hint="eastAsia" w:ascii="宋体" w:hAnsi="宋体" w:cs="宋体"/>
          <w:kern w:val="0"/>
          <w:sz w:val="36"/>
          <w:szCs w:val="36"/>
          <w:lang w:val="en-US" w:eastAsia="zh-CN"/>
        </w:rPr>
      </w:pPr>
    </w:p>
    <w:p w14:paraId="5F1F8DD6">
      <w:pPr>
        <w:pStyle w:val="13"/>
        <w:rPr>
          <w:rFonts w:hint="eastAsia" w:ascii="宋体" w:hAnsi="宋体" w:cs="宋体"/>
          <w:kern w:val="0"/>
          <w:sz w:val="36"/>
          <w:szCs w:val="36"/>
          <w:lang w:val="en-US" w:eastAsia="zh-CN"/>
        </w:rPr>
      </w:pPr>
    </w:p>
    <w:p w14:paraId="2EAA13BE">
      <w:pPr>
        <w:pStyle w:val="13"/>
        <w:rPr>
          <w:rFonts w:hint="eastAsia" w:ascii="宋体" w:hAnsi="宋体" w:cs="宋体"/>
          <w:kern w:val="0"/>
          <w:sz w:val="36"/>
          <w:szCs w:val="36"/>
          <w:lang w:val="en-US" w:eastAsia="zh-CN"/>
        </w:rPr>
      </w:pPr>
    </w:p>
    <w:p w14:paraId="22FAA534">
      <w:pPr>
        <w:pStyle w:val="13"/>
        <w:ind w:left="0" w:leftChars="0" w:firstLine="0" w:firstLineChars="0"/>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21AD3"/>
    <w:multiLevelType w:val="singleLevel"/>
    <w:tmpl w:val="B2321AD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2EE47C9"/>
    <w:rsid w:val="038247D1"/>
    <w:rsid w:val="03A42787"/>
    <w:rsid w:val="041A5C49"/>
    <w:rsid w:val="04AC2FBA"/>
    <w:rsid w:val="051148DC"/>
    <w:rsid w:val="051C6AF1"/>
    <w:rsid w:val="05564D4F"/>
    <w:rsid w:val="05E07B33"/>
    <w:rsid w:val="05F00560"/>
    <w:rsid w:val="05F617E8"/>
    <w:rsid w:val="062758EC"/>
    <w:rsid w:val="06280B85"/>
    <w:rsid w:val="065959A6"/>
    <w:rsid w:val="070C14AF"/>
    <w:rsid w:val="0787747E"/>
    <w:rsid w:val="079D68BB"/>
    <w:rsid w:val="07C879D4"/>
    <w:rsid w:val="08C6053B"/>
    <w:rsid w:val="08EF5238"/>
    <w:rsid w:val="09205BCF"/>
    <w:rsid w:val="099512B1"/>
    <w:rsid w:val="09AC2A86"/>
    <w:rsid w:val="0A010578"/>
    <w:rsid w:val="0A322C55"/>
    <w:rsid w:val="0B067F5C"/>
    <w:rsid w:val="0C244552"/>
    <w:rsid w:val="0CDE1C2A"/>
    <w:rsid w:val="0D352639"/>
    <w:rsid w:val="0D5417F1"/>
    <w:rsid w:val="0E341EA8"/>
    <w:rsid w:val="0E80265B"/>
    <w:rsid w:val="0F361E9F"/>
    <w:rsid w:val="0FC00519"/>
    <w:rsid w:val="10434361"/>
    <w:rsid w:val="10C10B94"/>
    <w:rsid w:val="113B7CD2"/>
    <w:rsid w:val="1166354C"/>
    <w:rsid w:val="11A63B6A"/>
    <w:rsid w:val="11D1423D"/>
    <w:rsid w:val="11E63996"/>
    <w:rsid w:val="13197CD1"/>
    <w:rsid w:val="143F5FC4"/>
    <w:rsid w:val="14533F61"/>
    <w:rsid w:val="14EB4133"/>
    <w:rsid w:val="15123D9E"/>
    <w:rsid w:val="15502782"/>
    <w:rsid w:val="15507317"/>
    <w:rsid w:val="15B33927"/>
    <w:rsid w:val="160E07BD"/>
    <w:rsid w:val="16E41446"/>
    <w:rsid w:val="176B66B7"/>
    <w:rsid w:val="17BB1EE3"/>
    <w:rsid w:val="181141F9"/>
    <w:rsid w:val="18892F44"/>
    <w:rsid w:val="18C83A6A"/>
    <w:rsid w:val="18EE1D6E"/>
    <w:rsid w:val="1923584D"/>
    <w:rsid w:val="19334331"/>
    <w:rsid w:val="197F26E3"/>
    <w:rsid w:val="19E5565D"/>
    <w:rsid w:val="1A004525"/>
    <w:rsid w:val="1AF609B1"/>
    <w:rsid w:val="1B061265"/>
    <w:rsid w:val="1C832AE1"/>
    <w:rsid w:val="1D6963A9"/>
    <w:rsid w:val="1E362462"/>
    <w:rsid w:val="1E860465"/>
    <w:rsid w:val="1EBD76CF"/>
    <w:rsid w:val="1EF3385F"/>
    <w:rsid w:val="1F2C7E43"/>
    <w:rsid w:val="1F7F01AE"/>
    <w:rsid w:val="1F8E612F"/>
    <w:rsid w:val="1FA00929"/>
    <w:rsid w:val="1FF45B7B"/>
    <w:rsid w:val="20503E30"/>
    <w:rsid w:val="209B6C4A"/>
    <w:rsid w:val="2199207C"/>
    <w:rsid w:val="21DD569B"/>
    <w:rsid w:val="22C174F8"/>
    <w:rsid w:val="23131F19"/>
    <w:rsid w:val="239A479E"/>
    <w:rsid w:val="24124751"/>
    <w:rsid w:val="25792EAD"/>
    <w:rsid w:val="2593624D"/>
    <w:rsid w:val="27637EA1"/>
    <w:rsid w:val="279273E9"/>
    <w:rsid w:val="27BE27CB"/>
    <w:rsid w:val="280F47B1"/>
    <w:rsid w:val="286217F7"/>
    <w:rsid w:val="28FF7D52"/>
    <w:rsid w:val="29AA01EA"/>
    <w:rsid w:val="29CD5E21"/>
    <w:rsid w:val="2A257B34"/>
    <w:rsid w:val="2B3B264C"/>
    <w:rsid w:val="2B9833C8"/>
    <w:rsid w:val="2C747C1B"/>
    <w:rsid w:val="2CBC0A72"/>
    <w:rsid w:val="2D334C93"/>
    <w:rsid w:val="2D867168"/>
    <w:rsid w:val="2DB00F15"/>
    <w:rsid w:val="2DD53DD5"/>
    <w:rsid w:val="2EA715D7"/>
    <w:rsid w:val="2ECB6253"/>
    <w:rsid w:val="2F750C6B"/>
    <w:rsid w:val="30403896"/>
    <w:rsid w:val="30841B91"/>
    <w:rsid w:val="310A0ACC"/>
    <w:rsid w:val="310B3E1D"/>
    <w:rsid w:val="313A50D3"/>
    <w:rsid w:val="314216B6"/>
    <w:rsid w:val="31441505"/>
    <w:rsid w:val="31725BAE"/>
    <w:rsid w:val="319C6071"/>
    <w:rsid w:val="31FF6116"/>
    <w:rsid w:val="32604EB6"/>
    <w:rsid w:val="327467F4"/>
    <w:rsid w:val="32A61DA7"/>
    <w:rsid w:val="32B74713"/>
    <w:rsid w:val="32BA500C"/>
    <w:rsid w:val="33874B96"/>
    <w:rsid w:val="341744ED"/>
    <w:rsid w:val="34661CBD"/>
    <w:rsid w:val="3473361C"/>
    <w:rsid w:val="35DA5E38"/>
    <w:rsid w:val="361C5B5C"/>
    <w:rsid w:val="370D2D3B"/>
    <w:rsid w:val="375A305F"/>
    <w:rsid w:val="37B23013"/>
    <w:rsid w:val="37DF32B8"/>
    <w:rsid w:val="382B7A59"/>
    <w:rsid w:val="38F81807"/>
    <w:rsid w:val="39666F04"/>
    <w:rsid w:val="39667078"/>
    <w:rsid w:val="39CC463D"/>
    <w:rsid w:val="3A184B1B"/>
    <w:rsid w:val="3A8A2E97"/>
    <w:rsid w:val="3B543BE4"/>
    <w:rsid w:val="3B7E43D8"/>
    <w:rsid w:val="3C797395"/>
    <w:rsid w:val="3C7C3E99"/>
    <w:rsid w:val="3DD733D4"/>
    <w:rsid w:val="3EDC732D"/>
    <w:rsid w:val="3EFD1286"/>
    <w:rsid w:val="3FCB5038"/>
    <w:rsid w:val="402E32EA"/>
    <w:rsid w:val="40B75F3A"/>
    <w:rsid w:val="41CC21FF"/>
    <w:rsid w:val="41DC2EA6"/>
    <w:rsid w:val="422E5CAE"/>
    <w:rsid w:val="4316422D"/>
    <w:rsid w:val="433D2460"/>
    <w:rsid w:val="439E458D"/>
    <w:rsid w:val="43A91951"/>
    <w:rsid w:val="43EC7EA8"/>
    <w:rsid w:val="449B50AA"/>
    <w:rsid w:val="452C1932"/>
    <w:rsid w:val="456A0DAB"/>
    <w:rsid w:val="462C3A2D"/>
    <w:rsid w:val="46BD7DC1"/>
    <w:rsid w:val="46E41355"/>
    <w:rsid w:val="47241592"/>
    <w:rsid w:val="47A32F77"/>
    <w:rsid w:val="47B36B36"/>
    <w:rsid w:val="47BC2CBF"/>
    <w:rsid w:val="47C1780B"/>
    <w:rsid w:val="47ED0E3B"/>
    <w:rsid w:val="489973AA"/>
    <w:rsid w:val="48E2521F"/>
    <w:rsid w:val="48EC3417"/>
    <w:rsid w:val="4A37523F"/>
    <w:rsid w:val="4A827480"/>
    <w:rsid w:val="4B3F6383"/>
    <w:rsid w:val="4B50060A"/>
    <w:rsid w:val="4B6148D3"/>
    <w:rsid w:val="4B71216E"/>
    <w:rsid w:val="4C4B55BC"/>
    <w:rsid w:val="4C5D5AB3"/>
    <w:rsid w:val="4CA37ABC"/>
    <w:rsid w:val="4D7C789E"/>
    <w:rsid w:val="4E515C17"/>
    <w:rsid w:val="4EC1613B"/>
    <w:rsid w:val="4EC97247"/>
    <w:rsid w:val="4F7E7871"/>
    <w:rsid w:val="4FC12AC1"/>
    <w:rsid w:val="4FCF4E7E"/>
    <w:rsid w:val="501E3172"/>
    <w:rsid w:val="502D7F6E"/>
    <w:rsid w:val="50C20201"/>
    <w:rsid w:val="50C44491"/>
    <w:rsid w:val="50D02E8E"/>
    <w:rsid w:val="5100482F"/>
    <w:rsid w:val="51145515"/>
    <w:rsid w:val="519E4A9B"/>
    <w:rsid w:val="51BB0170"/>
    <w:rsid w:val="51D662F3"/>
    <w:rsid w:val="51F24942"/>
    <w:rsid w:val="52E53CDC"/>
    <w:rsid w:val="535C306A"/>
    <w:rsid w:val="545F3AD8"/>
    <w:rsid w:val="5489003F"/>
    <w:rsid w:val="54C60A89"/>
    <w:rsid w:val="54DC635A"/>
    <w:rsid w:val="55324BCE"/>
    <w:rsid w:val="55AB141B"/>
    <w:rsid w:val="55CD4E53"/>
    <w:rsid w:val="55DA6A08"/>
    <w:rsid w:val="55F15F6C"/>
    <w:rsid w:val="56244A65"/>
    <w:rsid w:val="56246647"/>
    <w:rsid w:val="566E6F5B"/>
    <w:rsid w:val="575910A4"/>
    <w:rsid w:val="583256C4"/>
    <w:rsid w:val="5834478C"/>
    <w:rsid w:val="587A6C75"/>
    <w:rsid w:val="58E05529"/>
    <w:rsid w:val="595A4014"/>
    <w:rsid w:val="59D062E8"/>
    <w:rsid w:val="59FD5DAF"/>
    <w:rsid w:val="5A6E746B"/>
    <w:rsid w:val="5AB05956"/>
    <w:rsid w:val="5ABA00F8"/>
    <w:rsid w:val="5B64436A"/>
    <w:rsid w:val="5B913BA8"/>
    <w:rsid w:val="5BF9749E"/>
    <w:rsid w:val="5C103C8A"/>
    <w:rsid w:val="5C3123EC"/>
    <w:rsid w:val="5CD64EC5"/>
    <w:rsid w:val="5D0638AC"/>
    <w:rsid w:val="5D346979"/>
    <w:rsid w:val="5E1B0BAC"/>
    <w:rsid w:val="5E2C368E"/>
    <w:rsid w:val="5E4E4EC8"/>
    <w:rsid w:val="5E9B10CF"/>
    <w:rsid w:val="5EB371A3"/>
    <w:rsid w:val="5F6B1E1C"/>
    <w:rsid w:val="5F94662A"/>
    <w:rsid w:val="5F9606E2"/>
    <w:rsid w:val="5FBA243F"/>
    <w:rsid w:val="605F0634"/>
    <w:rsid w:val="60DB1C73"/>
    <w:rsid w:val="614C42AC"/>
    <w:rsid w:val="615945D5"/>
    <w:rsid w:val="61754761"/>
    <w:rsid w:val="61BF1076"/>
    <w:rsid w:val="61FD304F"/>
    <w:rsid w:val="62130A76"/>
    <w:rsid w:val="62A21657"/>
    <w:rsid w:val="62A27060"/>
    <w:rsid w:val="62F97A6F"/>
    <w:rsid w:val="647F7A80"/>
    <w:rsid w:val="648E2C3C"/>
    <w:rsid w:val="65220379"/>
    <w:rsid w:val="654B6330"/>
    <w:rsid w:val="65963842"/>
    <w:rsid w:val="659C0042"/>
    <w:rsid w:val="65B26B66"/>
    <w:rsid w:val="65F20A51"/>
    <w:rsid w:val="6653733A"/>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D7DC3"/>
    <w:rsid w:val="696E7546"/>
    <w:rsid w:val="69B05B87"/>
    <w:rsid w:val="69F94B25"/>
    <w:rsid w:val="6B3317DA"/>
    <w:rsid w:val="6B421B88"/>
    <w:rsid w:val="6B6E044D"/>
    <w:rsid w:val="6BF8283D"/>
    <w:rsid w:val="6C470654"/>
    <w:rsid w:val="6D8B5DE2"/>
    <w:rsid w:val="6D997ADE"/>
    <w:rsid w:val="6EBF148B"/>
    <w:rsid w:val="6F073E88"/>
    <w:rsid w:val="6F851499"/>
    <w:rsid w:val="6FA8783E"/>
    <w:rsid w:val="6FB870D9"/>
    <w:rsid w:val="6FC7327A"/>
    <w:rsid w:val="6FDF4A06"/>
    <w:rsid w:val="7038712D"/>
    <w:rsid w:val="705C3E5E"/>
    <w:rsid w:val="70A67761"/>
    <w:rsid w:val="710650F2"/>
    <w:rsid w:val="711B191E"/>
    <w:rsid w:val="718E3345"/>
    <w:rsid w:val="71A90288"/>
    <w:rsid w:val="72752E54"/>
    <w:rsid w:val="731C4059"/>
    <w:rsid w:val="732554BC"/>
    <w:rsid w:val="735D69D5"/>
    <w:rsid w:val="73AC41D5"/>
    <w:rsid w:val="73B51EB2"/>
    <w:rsid w:val="74BE7B06"/>
    <w:rsid w:val="7587779D"/>
    <w:rsid w:val="766873BD"/>
    <w:rsid w:val="76D450EA"/>
    <w:rsid w:val="78515C61"/>
    <w:rsid w:val="78532732"/>
    <w:rsid w:val="7A0138B5"/>
    <w:rsid w:val="7A230972"/>
    <w:rsid w:val="7A633959"/>
    <w:rsid w:val="7A842288"/>
    <w:rsid w:val="7AA37EE3"/>
    <w:rsid w:val="7AAF4F08"/>
    <w:rsid w:val="7B161DC5"/>
    <w:rsid w:val="7B1A5686"/>
    <w:rsid w:val="7B931C78"/>
    <w:rsid w:val="7BDB0074"/>
    <w:rsid w:val="7C452D48"/>
    <w:rsid w:val="7C46045C"/>
    <w:rsid w:val="7CC63144"/>
    <w:rsid w:val="7D1641C7"/>
    <w:rsid w:val="7D85227D"/>
    <w:rsid w:val="7DD15869"/>
    <w:rsid w:val="7E3B287F"/>
    <w:rsid w:val="7E6150E3"/>
    <w:rsid w:val="7EB6270F"/>
    <w:rsid w:val="7EF43758"/>
    <w:rsid w:val="7EFD2C4A"/>
    <w:rsid w:val="7F164D4C"/>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7">
    <w:name w:val="Salutation"/>
    <w:basedOn w:val="1"/>
    <w:next w:val="1"/>
    <w:qFormat/>
    <w:uiPriority w:val="0"/>
    <w:rPr>
      <w:sz w:val="24"/>
    </w:rPr>
  </w:style>
  <w:style w:type="paragraph" w:styleId="8">
    <w:name w:val="Body Text"/>
    <w:basedOn w:val="1"/>
    <w:qFormat/>
    <w:uiPriority w:val="0"/>
    <w:rPr>
      <w:sz w:val="32"/>
    </w:rPr>
  </w:style>
  <w:style w:type="paragraph" w:styleId="9">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0">
    <w:name w:val="Balloon Text"/>
    <w:basedOn w:val="1"/>
    <w:link w:val="20"/>
    <w:qFormat/>
    <w:uiPriority w:val="0"/>
    <w:rPr>
      <w:sz w:val="18"/>
      <w:szCs w:val="18"/>
    </w:rPr>
  </w:style>
  <w:style w:type="paragraph" w:styleId="11">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2">
    <w:name w:val="Normal (Web)"/>
    <w:basedOn w:val="1"/>
    <w:link w:val="19"/>
    <w:qFormat/>
    <w:uiPriority w:val="0"/>
    <w:pPr>
      <w:spacing w:before="100" w:beforeLines="0" w:beforeAutospacing="1" w:after="100" w:afterLines="0" w:afterAutospacing="1"/>
    </w:pPr>
    <w:rPr>
      <w:rFonts w:ascii="宋体" w:hAnsi="宋体"/>
      <w:sz w:val="24"/>
      <w:szCs w:val="24"/>
    </w:rPr>
  </w:style>
  <w:style w:type="paragraph" w:styleId="13">
    <w:name w:val="Body Text First Indent 2"/>
    <w:basedOn w:val="9"/>
    <w:qFormat/>
    <w:uiPriority w:val="0"/>
    <w:pPr>
      <w:ind w:firstLine="420" w:firstLineChars="200"/>
    </w:p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Hyperlink"/>
    <w:basedOn w:val="15"/>
    <w:qFormat/>
    <w:uiPriority w:val="0"/>
    <w:rPr>
      <w:color w:val="000000"/>
      <w:u w:val="none"/>
    </w:rPr>
  </w:style>
  <w:style w:type="character" w:customStyle="1" w:styleId="19">
    <w:name w:val="普通(网站) Char"/>
    <w:link w:val="12"/>
    <w:qFormat/>
    <w:uiPriority w:val="0"/>
    <w:rPr>
      <w:rFonts w:ascii="宋体" w:hAnsi="宋体" w:eastAsia="宋体"/>
      <w:sz w:val="24"/>
      <w:szCs w:val="24"/>
      <w:lang w:val="en-US" w:eastAsia="zh-CN" w:bidi="ar-SA"/>
    </w:rPr>
  </w:style>
  <w:style w:type="character" w:customStyle="1" w:styleId="20">
    <w:name w:val="批注框文本 Char"/>
    <w:link w:val="10"/>
    <w:qFormat/>
    <w:uiPriority w:val="0"/>
    <w:rPr>
      <w:sz w:val="18"/>
      <w:szCs w:val="18"/>
    </w:rPr>
  </w:style>
  <w:style w:type="character" w:customStyle="1" w:styleId="21">
    <w:name w:val="方案正文 Char Char"/>
    <w:link w:val="22"/>
    <w:qFormat/>
    <w:uiPriority w:val="0"/>
    <w:rPr>
      <w:rFonts w:eastAsia="宋体"/>
      <w:sz w:val="24"/>
      <w:szCs w:val="24"/>
      <w:lang w:val="en-US" w:eastAsia="zh-CN" w:bidi="ar-SA"/>
    </w:rPr>
  </w:style>
  <w:style w:type="paragraph" w:customStyle="1" w:styleId="22">
    <w:name w:val="方案正文"/>
    <w:basedOn w:val="1"/>
    <w:link w:val="21"/>
    <w:qFormat/>
    <w:uiPriority w:val="0"/>
    <w:pPr>
      <w:spacing w:line="360" w:lineRule="auto"/>
    </w:pPr>
    <w:rPr>
      <w:rFonts w:ascii="Times New Roman" w:hAnsi="Times New Roman"/>
      <w:sz w:val="24"/>
      <w:szCs w:val="24"/>
    </w:rPr>
  </w:style>
  <w:style w:type="character" w:customStyle="1" w:styleId="23">
    <w:name w:val="font21"/>
    <w:basedOn w:val="15"/>
    <w:qFormat/>
    <w:uiPriority w:val="0"/>
    <w:rPr>
      <w:rFonts w:hint="eastAsia" w:ascii="宋体" w:hAnsi="宋体" w:eastAsia="宋体" w:cs="宋体"/>
      <w:color w:val="000000"/>
      <w:sz w:val="18"/>
      <w:szCs w:val="18"/>
      <w:u w:val="none"/>
    </w:rPr>
  </w:style>
  <w:style w:type="character" w:customStyle="1" w:styleId="24">
    <w:name w:val="font51"/>
    <w:basedOn w:val="15"/>
    <w:qFormat/>
    <w:uiPriority w:val="0"/>
    <w:rPr>
      <w:rFonts w:hint="eastAsia" w:ascii="宋体" w:hAnsi="宋体" w:eastAsia="宋体" w:cs="宋体"/>
      <w:color w:val="000000"/>
      <w:sz w:val="24"/>
      <w:szCs w:val="24"/>
      <w:u w:val="single"/>
    </w:rPr>
  </w:style>
  <w:style w:type="character" w:customStyle="1" w:styleId="25">
    <w:name w:val="font41"/>
    <w:basedOn w:val="15"/>
    <w:qFormat/>
    <w:uiPriority w:val="0"/>
    <w:rPr>
      <w:rFonts w:hint="eastAsia" w:ascii="宋体" w:hAnsi="宋体" w:eastAsia="宋体" w:cs="宋体"/>
      <w:color w:val="000000"/>
      <w:sz w:val="24"/>
      <w:szCs w:val="24"/>
      <w:u w:val="none"/>
    </w:rPr>
  </w:style>
  <w:style w:type="character" w:customStyle="1" w:styleId="26">
    <w:name w:val="font71"/>
    <w:basedOn w:val="15"/>
    <w:qFormat/>
    <w:uiPriority w:val="0"/>
    <w:rPr>
      <w:rFonts w:hint="eastAsia" w:ascii="宋体" w:hAnsi="宋体" w:eastAsia="宋体" w:cs="宋体"/>
      <w:color w:val="000000"/>
      <w:sz w:val="24"/>
      <w:szCs w:val="24"/>
      <w:u w:val="none"/>
    </w:rPr>
  </w:style>
  <w:style w:type="character" w:customStyle="1" w:styleId="27">
    <w:name w:val="font11"/>
    <w:basedOn w:val="15"/>
    <w:qFormat/>
    <w:uiPriority w:val="0"/>
    <w:rPr>
      <w:rFonts w:hint="eastAsia" w:ascii="仿宋" w:hAnsi="仿宋" w:eastAsia="仿宋" w:cs="仿宋"/>
      <w:color w:val="000000"/>
      <w:sz w:val="24"/>
      <w:szCs w:val="24"/>
      <w:u w:val="none"/>
    </w:rPr>
  </w:style>
  <w:style w:type="character" w:customStyle="1" w:styleId="28">
    <w:name w:val="font81"/>
    <w:basedOn w:val="15"/>
    <w:qFormat/>
    <w:uiPriority w:val="0"/>
    <w:rPr>
      <w:rFonts w:hint="eastAsia" w:ascii="仿宋" w:hAnsi="仿宋" w:eastAsia="仿宋" w:cs="仿宋"/>
      <w:color w:val="000000"/>
      <w:sz w:val="24"/>
      <w:szCs w:val="24"/>
      <w:u w:val="none"/>
      <w:vertAlign w:val="superscript"/>
    </w:rPr>
  </w:style>
  <w:style w:type="character" w:customStyle="1" w:styleId="29">
    <w:name w:val="font61"/>
    <w:basedOn w:val="15"/>
    <w:qFormat/>
    <w:uiPriority w:val="0"/>
    <w:rPr>
      <w:rFonts w:hint="eastAsia" w:ascii="宋体" w:hAnsi="宋体" w:eastAsia="宋体" w:cs="宋体"/>
      <w:color w:val="FF0000"/>
      <w:sz w:val="20"/>
      <w:szCs w:val="20"/>
      <w:u w:val="none"/>
    </w:rPr>
  </w:style>
  <w:style w:type="character" w:customStyle="1" w:styleId="30">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16</Pages>
  <Words>6746</Words>
  <Characters>7574</Characters>
  <Lines>220</Lines>
  <Paragraphs>62</Paragraphs>
  <TotalTime>1</TotalTime>
  <ScaleCrop>false</ScaleCrop>
  <LinksUpToDate>false</LinksUpToDate>
  <CharactersWithSpaces>9022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给</cp:lastModifiedBy>
  <cp:lastPrinted>2025-06-12T09:00:43Z</cp:lastPrinted>
  <dcterms:modified xsi:type="dcterms:W3CDTF">2025-06-12T09:00:59Z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68516D63B11A4902B418949EE85D1CFD_13</vt:lpwstr>
  </property>
  <property fmtid="{D5CDD505-2E9C-101B-9397-08002B2CF9AE}" pid="4" name="KSOTemplateDocerSaveRecord">
    <vt:lpwstr>eyJoZGlkIjoiY2EwN2E5ZmI2NWY2ZGYzZTQ4ODM2OWZhZmZhNWZiYTciLCJ1c2VySWQiOiIxMjE5NTczODMwIn0=</vt:lpwstr>
  </property>
</Properties>
</file>