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80"/>
        </w:tabs>
        <w:spacing w:afterLines="50" w:line="560" w:lineRule="exact"/>
        <w:jc w:val="left"/>
        <w:rPr>
          <w:rFonts w:ascii="方正黑体_GBK" w:eastAsia="方正黑体_GBK"/>
          <w:szCs w:val="32"/>
        </w:rPr>
      </w:pPr>
      <w:r>
        <w:rPr>
          <w:rFonts w:hint="eastAsia" w:ascii="方正黑体_GBK" w:eastAsia="方正黑体_GBK"/>
          <w:szCs w:val="32"/>
        </w:rPr>
        <w:t>附件</w:t>
      </w:r>
      <w:r>
        <w:rPr>
          <w:rFonts w:eastAsia="方正黑体_GBK"/>
          <w:szCs w:val="32"/>
        </w:rPr>
        <w:t>1</w:t>
      </w:r>
    </w:p>
    <w:p>
      <w:pPr>
        <w:pStyle w:val="7"/>
        <w:spacing w:afterLines="50" w:line="560" w:lineRule="exact"/>
        <w:ind w:firstLine="870"/>
        <w:rPr>
          <w:rFonts w:ascii="方正小标宋_GBK" w:eastAsia="方正小标宋_GBK"/>
          <w:color w:val="000000"/>
          <w:sz w:val="44"/>
          <w:szCs w:val="44"/>
          <w:lang w:eastAsia="zh-CN"/>
        </w:rPr>
      </w:pPr>
      <w:r>
        <w:rPr>
          <w:rFonts w:hint="eastAsia" w:ascii="方正小标宋_GBK" w:eastAsia="方正小标宋_GBK"/>
          <w:color w:val="000000"/>
          <w:sz w:val="44"/>
          <w:szCs w:val="44"/>
          <w:lang w:eastAsia="zh-CN"/>
        </w:rPr>
        <w:t>宝圣湖街道</w:t>
      </w:r>
      <w:r>
        <w:rPr>
          <w:rFonts w:hint="eastAsia" w:ascii="方正小标宋_GBK" w:eastAsia="方正小标宋_GBK"/>
          <w:color w:val="000000"/>
          <w:sz w:val="44"/>
          <w:szCs w:val="44"/>
        </w:rPr>
        <w:t>打击治理电信网络新型违法犯罪工作任务分解方案</w:t>
      </w:r>
    </w:p>
    <w:tbl>
      <w:tblPr>
        <w:tblStyle w:val="4"/>
        <w:tblpPr w:leftFromText="180" w:rightFromText="180" w:vertAnchor="text" w:horzAnchor="margin" w:tblpY="399"/>
        <w:tblW w:w="14092" w:type="dxa"/>
        <w:tblInd w:w="0" w:type="dxa"/>
        <w:tblLayout w:type="fixed"/>
        <w:tblCellMar>
          <w:top w:w="0" w:type="dxa"/>
          <w:left w:w="108" w:type="dxa"/>
          <w:bottom w:w="0" w:type="dxa"/>
          <w:right w:w="108" w:type="dxa"/>
        </w:tblCellMar>
      </w:tblPr>
      <w:tblGrid>
        <w:gridCol w:w="817"/>
        <w:gridCol w:w="709"/>
        <w:gridCol w:w="850"/>
        <w:gridCol w:w="7513"/>
        <w:gridCol w:w="1985"/>
        <w:gridCol w:w="2218"/>
      </w:tblGrid>
      <w:tr>
        <w:tblPrEx>
          <w:tblCellMar>
            <w:top w:w="0" w:type="dxa"/>
            <w:left w:w="108" w:type="dxa"/>
            <w:bottom w:w="0" w:type="dxa"/>
            <w:right w:w="108" w:type="dxa"/>
          </w:tblCellMar>
        </w:tblPrEx>
        <w:trPr>
          <w:trHeight w:val="480" w:hRule="atLeast"/>
        </w:trPr>
        <w:tc>
          <w:tcPr>
            <w:tcW w:w="817" w:type="dxa"/>
            <w:tcBorders>
              <w:top w:val="single" w:color="auto" w:sz="4" w:space="0"/>
              <w:left w:val="single" w:color="auto" w:sz="4" w:space="0"/>
              <w:bottom w:val="nil"/>
              <w:right w:val="single" w:color="auto" w:sz="4" w:space="0"/>
            </w:tcBorders>
            <w:vAlign w:val="center"/>
          </w:tcPr>
          <w:p>
            <w:pPr>
              <w:widowControl/>
              <w:spacing w:line="560" w:lineRule="exact"/>
              <w:jc w:val="center"/>
              <w:rPr>
                <w:rFonts w:hint="eastAsia" w:ascii="方正黑体_GBK" w:hAnsi="宋体" w:eastAsia="方正黑体_GBK" w:cs="宋体"/>
                <w:kern w:val="0"/>
                <w:sz w:val="30"/>
                <w:szCs w:val="30"/>
              </w:rPr>
            </w:pPr>
            <w:r>
              <w:rPr>
                <w:rFonts w:hint="eastAsia" w:ascii="方正黑体_GBK" w:hAnsi="宋体" w:eastAsia="方正黑体_GBK" w:cs="宋体"/>
                <w:kern w:val="0"/>
                <w:sz w:val="30"/>
                <w:szCs w:val="30"/>
              </w:rPr>
              <w:t>序号</w:t>
            </w:r>
          </w:p>
        </w:tc>
        <w:tc>
          <w:tcPr>
            <w:tcW w:w="1559" w:type="dxa"/>
            <w:gridSpan w:val="2"/>
            <w:tcBorders>
              <w:top w:val="single" w:color="auto" w:sz="4" w:space="0"/>
              <w:left w:val="single" w:color="auto" w:sz="4" w:space="0"/>
              <w:bottom w:val="nil"/>
              <w:right w:val="single" w:color="auto" w:sz="4" w:space="0"/>
            </w:tcBorders>
            <w:vAlign w:val="center"/>
          </w:tcPr>
          <w:p>
            <w:pPr>
              <w:widowControl/>
              <w:spacing w:line="560" w:lineRule="exact"/>
              <w:jc w:val="center"/>
              <w:rPr>
                <w:rFonts w:hint="eastAsia" w:ascii="方正黑体_GBK" w:hAnsi="宋体" w:eastAsia="方正黑体_GBK" w:cs="宋体"/>
                <w:kern w:val="0"/>
                <w:sz w:val="30"/>
                <w:szCs w:val="30"/>
              </w:rPr>
            </w:pPr>
            <w:r>
              <w:rPr>
                <w:rFonts w:hint="eastAsia" w:ascii="方正黑体_GBK" w:hAnsi="宋体" w:eastAsia="方正黑体_GBK" w:cs="宋体"/>
                <w:kern w:val="0"/>
                <w:sz w:val="30"/>
                <w:szCs w:val="30"/>
              </w:rPr>
              <w:t>类别</w:t>
            </w:r>
          </w:p>
        </w:tc>
        <w:tc>
          <w:tcPr>
            <w:tcW w:w="7513" w:type="dxa"/>
            <w:tcBorders>
              <w:top w:val="single" w:color="auto" w:sz="4" w:space="0"/>
              <w:left w:val="single" w:color="auto" w:sz="4" w:space="0"/>
              <w:bottom w:val="nil"/>
              <w:right w:val="single" w:color="auto" w:sz="4" w:space="0"/>
            </w:tcBorders>
            <w:shd w:val="clear" w:color="auto" w:fill="auto"/>
            <w:vAlign w:val="center"/>
          </w:tcPr>
          <w:p>
            <w:pPr>
              <w:widowControl/>
              <w:spacing w:line="560" w:lineRule="exact"/>
              <w:jc w:val="center"/>
              <w:rPr>
                <w:rFonts w:hint="eastAsia" w:ascii="方正黑体_GBK" w:hAnsi="宋体" w:eastAsia="方正黑体_GBK" w:cs="宋体"/>
                <w:kern w:val="0"/>
                <w:sz w:val="30"/>
                <w:szCs w:val="30"/>
              </w:rPr>
            </w:pPr>
            <w:r>
              <w:rPr>
                <w:rFonts w:hint="eastAsia" w:ascii="方正黑体_GBK" w:hAnsi="宋体" w:eastAsia="方正黑体_GBK" w:cs="宋体"/>
                <w:kern w:val="0"/>
                <w:sz w:val="30"/>
                <w:szCs w:val="30"/>
              </w:rPr>
              <w:t>重点任务</w:t>
            </w:r>
          </w:p>
        </w:tc>
        <w:tc>
          <w:tcPr>
            <w:tcW w:w="1985" w:type="dxa"/>
            <w:tcBorders>
              <w:top w:val="single" w:color="auto" w:sz="4" w:space="0"/>
              <w:left w:val="nil"/>
              <w:bottom w:val="nil"/>
              <w:right w:val="single" w:color="auto" w:sz="4" w:space="0"/>
            </w:tcBorders>
            <w:shd w:val="clear" w:color="auto" w:fill="auto"/>
            <w:vAlign w:val="center"/>
          </w:tcPr>
          <w:p>
            <w:pPr>
              <w:widowControl/>
              <w:spacing w:line="560" w:lineRule="exact"/>
              <w:jc w:val="center"/>
              <w:rPr>
                <w:rFonts w:hint="eastAsia" w:ascii="方正黑体_GBK" w:hAnsi="宋体" w:eastAsia="方正黑体_GBK" w:cs="宋体"/>
                <w:kern w:val="0"/>
                <w:sz w:val="30"/>
                <w:szCs w:val="30"/>
              </w:rPr>
            </w:pPr>
            <w:r>
              <w:rPr>
                <w:rFonts w:hint="eastAsia" w:ascii="方正黑体_GBK" w:hAnsi="宋体" w:eastAsia="方正黑体_GBK" w:cs="宋体"/>
                <w:kern w:val="0"/>
                <w:sz w:val="30"/>
                <w:szCs w:val="30"/>
              </w:rPr>
              <w:t>牵头单位</w:t>
            </w:r>
          </w:p>
        </w:tc>
        <w:tc>
          <w:tcPr>
            <w:tcW w:w="2218" w:type="dxa"/>
            <w:tcBorders>
              <w:top w:val="single" w:color="auto" w:sz="4" w:space="0"/>
              <w:left w:val="nil"/>
              <w:bottom w:val="nil"/>
              <w:right w:val="single" w:color="auto" w:sz="4" w:space="0"/>
            </w:tcBorders>
            <w:shd w:val="clear" w:color="auto" w:fill="auto"/>
            <w:vAlign w:val="center"/>
          </w:tcPr>
          <w:p>
            <w:pPr>
              <w:widowControl/>
              <w:spacing w:line="560" w:lineRule="exact"/>
              <w:jc w:val="center"/>
              <w:rPr>
                <w:rFonts w:hint="eastAsia" w:ascii="方正黑体_GBK" w:hAnsi="宋体" w:eastAsia="方正黑体_GBK" w:cs="宋体"/>
                <w:kern w:val="0"/>
                <w:sz w:val="30"/>
                <w:szCs w:val="30"/>
              </w:rPr>
            </w:pPr>
            <w:r>
              <w:rPr>
                <w:rFonts w:hint="eastAsia" w:ascii="方正黑体_GBK" w:hAnsi="宋体" w:eastAsia="方正黑体_GBK" w:cs="宋体"/>
                <w:kern w:val="0"/>
                <w:sz w:val="30"/>
                <w:szCs w:val="30"/>
              </w:rPr>
              <w:t>配合单位</w:t>
            </w:r>
          </w:p>
        </w:tc>
      </w:tr>
      <w:tr>
        <w:tblPrEx>
          <w:tblCellMar>
            <w:top w:w="0" w:type="dxa"/>
            <w:left w:w="108" w:type="dxa"/>
            <w:bottom w:w="0" w:type="dxa"/>
            <w:right w:w="108" w:type="dxa"/>
          </w:tblCellMar>
        </w:tblPrEx>
        <w:trPr>
          <w:trHeight w:val="1051"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2"/>
              </w:rPr>
            </w:pPr>
            <w:r>
              <w:rPr>
                <w:kern w:val="0"/>
                <w:sz w:val="22"/>
              </w:rPr>
              <w:t>1</w:t>
            </w:r>
          </w:p>
        </w:tc>
        <w:tc>
          <w:tcPr>
            <w:tcW w:w="709"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行</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业</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监</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管</w:t>
            </w:r>
          </w:p>
        </w:tc>
        <w:tc>
          <w:tcPr>
            <w:tcW w:w="850"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督</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导</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检</w:t>
            </w:r>
          </w:p>
          <w:p>
            <w:pPr>
              <w:widowControl/>
              <w:spacing w:line="360" w:lineRule="exact"/>
              <w:jc w:val="center"/>
              <w:rPr>
                <w:rFonts w:ascii="方正仿宋_GBK" w:hAnsi="黑体" w:cs="宋体"/>
                <w:kern w:val="0"/>
                <w:sz w:val="22"/>
                <w:szCs w:val="22"/>
              </w:rPr>
            </w:pPr>
            <w:r>
              <w:rPr>
                <w:rFonts w:hint="eastAsia" w:ascii="方正仿宋_GBK" w:hAnsi="黑体" w:cs="宋体"/>
                <w:kern w:val="0"/>
                <w:sz w:val="22"/>
                <w:szCs w:val="22"/>
              </w:rPr>
              <w:t>查</w:t>
            </w:r>
          </w:p>
        </w:tc>
        <w:tc>
          <w:tcPr>
            <w:tcW w:w="75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方正仿宋_GBK" w:hAnsi="宋体" w:cs="宋体"/>
                <w:kern w:val="0"/>
                <w:sz w:val="22"/>
              </w:rPr>
            </w:pPr>
            <w:r>
              <w:rPr>
                <w:rFonts w:hint="eastAsia" w:ascii="方正仿宋_GBK" w:hAnsi="宋体" w:cs="宋体"/>
                <w:kern w:val="0"/>
                <w:sz w:val="22"/>
              </w:rPr>
              <w:t>做好打击治理电信网络新型违法犯罪工作的统筹和指导，加强工作落实情况督促检查，适时向街道通报。</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平安办</w:t>
            </w:r>
          </w:p>
        </w:tc>
        <w:tc>
          <w:tcPr>
            <w:tcW w:w="221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hint="eastAsia" w:ascii="方正仿宋_GBK" w:hAnsi="宋体" w:cs="宋体"/>
                <w:kern w:val="0"/>
                <w:sz w:val="22"/>
              </w:rPr>
            </w:pPr>
            <w:r>
              <w:rPr>
                <w:rFonts w:hint="eastAsia" w:ascii="方正仿宋_GBK" w:hAnsi="宋体" w:cs="宋体"/>
                <w:kern w:val="0"/>
                <w:sz w:val="22"/>
              </w:rPr>
              <w:t>社区文化服务中心、民社办、经发办、</w:t>
            </w:r>
          </w:p>
          <w:p>
            <w:pPr>
              <w:widowControl/>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r>
      <w:tr>
        <w:tblPrEx>
          <w:tblCellMar>
            <w:top w:w="0" w:type="dxa"/>
            <w:left w:w="108" w:type="dxa"/>
            <w:bottom w:w="0" w:type="dxa"/>
            <w:right w:w="108" w:type="dxa"/>
          </w:tblCellMar>
        </w:tblPrEx>
        <w:trPr>
          <w:trHeight w:val="757"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2"/>
              </w:rPr>
            </w:pPr>
            <w:r>
              <w:rPr>
                <w:kern w:val="0"/>
                <w:sz w:val="22"/>
              </w:rPr>
              <w:t>2</w:t>
            </w:r>
          </w:p>
        </w:tc>
        <w:tc>
          <w:tcPr>
            <w:tcW w:w="709" w:type="dxa"/>
            <w:vMerge w:val="continue"/>
            <w:tcBorders>
              <w:left w:val="single" w:color="auto" w:sz="4" w:space="0"/>
              <w:right w:val="single" w:color="auto" w:sz="4" w:space="0"/>
            </w:tcBorders>
            <w:vAlign w:val="center"/>
          </w:tcPr>
          <w:p>
            <w:pPr>
              <w:widowControl/>
              <w:spacing w:line="360" w:lineRule="exact"/>
              <w:jc w:val="center"/>
              <w:rPr>
                <w:rFonts w:ascii="方正仿宋_GBK" w:hAnsi="宋体" w:cs="宋体"/>
                <w:kern w:val="0"/>
                <w:sz w:val="22"/>
              </w:rPr>
            </w:pPr>
          </w:p>
        </w:tc>
        <w:tc>
          <w:tcPr>
            <w:tcW w:w="850" w:type="dxa"/>
            <w:vMerge w:val="continue"/>
            <w:tcBorders>
              <w:left w:val="single" w:color="auto" w:sz="4" w:space="0"/>
              <w:right w:val="single" w:color="auto" w:sz="4" w:space="0"/>
            </w:tcBorders>
            <w:vAlign w:val="center"/>
          </w:tcPr>
          <w:p>
            <w:pPr>
              <w:widowControl/>
              <w:spacing w:line="360" w:lineRule="exact"/>
              <w:jc w:val="center"/>
              <w:rPr>
                <w:rFonts w:ascii="方正仿宋_GBK" w:hAnsi="黑体" w:cs="宋体"/>
                <w:kern w:val="0"/>
                <w:sz w:val="22"/>
                <w:szCs w:val="22"/>
              </w:rPr>
            </w:pPr>
          </w:p>
        </w:tc>
        <w:tc>
          <w:tcPr>
            <w:tcW w:w="751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rPr>
                <w:rFonts w:ascii="方正仿宋_GBK" w:hAnsi="宋体" w:cs="宋体"/>
                <w:kern w:val="0"/>
                <w:sz w:val="22"/>
              </w:rPr>
            </w:pPr>
            <w:r>
              <w:rPr>
                <w:rFonts w:hint="eastAsia" w:ascii="方正仿宋_GBK" w:hAnsi="宋体" w:cs="宋体"/>
                <w:kern w:val="0"/>
                <w:sz w:val="22"/>
              </w:rPr>
              <w:t>将打击治理防范电信网络新型违法犯罪工作阶段性完成情况纳入平安建设年度考核。</w:t>
            </w:r>
          </w:p>
        </w:tc>
        <w:tc>
          <w:tcPr>
            <w:tcW w:w="198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平安办</w:t>
            </w:r>
          </w:p>
        </w:tc>
        <w:tc>
          <w:tcPr>
            <w:tcW w:w="221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各社区</w:t>
            </w:r>
          </w:p>
        </w:tc>
      </w:tr>
      <w:tr>
        <w:tblPrEx>
          <w:tblCellMar>
            <w:top w:w="0" w:type="dxa"/>
            <w:left w:w="108" w:type="dxa"/>
            <w:bottom w:w="0" w:type="dxa"/>
            <w:right w:w="108" w:type="dxa"/>
          </w:tblCellMar>
        </w:tblPrEx>
        <w:trPr>
          <w:trHeight w:val="698" w:hRule="atLeast"/>
        </w:trPr>
        <w:tc>
          <w:tcPr>
            <w:tcW w:w="817" w:type="dxa"/>
            <w:tcBorders>
              <w:top w:val="nil"/>
              <w:left w:val="single" w:color="auto" w:sz="4" w:space="0"/>
              <w:bottom w:val="single" w:color="auto" w:sz="4" w:space="0"/>
              <w:right w:val="single" w:color="auto" w:sz="4" w:space="0"/>
            </w:tcBorders>
            <w:vAlign w:val="center"/>
          </w:tcPr>
          <w:p>
            <w:pPr>
              <w:widowControl/>
              <w:spacing w:line="360" w:lineRule="exact"/>
              <w:jc w:val="center"/>
              <w:rPr>
                <w:kern w:val="0"/>
                <w:sz w:val="22"/>
              </w:rPr>
            </w:pPr>
            <w:r>
              <w:rPr>
                <w:kern w:val="0"/>
                <w:sz w:val="22"/>
              </w:rPr>
              <w:t>3</w:t>
            </w:r>
          </w:p>
        </w:tc>
        <w:tc>
          <w:tcPr>
            <w:tcW w:w="709" w:type="dxa"/>
            <w:vMerge w:val="continue"/>
            <w:tcBorders>
              <w:left w:val="single" w:color="auto" w:sz="4" w:space="0"/>
              <w:right w:val="single" w:color="auto" w:sz="4" w:space="0"/>
            </w:tcBorders>
            <w:vAlign w:val="center"/>
          </w:tcPr>
          <w:p>
            <w:pPr>
              <w:widowControl/>
              <w:spacing w:line="360" w:lineRule="exact"/>
              <w:jc w:val="center"/>
              <w:rPr>
                <w:rFonts w:ascii="方正仿宋_GBK" w:hAnsi="宋体" w:cs="宋体"/>
                <w:kern w:val="0"/>
                <w:sz w:val="22"/>
              </w:rPr>
            </w:pPr>
          </w:p>
        </w:tc>
        <w:tc>
          <w:tcPr>
            <w:tcW w:w="850"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方正仿宋_GBK" w:hAnsi="黑体" w:cs="宋体"/>
                <w:kern w:val="0"/>
                <w:sz w:val="22"/>
                <w:szCs w:val="22"/>
              </w:rPr>
            </w:pPr>
          </w:p>
        </w:tc>
        <w:tc>
          <w:tcPr>
            <w:tcW w:w="7513"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方正仿宋_GBK" w:hAnsi="宋体" w:cs="宋体"/>
                <w:kern w:val="0"/>
                <w:sz w:val="22"/>
              </w:rPr>
            </w:pPr>
            <w:r>
              <w:rPr>
                <w:rFonts w:hint="eastAsia" w:ascii="方正仿宋_GBK" w:hAnsi="宋体" w:cs="宋体"/>
                <w:kern w:val="0"/>
                <w:sz w:val="22"/>
              </w:rPr>
              <w:t>督促辖区各互联网企业建立协助公安机关侦办电信网络诈骗案件工作机制</w:t>
            </w:r>
          </w:p>
        </w:tc>
        <w:tc>
          <w:tcPr>
            <w:tcW w:w="198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c>
          <w:tcPr>
            <w:tcW w:w="221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经发办</w:t>
            </w:r>
          </w:p>
        </w:tc>
      </w:tr>
      <w:tr>
        <w:tblPrEx>
          <w:tblCellMar>
            <w:top w:w="0" w:type="dxa"/>
            <w:left w:w="108" w:type="dxa"/>
            <w:bottom w:w="0" w:type="dxa"/>
            <w:right w:w="108" w:type="dxa"/>
          </w:tblCellMar>
        </w:tblPrEx>
        <w:trPr>
          <w:trHeight w:val="1133"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 w:val="22"/>
              </w:rPr>
            </w:pPr>
            <w:r>
              <w:rPr>
                <w:kern w:val="0"/>
                <w:sz w:val="22"/>
              </w:rPr>
              <w:t>4</w:t>
            </w:r>
          </w:p>
        </w:tc>
        <w:tc>
          <w:tcPr>
            <w:tcW w:w="709" w:type="dxa"/>
            <w:vMerge w:val="continue"/>
            <w:tcBorders>
              <w:left w:val="single" w:color="auto" w:sz="4" w:space="0"/>
              <w:bottom w:val="single" w:color="auto" w:sz="4" w:space="0"/>
              <w:right w:val="single" w:color="auto" w:sz="4" w:space="0"/>
            </w:tcBorders>
            <w:vAlign w:val="center"/>
          </w:tcPr>
          <w:p>
            <w:pPr>
              <w:spacing w:line="360" w:lineRule="exact"/>
              <w:jc w:val="center"/>
              <w:rPr>
                <w:rFonts w:ascii="方正仿宋_GBK" w:hAnsi="宋体" w:cs="宋体"/>
                <w:kern w:val="0"/>
                <w:sz w:val="22"/>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源</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头</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堵</w:t>
            </w:r>
          </w:p>
          <w:p>
            <w:pPr>
              <w:widowControl/>
              <w:spacing w:line="360" w:lineRule="exact"/>
              <w:jc w:val="center"/>
              <w:rPr>
                <w:rFonts w:ascii="方正仿宋_GBK" w:hAnsi="黑体" w:cs="宋体"/>
                <w:kern w:val="0"/>
                <w:sz w:val="22"/>
                <w:szCs w:val="22"/>
              </w:rPr>
            </w:pPr>
            <w:r>
              <w:rPr>
                <w:rFonts w:hint="eastAsia" w:ascii="方正仿宋_GBK" w:hAnsi="黑体" w:cs="宋体"/>
                <w:kern w:val="0"/>
                <w:sz w:val="22"/>
                <w:szCs w:val="22"/>
              </w:rPr>
              <w:t>漏</w:t>
            </w:r>
          </w:p>
        </w:tc>
        <w:tc>
          <w:tcPr>
            <w:tcW w:w="75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方正仿宋_GBK" w:hAnsi="宋体" w:cs="宋体"/>
                <w:kern w:val="0"/>
                <w:sz w:val="22"/>
              </w:rPr>
            </w:pPr>
            <w:r>
              <w:rPr>
                <w:rFonts w:hint="eastAsia" w:ascii="方正仿宋_GBK" w:hAnsi="宋体" w:cs="宋体"/>
                <w:kern w:val="0"/>
                <w:sz w:val="22"/>
              </w:rPr>
              <w:t>剖析侦办的本地案件，梳理监管环节安全漏洞，督促相关行业部门加强监管，堵塞漏洞</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c>
          <w:tcPr>
            <w:tcW w:w="221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各有关部门</w:t>
            </w:r>
          </w:p>
        </w:tc>
      </w:tr>
      <w:tr>
        <w:tblPrEx>
          <w:tblCellMar>
            <w:top w:w="0" w:type="dxa"/>
            <w:left w:w="108" w:type="dxa"/>
            <w:bottom w:w="0" w:type="dxa"/>
            <w:right w:w="108" w:type="dxa"/>
          </w:tblCellMar>
        </w:tblPrEx>
        <w:trPr>
          <w:trHeight w:val="838" w:hRule="atLeast"/>
        </w:trPr>
        <w:tc>
          <w:tcPr>
            <w:tcW w:w="8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2"/>
              </w:rPr>
            </w:pPr>
            <w:r>
              <w:rPr>
                <w:kern w:val="0"/>
                <w:sz w:val="22"/>
              </w:rPr>
              <w:t>5</w:t>
            </w:r>
          </w:p>
        </w:tc>
        <w:tc>
          <w:tcPr>
            <w:tcW w:w="709"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强</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化</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打</w:t>
            </w:r>
          </w:p>
          <w:p>
            <w:pPr>
              <w:widowControl/>
              <w:spacing w:line="360" w:lineRule="exact"/>
              <w:jc w:val="center"/>
              <w:rPr>
                <w:rFonts w:ascii="方正仿宋_GBK" w:hAnsi="黑体" w:cs="宋体"/>
                <w:kern w:val="0"/>
                <w:sz w:val="22"/>
                <w:szCs w:val="22"/>
              </w:rPr>
            </w:pPr>
            <w:r>
              <w:rPr>
                <w:rFonts w:hint="eastAsia" w:ascii="方正仿宋_GBK" w:hAnsi="黑体" w:cs="宋体"/>
                <w:kern w:val="0"/>
                <w:sz w:val="22"/>
                <w:szCs w:val="22"/>
              </w:rPr>
              <w:t>击</w:t>
            </w:r>
          </w:p>
        </w:tc>
        <w:tc>
          <w:tcPr>
            <w:tcW w:w="850"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灰</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产</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打</w:t>
            </w:r>
          </w:p>
          <w:p>
            <w:pPr>
              <w:widowControl/>
              <w:spacing w:line="360" w:lineRule="exact"/>
              <w:jc w:val="center"/>
              <w:rPr>
                <w:rFonts w:ascii="方正仿宋_GBK" w:hAnsi="黑体" w:cs="宋体"/>
                <w:kern w:val="0"/>
                <w:sz w:val="22"/>
                <w:szCs w:val="22"/>
              </w:rPr>
            </w:pPr>
            <w:r>
              <w:rPr>
                <w:rFonts w:hint="eastAsia" w:ascii="方正仿宋_GBK" w:hAnsi="黑体" w:cs="宋体"/>
                <w:kern w:val="0"/>
                <w:sz w:val="22"/>
                <w:szCs w:val="22"/>
              </w:rPr>
              <w:t>击</w:t>
            </w:r>
          </w:p>
        </w:tc>
        <w:tc>
          <w:tcPr>
            <w:tcW w:w="75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rPr>
                <w:rFonts w:ascii="方正仿宋_GBK" w:hAnsi="宋体" w:cs="宋体"/>
                <w:kern w:val="0"/>
                <w:sz w:val="22"/>
              </w:rPr>
            </w:pPr>
            <w:r>
              <w:rPr>
                <w:rFonts w:hint="eastAsia" w:ascii="方正仿宋_GBK" w:hAnsi="宋体" w:cs="宋体"/>
                <w:kern w:val="0"/>
                <w:sz w:val="22"/>
              </w:rPr>
              <w:t>加大对互联网内容的审查力度，及时发现一批涉及电信诈骗违法犯罪线索，通报公安机关开展打击。</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社区文化服务中心</w:t>
            </w:r>
          </w:p>
        </w:tc>
        <w:tc>
          <w:tcPr>
            <w:tcW w:w="221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r>
      <w:tr>
        <w:tblPrEx>
          <w:tblCellMar>
            <w:top w:w="0" w:type="dxa"/>
            <w:left w:w="108" w:type="dxa"/>
            <w:bottom w:w="0" w:type="dxa"/>
            <w:right w:w="108" w:type="dxa"/>
          </w:tblCellMar>
        </w:tblPrEx>
        <w:trPr>
          <w:trHeight w:val="754"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kern w:val="0"/>
                <w:sz w:val="22"/>
              </w:rPr>
            </w:pPr>
            <w:r>
              <w:rPr>
                <w:kern w:val="0"/>
                <w:sz w:val="22"/>
              </w:rPr>
              <w:t>6</w:t>
            </w:r>
          </w:p>
        </w:tc>
        <w:tc>
          <w:tcPr>
            <w:tcW w:w="709" w:type="dxa"/>
            <w:vMerge w:val="continue"/>
            <w:tcBorders>
              <w:left w:val="single" w:color="auto" w:sz="4" w:space="0"/>
              <w:bottom w:val="single" w:color="auto" w:sz="4" w:space="0"/>
              <w:right w:val="single" w:color="auto" w:sz="4" w:space="0"/>
            </w:tcBorders>
          </w:tcPr>
          <w:p>
            <w:pPr>
              <w:spacing w:line="360" w:lineRule="exact"/>
              <w:jc w:val="center"/>
              <w:rPr>
                <w:rFonts w:ascii="方正仿宋_GBK" w:hAnsi="宋体" w:cs="宋体"/>
                <w:kern w:val="0"/>
                <w:sz w:val="22"/>
              </w:rPr>
            </w:pPr>
          </w:p>
        </w:tc>
        <w:tc>
          <w:tcPr>
            <w:tcW w:w="850" w:type="dxa"/>
            <w:vMerge w:val="continue"/>
            <w:tcBorders>
              <w:left w:val="single" w:color="auto" w:sz="4" w:space="0"/>
              <w:bottom w:val="single" w:color="auto" w:sz="4" w:space="0"/>
              <w:right w:val="single" w:color="auto" w:sz="4" w:space="0"/>
            </w:tcBorders>
          </w:tcPr>
          <w:p>
            <w:pPr>
              <w:spacing w:line="360" w:lineRule="exact"/>
              <w:jc w:val="center"/>
              <w:rPr>
                <w:rFonts w:ascii="方正楷体_GBK" w:hAnsi="宋体" w:eastAsia="方正楷体_GBK" w:cs="宋体"/>
                <w:kern w:val="0"/>
                <w:sz w:val="30"/>
                <w:szCs w:val="30"/>
              </w:rPr>
            </w:pPr>
          </w:p>
        </w:tc>
        <w:tc>
          <w:tcPr>
            <w:tcW w:w="751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rFonts w:ascii="方正仿宋_GBK" w:hAnsi="宋体" w:cs="宋体"/>
                <w:kern w:val="0"/>
                <w:sz w:val="22"/>
              </w:rPr>
            </w:pPr>
            <w:r>
              <w:rPr>
                <w:rFonts w:hint="eastAsia" w:ascii="方正仿宋_GBK" w:hAnsi="宋体" w:cs="宋体"/>
                <w:kern w:val="0"/>
                <w:sz w:val="22"/>
              </w:rPr>
              <w:t>紧盯黑广播、伪基站、侵犯公民信息的违法犯罪线索，强化多部门联合执法，从源头上斩断灰色产业利益链。</w:t>
            </w:r>
          </w:p>
        </w:tc>
        <w:tc>
          <w:tcPr>
            <w:tcW w:w="1985"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c>
          <w:tcPr>
            <w:tcW w:w="2218"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各有关部门</w:t>
            </w:r>
          </w:p>
        </w:tc>
      </w:tr>
    </w:tbl>
    <w:tbl>
      <w:tblPr>
        <w:tblStyle w:val="4"/>
        <w:tblW w:w="140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7655"/>
        <w:gridCol w:w="1984"/>
        <w:gridCol w:w="2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trPr>
        <w:tc>
          <w:tcPr>
            <w:tcW w:w="817" w:type="dxa"/>
            <w:tcBorders>
              <w:top w:val="single" w:color="auto" w:sz="4" w:space="0"/>
              <w:bottom w:val="single" w:color="auto" w:sz="4" w:space="0"/>
            </w:tcBorders>
            <w:vAlign w:val="center"/>
          </w:tcPr>
          <w:p>
            <w:pPr>
              <w:widowControl/>
              <w:spacing w:line="360" w:lineRule="exact"/>
              <w:jc w:val="center"/>
              <w:rPr>
                <w:kern w:val="0"/>
                <w:sz w:val="22"/>
              </w:rPr>
            </w:pPr>
            <w:r>
              <w:rPr>
                <w:kern w:val="0"/>
                <w:sz w:val="22"/>
              </w:rPr>
              <w:t>7</w:t>
            </w:r>
          </w:p>
        </w:tc>
        <w:tc>
          <w:tcPr>
            <w:tcW w:w="1559" w:type="dxa"/>
            <w:vMerge w:val="restart"/>
            <w:tcBorders>
              <w:top w:val="single" w:color="auto" w:sz="4" w:space="0"/>
            </w:tcBorders>
            <w:vAlign w:val="center"/>
          </w:tcPr>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宣</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传</w:t>
            </w:r>
          </w:p>
          <w:p>
            <w:pPr>
              <w:widowControl/>
              <w:spacing w:line="360" w:lineRule="exact"/>
              <w:jc w:val="center"/>
              <w:rPr>
                <w:rFonts w:hint="eastAsia" w:ascii="方正仿宋_GBK" w:hAnsi="黑体" w:cs="宋体"/>
                <w:kern w:val="0"/>
                <w:sz w:val="22"/>
                <w:szCs w:val="22"/>
              </w:rPr>
            </w:pPr>
            <w:r>
              <w:rPr>
                <w:rFonts w:hint="eastAsia" w:ascii="方正仿宋_GBK" w:hAnsi="黑体" w:cs="宋体"/>
                <w:kern w:val="0"/>
                <w:sz w:val="22"/>
                <w:szCs w:val="22"/>
              </w:rPr>
              <w:t>防</w:t>
            </w:r>
          </w:p>
          <w:p>
            <w:pPr>
              <w:widowControl/>
              <w:spacing w:line="360" w:lineRule="exact"/>
              <w:jc w:val="center"/>
              <w:rPr>
                <w:rFonts w:ascii="方正仿宋_GBK" w:hAnsi="黑体" w:cs="宋体"/>
                <w:kern w:val="0"/>
                <w:sz w:val="22"/>
              </w:rPr>
            </w:pPr>
            <w:r>
              <w:rPr>
                <w:rFonts w:hint="eastAsia" w:ascii="方正仿宋_GBK" w:hAnsi="黑体" w:cs="宋体"/>
                <w:kern w:val="0"/>
                <w:sz w:val="22"/>
                <w:szCs w:val="22"/>
              </w:rPr>
              <w:t>范</w:t>
            </w:r>
          </w:p>
        </w:tc>
        <w:tc>
          <w:tcPr>
            <w:tcW w:w="7655" w:type="dxa"/>
            <w:tcBorders>
              <w:top w:val="single" w:color="auto" w:sz="4" w:space="0"/>
              <w:bottom w:val="single" w:color="auto" w:sz="4" w:space="0"/>
            </w:tcBorders>
            <w:vAlign w:val="center"/>
          </w:tcPr>
          <w:p>
            <w:pPr>
              <w:widowControl/>
              <w:spacing w:line="360" w:lineRule="exact"/>
              <w:rPr>
                <w:rFonts w:ascii="方正仿宋_GBK" w:hAnsi="黑体" w:cs="宋体"/>
                <w:kern w:val="0"/>
                <w:sz w:val="22"/>
              </w:rPr>
            </w:pPr>
            <w:r>
              <w:rPr>
                <w:rFonts w:hint="eastAsia" w:ascii="方正仿宋_GBK" w:hAnsi="黑体" w:cs="宋体"/>
                <w:kern w:val="0"/>
                <w:sz w:val="22"/>
              </w:rPr>
              <w:t>组织开展为期半年的电信诈骗宣传教育活动，各成员单位和社区发挥属事属地责任，推进防诈骗宣传入校园、入企业、入楼栋、入住户，广泛张贴宣传海报、播放宣传视频，开展形式多样的线上线下宣传活动；广泛发动全社会力量，营造全社会了解、支持、参与打击治理电信网络新型违法犯罪的良好氛围；加强督导检查。</w:t>
            </w:r>
          </w:p>
        </w:tc>
        <w:tc>
          <w:tcPr>
            <w:tcW w:w="1984" w:type="dxa"/>
            <w:tcBorders>
              <w:top w:val="single" w:color="auto" w:sz="4" w:space="0"/>
              <w:bottom w:val="single" w:color="auto" w:sz="4" w:space="0"/>
            </w:tcBorders>
            <w:vAlign w:val="center"/>
          </w:tcPr>
          <w:p>
            <w:pPr>
              <w:widowControl/>
              <w:spacing w:line="360" w:lineRule="exact"/>
              <w:jc w:val="center"/>
              <w:rPr>
                <w:rFonts w:ascii="方正仿宋_GBK" w:hAnsi="宋体" w:cs="宋体"/>
                <w:kern w:val="0"/>
                <w:sz w:val="22"/>
              </w:rPr>
            </w:pPr>
            <w:r>
              <w:rPr>
                <w:rFonts w:hint="eastAsia" w:ascii="方正仿宋_GBK" w:hAnsi="宋体" w:cs="宋体"/>
                <w:kern w:val="0"/>
                <w:sz w:val="22"/>
              </w:rPr>
              <w:t>平安办</w:t>
            </w:r>
          </w:p>
        </w:tc>
        <w:tc>
          <w:tcPr>
            <w:tcW w:w="2019" w:type="dxa"/>
            <w:tcBorders>
              <w:top w:val="single" w:color="auto" w:sz="4" w:space="0"/>
              <w:bottom w:val="single" w:color="auto" w:sz="4" w:space="0"/>
            </w:tcBorders>
            <w:vAlign w:val="center"/>
          </w:tcPr>
          <w:p>
            <w:pPr>
              <w:widowControl/>
              <w:spacing w:line="360" w:lineRule="exact"/>
              <w:jc w:val="center"/>
              <w:rPr>
                <w:rFonts w:hint="eastAsia" w:ascii="方正仿宋_GBK" w:hAnsi="宋体" w:cs="宋体"/>
                <w:kern w:val="0"/>
                <w:sz w:val="22"/>
              </w:rPr>
            </w:pPr>
            <w:r>
              <w:rPr>
                <w:rFonts w:hint="eastAsia" w:ascii="方正仿宋_GBK" w:hAnsi="宋体" w:cs="宋体"/>
                <w:kern w:val="0"/>
                <w:sz w:val="22"/>
              </w:rPr>
              <w:t>各成员单位、</w:t>
            </w:r>
          </w:p>
          <w:p>
            <w:pPr>
              <w:widowControl/>
              <w:spacing w:line="360" w:lineRule="exact"/>
              <w:jc w:val="center"/>
              <w:rPr>
                <w:rFonts w:ascii="方正仿宋_GBK" w:hAnsi="宋体" w:cs="宋体"/>
                <w:kern w:val="0"/>
                <w:sz w:val="22"/>
              </w:rPr>
            </w:pPr>
            <w:r>
              <w:rPr>
                <w:rFonts w:hint="eastAsia" w:ascii="方正仿宋_GBK" w:hAnsi="宋体" w:cs="宋体"/>
                <w:kern w:val="0"/>
                <w:sz w:val="22"/>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817" w:type="dxa"/>
            <w:tcBorders>
              <w:top w:val="single" w:color="auto" w:sz="4" w:space="0"/>
              <w:bottom w:val="single" w:color="auto" w:sz="4" w:space="0"/>
            </w:tcBorders>
            <w:vAlign w:val="center"/>
          </w:tcPr>
          <w:p>
            <w:pPr>
              <w:spacing w:line="360" w:lineRule="exact"/>
              <w:jc w:val="center"/>
              <w:rPr>
                <w:kern w:val="0"/>
                <w:sz w:val="22"/>
              </w:rPr>
            </w:pPr>
            <w:r>
              <w:rPr>
                <w:kern w:val="0"/>
                <w:sz w:val="22"/>
              </w:rPr>
              <w:t>8</w:t>
            </w:r>
          </w:p>
        </w:tc>
        <w:tc>
          <w:tcPr>
            <w:tcW w:w="1559" w:type="dxa"/>
            <w:vMerge w:val="continue"/>
          </w:tcPr>
          <w:p>
            <w:pPr>
              <w:spacing w:line="360" w:lineRule="exact"/>
              <w:jc w:val="left"/>
              <w:rPr>
                <w:rFonts w:ascii="楷体" w:hAnsi="楷体" w:eastAsia="楷体" w:cs="宋体"/>
                <w:kern w:val="0"/>
                <w:sz w:val="22"/>
              </w:rPr>
            </w:pPr>
          </w:p>
        </w:tc>
        <w:tc>
          <w:tcPr>
            <w:tcW w:w="7655" w:type="dxa"/>
            <w:tcBorders>
              <w:top w:val="single" w:color="auto" w:sz="4" w:space="0"/>
              <w:bottom w:val="single" w:color="auto" w:sz="4" w:space="0"/>
            </w:tcBorders>
            <w:vAlign w:val="center"/>
          </w:tcPr>
          <w:p>
            <w:pPr>
              <w:spacing w:line="360" w:lineRule="exact"/>
              <w:rPr>
                <w:rFonts w:ascii="方正仿宋_GBK" w:hAnsi="宋体" w:cs="宋体"/>
                <w:kern w:val="0"/>
                <w:sz w:val="22"/>
              </w:rPr>
            </w:pPr>
            <w:r>
              <w:rPr>
                <w:rFonts w:hint="eastAsia" w:ascii="方正仿宋_GBK" w:hAnsi="黑体" w:cs="宋体"/>
                <w:kern w:val="0"/>
                <w:sz w:val="22"/>
              </w:rPr>
              <w:t>各成员单位、各社区充分发挥属事属地责任，推进防诈骗宣传“入户、入校园、入企业、入场所、入群”；推送防范电信网络诈骗宣传信息提示和图片、微视频和抖音视频，加强宣传报道；协调相关媒体加强公益宣传。</w:t>
            </w:r>
          </w:p>
        </w:tc>
        <w:tc>
          <w:tcPr>
            <w:tcW w:w="1984" w:type="dxa"/>
            <w:tcBorders>
              <w:top w:val="single" w:color="auto" w:sz="4" w:space="0"/>
              <w:bottom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社区文化服务中心</w:t>
            </w:r>
          </w:p>
        </w:tc>
        <w:tc>
          <w:tcPr>
            <w:tcW w:w="2019" w:type="dxa"/>
            <w:tcBorders>
              <w:top w:val="single" w:color="auto" w:sz="4" w:space="0"/>
              <w:bottom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平安办、各社区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0" w:hRule="atLeast"/>
        </w:trPr>
        <w:tc>
          <w:tcPr>
            <w:tcW w:w="817" w:type="dxa"/>
            <w:tcBorders>
              <w:top w:val="single" w:color="auto" w:sz="4" w:space="0"/>
              <w:bottom w:val="single" w:color="auto" w:sz="4" w:space="0"/>
            </w:tcBorders>
            <w:vAlign w:val="center"/>
          </w:tcPr>
          <w:p>
            <w:pPr>
              <w:spacing w:line="360" w:lineRule="exact"/>
              <w:jc w:val="center"/>
              <w:rPr>
                <w:kern w:val="0"/>
                <w:sz w:val="22"/>
              </w:rPr>
            </w:pPr>
            <w:r>
              <w:rPr>
                <w:kern w:val="0"/>
                <w:sz w:val="22"/>
              </w:rPr>
              <w:t>9</w:t>
            </w:r>
          </w:p>
        </w:tc>
        <w:tc>
          <w:tcPr>
            <w:tcW w:w="1559" w:type="dxa"/>
            <w:vMerge w:val="continue"/>
          </w:tcPr>
          <w:p>
            <w:pPr>
              <w:spacing w:line="360" w:lineRule="exact"/>
              <w:jc w:val="left"/>
              <w:rPr>
                <w:rFonts w:ascii="楷体" w:hAnsi="楷体" w:eastAsia="楷体" w:cs="宋体"/>
                <w:kern w:val="0"/>
                <w:sz w:val="22"/>
              </w:rPr>
            </w:pPr>
          </w:p>
        </w:tc>
        <w:tc>
          <w:tcPr>
            <w:tcW w:w="7655" w:type="dxa"/>
            <w:tcBorders>
              <w:top w:val="single" w:color="auto" w:sz="4" w:space="0"/>
              <w:bottom w:val="single" w:color="auto" w:sz="4" w:space="0"/>
            </w:tcBorders>
            <w:vAlign w:val="center"/>
          </w:tcPr>
          <w:p>
            <w:pPr>
              <w:spacing w:line="360" w:lineRule="exact"/>
              <w:rPr>
                <w:rFonts w:ascii="方正仿宋_GBK" w:hAnsi="宋体" w:cs="宋体"/>
                <w:kern w:val="0"/>
                <w:sz w:val="22"/>
              </w:rPr>
            </w:pPr>
            <w:r>
              <w:rPr>
                <w:rFonts w:hint="eastAsia" w:ascii="方正仿宋_GBK" w:hAnsi="黑体" w:cs="宋体"/>
                <w:kern w:val="0"/>
                <w:sz w:val="22"/>
              </w:rPr>
              <w:t>充分发动社区网格员等综治力量，发挥其下沉居民社区的优势，广泛在社区、小区和楼栋开展宣传防范；利用社区门禁系统视频播放等平台，滚动播放防诈宣传片。</w:t>
            </w:r>
          </w:p>
        </w:tc>
        <w:tc>
          <w:tcPr>
            <w:tcW w:w="1984" w:type="dxa"/>
            <w:tcBorders>
              <w:top w:val="single" w:color="auto" w:sz="4" w:space="0"/>
              <w:bottom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平安办</w:t>
            </w:r>
          </w:p>
        </w:tc>
        <w:tc>
          <w:tcPr>
            <w:tcW w:w="2019" w:type="dxa"/>
            <w:tcBorders>
              <w:top w:val="single" w:color="auto" w:sz="4" w:space="0"/>
              <w:bottom w:val="single" w:color="auto" w:sz="4" w:space="0"/>
            </w:tcBorders>
            <w:vAlign w:val="center"/>
          </w:tcPr>
          <w:p>
            <w:pPr>
              <w:spacing w:line="360" w:lineRule="exact"/>
              <w:jc w:val="center"/>
              <w:rPr>
                <w:rFonts w:hint="eastAsia" w:ascii="方正仿宋_GBK" w:hAnsi="宋体" w:cs="宋体"/>
                <w:kern w:val="0"/>
                <w:sz w:val="22"/>
              </w:rPr>
            </w:pPr>
            <w:r>
              <w:rPr>
                <w:rFonts w:hint="eastAsia" w:ascii="方正仿宋_GBK" w:hAnsi="宋体" w:cs="宋体"/>
                <w:kern w:val="0"/>
                <w:sz w:val="22"/>
              </w:rPr>
              <w:t>宝圣湖派出所、</w:t>
            </w:r>
          </w:p>
          <w:p>
            <w:pPr>
              <w:spacing w:line="360" w:lineRule="exact"/>
              <w:jc w:val="center"/>
              <w:rPr>
                <w:rFonts w:ascii="方正仿宋_GBK" w:hAnsi="宋体" w:cs="宋体"/>
                <w:kern w:val="0"/>
                <w:sz w:val="22"/>
              </w:rPr>
            </w:pPr>
            <w:r>
              <w:rPr>
                <w:rFonts w:hint="eastAsia" w:ascii="方正仿宋_GBK" w:hAnsi="宋体" w:cs="宋体"/>
                <w:kern w:val="0"/>
                <w:sz w:val="22"/>
              </w:rPr>
              <w:t>各社区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2" w:hRule="atLeast"/>
        </w:trPr>
        <w:tc>
          <w:tcPr>
            <w:tcW w:w="817" w:type="dxa"/>
            <w:tcBorders>
              <w:top w:val="single" w:color="auto" w:sz="4" w:space="0"/>
              <w:bottom w:val="single" w:color="auto" w:sz="4" w:space="0"/>
            </w:tcBorders>
            <w:vAlign w:val="center"/>
          </w:tcPr>
          <w:p>
            <w:pPr>
              <w:spacing w:line="360" w:lineRule="exact"/>
              <w:jc w:val="center"/>
              <w:rPr>
                <w:kern w:val="0"/>
                <w:sz w:val="22"/>
              </w:rPr>
            </w:pPr>
            <w:r>
              <w:rPr>
                <w:kern w:val="0"/>
                <w:sz w:val="22"/>
              </w:rPr>
              <w:t>10</w:t>
            </w:r>
          </w:p>
        </w:tc>
        <w:tc>
          <w:tcPr>
            <w:tcW w:w="1559" w:type="dxa"/>
            <w:vMerge w:val="continue"/>
          </w:tcPr>
          <w:p>
            <w:pPr>
              <w:spacing w:line="360" w:lineRule="exact"/>
              <w:jc w:val="left"/>
              <w:rPr>
                <w:rFonts w:ascii="楷体" w:hAnsi="楷体" w:eastAsia="楷体" w:cs="宋体"/>
                <w:kern w:val="0"/>
                <w:sz w:val="22"/>
              </w:rPr>
            </w:pPr>
          </w:p>
        </w:tc>
        <w:tc>
          <w:tcPr>
            <w:tcW w:w="7655" w:type="dxa"/>
            <w:tcBorders>
              <w:top w:val="single" w:color="auto" w:sz="4" w:space="0"/>
              <w:bottom w:val="single" w:color="auto" w:sz="4" w:space="0"/>
            </w:tcBorders>
            <w:vAlign w:val="center"/>
          </w:tcPr>
          <w:p>
            <w:pPr>
              <w:spacing w:line="360" w:lineRule="exact"/>
              <w:rPr>
                <w:rFonts w:ascii="方正仿宋_GBK" w:hAnsi="宋体" w:cs="宋体"/>
                <w:kern w:val="0"/>
                <w:sz w:val="22"/>
              </w:rPr>
            </w:pPr>
            <w:r>
              <w:rPr>
                <w:rFonts w:hint="eastAsia" w:ascii="方正仿宋_GBK" w:hAnsi="黑体" w:cs="宋体"/>
                <w:kern w:val="0"/>
                <w:sz w:val="22"/>
              </w:rPr>
              <w:t>对广泛接触“互联网+”新兴行业的年轻、“高知”群体加大宣传教育力度；利用网络安全宣传周等重要节点，开展形式多样的主题宣传活动，协调网络媒体加强公益宣传。</w:t>
            </w:r>
          </w:p>
        </w:tc>
        <w:tc>
          <w:tcPr>
            <w:tcW w:w="1984" w:type="dxa"/>
            <w:tcBorders>
              <w:top w:val="single" w:color="auto" w:sz="4" w:space="0"/>
              <w:bottom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社区文化服务中心</w:t>
            </w:r>
          </w:p>
        </w:tc>
        <w:tc>
          <w:tcPr>
            <w:tcW w:w="2019" w:type="dxa"/>
            <w:tcBorders>
              <w:top w:val="single" w:color="auto" w:sz="4" w:space="0"/>
              <w:bottom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817" w:type="dxa"/>
            <w:tcBorders>
              <w:top w:val="single" w:color="auto" w:sz="4" w:space="0"/>
              <w:bottom w:val="single" w:color="auto" w:sz="4" w:space="0"/>
            </w:tcBorders>
            <w:vAlign w:val="center"/>
          </w:tcPr>
          <w:p>
            <w:pPr>
              <w:spacing w:line="360" w:lineRule="exact"/>
              <w:jc w:val="center"/>
              <w:rPr>
                <w:kern w:val="0"/>
                <w:sz w:val="22"/>
              </w:rPr>
            </w:pPr>
            <w:r>
              <w:rPr>
                <w:kern w:val="0"/>
                <w:sz w:val="22"/>
              </w:rPr>
              <w:t>11</w:t>
            </w:r>
          </w:p>
        </w:tc>
        <w:tc>
          <w:tcPr>
            <w:tcW w:w="1559" w:type="dxa"/>
            <w:vMerge w:val="continue"/>
          </w:tcPr>
          <w:p>
            <w:pPr>
              <w:spacing w:line="360" w:lineRule="exact"/>
              <w:jc w:val="left"/>
              <w:rPr>
                <w:rFonts w:ascii="楷体" w:hAnsi="楷体" w:eastAsia="楷体" w:cs="宋体"/>
                <w:kern w:val="0"/>
                <w:sz w:val="22"/>
              </w:rPr>
            </w:pPr>
          </w:p>
        </w:tc>
        <w:tc>
          <w:tcPr>
            <w:tcW w:w="7655" w:type="dxa"/>
            <w:tcBorders>
              <w:top w:val="single" w:color="auto" w:sz="4" w:space="0"/>
              <w:bottom w:val="single" w:color="auto" w:sz="4" w:space="0"/>
            </w:tcBorders>
            <w:vAlign w:val="center"/>
          </w:tcPr>
          <w:p>
            <w:pPr>
              <w:spacing w:line="360" w:lineRule="exact"/>
              <w:rPr>
                <w:rFonts w:ascii="方正仿宋_GBK" w:hAnsi="宋体" w:cs="宋体"/>
                <w:kern w:val="0"/>
                <w:sz w:val="22"/>
              </w:rPr>
            </w:pPr>
            <w:r>
              <w:rPr>
                <w:rFonts w:hint="eastAsia" w:ascii="方正仿宋_GBK" w:hAnsi="黑体" w:cs="宋体"/>
                <w:kern w:val="0"/>
                <w:sz w:val="22"/>
              </w:rPr>
              <w:t>通过开展入学教育、法制课程、主题宣传、“小手牵大手”“网课”等形式多样的宣传活动，提升学校学生、教职工宣传防范意识，并将宣传防范活动延伸到学生家长；在校内各类视频播放平台滚动播放宣传片，广泛张贴、发放宣传资料。</w:t>
            </w:r>
          </w:p>
        </w:tc>
        <w:tc>
          <w:tcPr>
            <w:tcW w:w="1984" w:type="dxa"/>
            <w:tcBorders>
              <w:top w:val="single" w:color="auto" w:sz="4" w:space="0"/>
              <w:bottom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民社办</w:t>
            </w:r>
          </w:p>
        </w:tc>
        <w:tc>
          <w:tcPr>
            <w:tcW w:w="2019" w:type="dxa"/>
            <w:tcBorders>
              <w:top w:val="single" w:color="auto" w:sz="4" w:space="0"/>
              <w:bottom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trPr>
        <w:tc>
          <w:tcPr>
            <w:tcW w:w="817" w:type="dxa"/>
            <w:tcBorders>
              <w:top w:val="single" w:color="auto" w:sz="4" w:space="0"/>
            </w:tcBorders>
            <w:vAlign w:val="center"/>
          </w:tcPr>
          <w:p>
            <w:pPr>
              <w:spacing w:line="360" w:lineRule="exact"/>
              <w:jc w:val="center"/>
              <w:rPr>
                <w:kern w:val="0"/>
                <w:sz w:val="22"/>
              </w:rPr>
            </w:pPr>
            <w:r>
              <w:rPr>
                <w:kern w:val="0"/>
                <w:sz w:val="22"/>
              </w:rPr>
              <w:t>12</w:t>
            </w:r>
          </w:p>
        </w:tc>
        <w:tc>
          <w:tcPr>
            <w:tcW w:w="1559" w:type="dxa"/>
            <w:vMerge w:val="continue"/>
          </w:tcPr>
          <w:p>
            <w:pPr>
              <w:spacing w:line="360" w:lineRule="exact"/>
              <w:jc w:val="left"/>
              <w:rPr>
                <w:rFonts w:ascii="楷体" w:hAnsi="楷体" w:eastAsia="楷体" w:cs="宋体"/>
                <w:kern w:val="0"/>
                <w:sz w:val="22"/>
              </w:rPr>
            </w:pPr>
          </w:p>
        </w:tc>
        <w:tc>
          <w:tcPr>
            <w:tcW w:w="7655" w:type="dxa"/>
            <w:tcBorders>
              <w:top w:val="single" w:color="auto" w:sz="4" w:space="0"/>
            </w:tcBorders>
            <w:vAlign w:val="center"/>
          </w:tcPr>
          <w:p>
            <w:pPr>
              <w:spacing w:line="360" w:lineRule="exact"/>
              <w:rPr>
                <w:rFonts w:ascii="方正仿宋_GBK" w:hAnsi="宋体" w:cs="宋体"/>
                <w:kern w:val="0"/>
                <w:sz w:val="22"/>
              </w:rPr>
            </w:pPr>
            <w:r>
              <w:rPr>
                <w:rFonts w:hint="eastAsia" w:ascii="方正仿宋_GBK" w:hAnsi="黑体" w:cs="宋体"/>
                <w:kern w:val="0"/>
                <w:sz w:val="22"/>
              </w:rPr>
              <w:t>建立统一的宣传资料共享平台，对电信网络新型违法犯罪，尤其是最新诈骗手段进行揭露，推送相关部门开展宣传防范工作。</w:t>
            </w:r>
          </w:p>
        </w:tc>
        <w:tc>
          <w:tcPr>
            <w:tcW w:w="1984" w:type="dxa"/>
            <w:tcBorders>
              <w:top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宝圣湖派出所</w:t>
            </w:r>
          </w:p>
        </w:tc>
        <w:tc>
          <w:tcPr>
            <w:tcW w:w="2019" w:type="dxa"/>
            <w:tcBorders>
              <w:top w:val="single" w:color="auto" w:sz="4" w:space="0"/>
            </w:tcBorders>
            <w:vAlign w:val="center"/>
          </w:tcPr>
          <w:p>
            <w:pPr>
              <w:spacing w:line="360" w:lineRule="exact"/>
              <w:jc w:val="center"/>
              <w:rPr>
                <w:rFonts w:ascii="方正仿宋_GBK" w:hAnsi="宋体" w:cs="宋体"/>
                <w:kern w:val="0"/>
                <w:sz w:val="22"/>
              </w:rPr>
            </w:pPr>
            <w:r>
              <w:rPr>
                <w:rFonts w:hint="eastAsia" w:ascii="方正仿宋_GBK" w:hAnsi="宋体" w:cs="宋体"/>
                <w:kern w:val="0"/>
                <w:sz w:val="22"/>
              </w:rPr>
              <w:t>各成员单位</w:t>
            </w:r>
          </w:p>
        </w:tc>
      </w:tr>
    </w:tbl>
    <w:p>
      <w:pPr>
        <w:spacing w:line="560" w:lineRule="exact"/>
        <w:jc w:val="left"/>
        <w:rPr>
          <w:rFonts w:ascii="方正仿宋_GBK" w:hAnsi="楷体"/>
          <w:szCs w:val="32"/>
        </w:rPr>
        <w:sectPr>
          <w:footerReference r:id="rId3" w:type="default"/>
          <w:pgSz w:w="16838" w:h="11906" w:orient="landscape"/>
          <w:pgMar w:top="1800" w:right="1440" w:bottom="1800" w:left="1440" w:header="851" w:footer="992" w:gutter="0"/>
          <w:pgNumType w:fmt="numberInDash"/>
          <w:cols w:space="425" w:num="1"/>
          <w:docGrid w:type="lines" w:linePitch="312" w:charSpace="0"/>
        </w:sectPr>
      </w:pPr>
    </w:p>
    <w:p>
      <w:pPr>
        <w:tabs>
          <w:tab w:val="left" w:pos="2880"/>
        </w:tabs>
        <w:spacing w:beforeLines="50" w:line="560" w:lineRule="exact"/>
        <w:rPr>
          <w:rFonts w:ascii="方正黑体_GBK" w:eastAsia="方正黑体_GBK"/>
          <w:szCs w:val="32"/>
        </w:rPr>
      </w:pPr>
      <w:r>
        <w:rPr>
          <w:rFonts w:hint="eastAsia" w:ascii="方正黑体_GBK" w:eastAsia="方正黑体_GBK"/>
          <w:szCs w:val="32"/>
        </w:rPr>
        <w:t>附件</w:t>
      </w:r>
      <w:r>
        <w:rPr>
          <w:rFonts w:eastAsia="方正黑体_GBK"/>
          <w:szCs w:val="32"/>
        </w:rPr>
        <w:t>2</w:t>
      </w:r>
    </w:p>
    <w:p>
      <w:pPr>
        <w:tabs>
          <w:tab w:val="left" w:pos="2880"/>
        </w:tabs>
        <w:spacing w:beforeLines="50" w:line="560" w:lineRule="exact"/>
        <w:ind w:firstLine="629"/>
        <w:jc w:val="center"/>
        <w:rPr>
          <w:rFonts w:ascii="方正小标宋_GBK" w:eastAsia="方正小标宋_GBK"/>
          <w:sz w:val="44"/>
          <w:szCs w:val="44"/>
        </w:rPr>
      </w:pPr>
      <w:r>
        <w:rPr>
          <w:rFonts w:hint="eastAsia" w:ascii="方正小标宋_GBK" w:eastAsia="方正小标宋_GBK"/>
          <w:sz w:val="44"/>
          <w:szCs w:val="44"/>
        </w:rPr>
        <w:t>各单位报送联络员名单回执</w:t>
      </w:r>
    </w:p>
    <w:p>
      <w:pPr>
        <w:pStyle w:val="2"/>
        <w:spacing w:line="560" w:lineRule="exact"/>
      </w:pPr>
    </w:p>
    <w:p>
      <w:pPr>
        <w:tabs>
          <w:tab w:val="left" w:pos="2880"/>
        </w:tabs>
        <w:spacing w:line="560" w:lineRule="exact"/>
        <w:jc w:val="left"/>
        <w:rPr>
          <w:rFonts w:ascii="方正黑体_GBK" w:eastAsia="方正黑体_GBK"/>
          <w:szCs w:val="32"/>
        </w:rPr>
      </w:pPr>
    </w:p>
    <w:tbl>
      <w:tblPr>
        <w:tblStyle w:val="4"/>
        <w:tblpPr w:leftFromText="180" w:rightFromText="180" w:vertAnchor="page" w:horzAnchor="margin" w:tblpY="4261"/>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单位名称</w:t>
            </w:r>
          </w:p>
        </w:tc>
        <w:tc>
          <w:tcPr>
            <w:tcW w:w="1812" w:type="dxa"/>
            <w:vAlign w:val="center"/>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姓名</w:t>
            </w:r>
          </w:p>
        </w:tc>
        <w:tc>
          <w:tcPr>
            <w:tcW w:w="1812" w:type="dxa"/>
            <w:vAlign w:val="center"/>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所在部门</w:t>
            </w:r>
          </w:p>
        </w:tc>
        <w:tc>
          <w:tcPr>
            <w:tcW w:w="1812" w:type="dxa"/>
            <w:vAlign w:val="center"/>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所任职务</w:t>
            </w:r>
          </w:p>
        </w:tc>
        <w:tc>
          <w:tcPr>
            <w:tcW w:w="1812" w:type="dxa"/>
            <w:vAlign w:val="center"/>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812" w:type="dxa"/>
            <w:vAlign w:val="center"/>
          </w:tcPr>
          <w:p>
            <w:pPr>
              <w:tabs>
                <w:tab w:val="left" w:pos="2880"/>
              </w:tabs>
              <w:spacing w:line="560" w:lineRule="exact"/>
              <w:jc w:val="center"/>
              <w:rPr>
                <w:sz w:val="28"/>
                <w:szCs w:val="28"/>
              </w:rPr>
            </w:pPr>
          </w:p>
        </w:tc>
        <w:tc>
          <w:tcPr>
            <w:tcW w:w="1812" w:type="dxa"/>
            <w:vAlign w:val="center"/>
          </w:tcPr>
          <w:p>
            <w:pPr>
              <w:tabs>
                <w:tab w:val="left" w:pos="2880"/>
              </w:tabs>
              <w:spacing w:line="560" w:lineRule="exact"/>
              <w:jc w:val="center"/>
              <w:rPr>
                <w:sz w:val="28"/>
                <w:szCs w:val="28"/>
              </w:rPr>
            </w:pPr>
          </w:p>
        </w:tc>
        <w:tc>
          <w:tcPr>
            <w:tcW w:w="1812" w:type="dxa"/>
            <w:vAlign w:val="center"/>
          </w:tcPr>
          <w:p>
            <w:pPr>
              <w:tabs>
                <w:tab w:val="left" w:pos="2880"/>
              </w:tabs>
              <w:spacing w:line="560" w:lineRule="exact"/>
              <w:jc w:val="center"/>
              <w:rPr>
                <w:sz w:val="28"/>
                <w:szCs w:val="28"/>
              </w:rPr>
            </w:pPr>
          </w:p>
        </w:tc>
        <w:tc>
          <w:tcPr>
            <w:tcW w:w="1812" w:type="dxa"/>
            <w:vAlign w:val="center"/>
          </w:tcPr>
          <w:p>
            <w:pPr>
              <w:tabs>
                <w:tab w:val="left" w:pos="2880"/>
              </w:tabs>
              <w:spacing w:line="560" w:lineRule="exact"/>
              <w:jc w:val="center"/>
              <w:rPr>
                <w:sz w:val="28"/>
                <w:szCs w:val="28"/>
              </w:rPr>
            </w:pPr>
          </w:p>
        </w:tc>
        <w:tc>
          <w:tcPr>
            <w:tcW w:w="1812" w:type="dxa"/>
            <w:vAlign w:val="center"/>
          </w:tcPr>
          <w:p>
            <w:pPr>
              <w:tabs>
                <w:tab w:val="left" w:pos="2880"/>
              </w:tabs>
              <w:spacing w:line="560" w:lineRule="exact"/>
              <w:jc w:val="center"/>
              <w:rPr>
                <w:sz w:val="28"/>
                <w:szCs w:val="28"/>
              </w:rPr>
            </w:pPr>
          </w:p>
        </w:tc>
      </w:tr>
    </w:tbl>
    <w:p>
      <w:pPr>
        <w:spacing w:line="560" w:lineRule="exact"/>
        <w:jc w:val="left"/>
        <w:rPr>
          <w:rFonts w:ascii="方正仿宋_GBK" w:hAnsi="楷体"/>
          <w:szCs w:val="32"/>
        </w:rPr>
        <w:sectPr>
          <w:pgSz w:w="11906" w:h="16838"/>
          <w:pgMar w:top="2098" w:right="1531" w:bottom="1985" w:left="1531" w:header="851" w:footer="1304" w:gutter="0"/>
          <w:pgNumType w:fmt="numberInDash"/>
          <w:cols w:space="425" w:num="1"/>
          <w:docGrid w:type="lines" w:linePitch="312" w:charSpace="0"/>
        </w:sectPr>
      </w:pPr>
    </w:p>
    <w:p>
      <w:pPr>
        <w:tabs>
          <w:tab w:val="left" w:pos="2880"/>
        </w:tabs>
        <w:spacing w:line="560" w:lineRule="exact"/>
        <w:jc w:val="left"/>
        <w:rPr>
          <w:rFonts w:ascii="方正黑体_GBK" w:eastAsia="方正黑体_GBK"/>
          <w:szCs w:val="32"/>
        </w:rPr>
      </w:pPr>
      <w:r>
        <w:rPr>
          <w:rFonts w:hint="eastAsia" w:ascii="方正黑体_GBK" w:eastAsia="方正黑体_GBK"/>
          <w:szCs w:val="32"/>
        </w:rPr>
        <w:t>附件</w:t>
      </w:r>
      <w:r>
        <w:rPr>
          <w:rFonts w:eastAsia="方正黑体_GBK"/>
          <w:szCs w:val="32"/>
        </w:rPr>
        <w:t>3</w:t>
      </w:r>
    </w:p>
    <w:p>
      <w:pPr>
        <w:tabs>
          <w:tab w:val="left" w:pos="2880"/>
        </w:tabs>
        <w:spacing w:beforeLines="50" w:line="560" w:lineRule="exact"/>
        <w:ind w:firstLine="629"/>
        <w:jc w:val="center"/>
        <w:rPr>
          <w:rFonts w:ascii="方正小标宋_GBK" w:eastAsia="方正小标宋_GBK"/>
          <w:sz w:val="44"/>
          <w:szCs w:val="44"/>
        </w:rPr>
      </w:pPr>
      <w:r>
        <w:rPr>
          <w:rFonts w:hint="eastAsia" w:ascii="方正小标宋_GBK" w:eastAsia="方正小标宋_GBK"/>
          <w:sz w:val="44"/>
          <w:szCs w:val="44"/>
        </w:rPr>
        <w:t>各单位报送工作开展情况表</w:t>
      </w:r>
    </w:p>
    <w:tbl>
      <w:tblPr>
        <w:tblStyle w:val="4"/>
        <w:tblpPr w:leftFromText="180" w:rightFromText="180" w:vertAnchor="text" w:horzAnchor="margin" w:tblpX="1" w:tblpY="327"/>
        <w:tblW w:w="92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69"/>
        <w:gridCol w:w="3118"/>
        <w:gridCol w:w="2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8" w:hRule="atLeast"/>
        </w:trPr>
        <w:tc>
          <w:tcPr>
            <w:tcW w:w="3369" w:type="dxa"/>
            <w:vAlign w:val="center"/>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单位名称</w:t>
            </w:r>
          </w:p>
        </w:tc>
        <w:tc>
          <w:tcPr>
            <w:tcW w:w="3118" w:type="dxa"/>
            <w:vAlign w:val="center"/>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报送时间</w:t>
            </w:r>
          </w:p>
        </w:tc>
        <w:tc>
          <w:tcPr>
            <w:tcW w:w="2812" w:type="dxa"/>
          </w:tcPr>
          <w:p>
            <w:pPr>
              <w:tabs>
                <w:tab w:val="left" w:pos="2880"/>
              </w:tabs>
              <w:spacing w:line="560" w:lineRule="exact"/>
              <w:jc w:val="center"/>
              <w:rPr>
                <w:rFonts w:hint="eastAsia" w:ascii="方正黑体_GBK" w:eastAsia="方正黑体_GBK"/>
                <w:sz w:val="30"/>
                <w:szCs w:val="30"/>
              </w:rPr>
            </w:pPr>
            <w:r>
              <w:rPr>
                <w:rFonts w:hint="eastAsia" w:ascii="方正黑体_GBK" w:eastAsia="方正黑体_GBK"/>
                <w:sz w:val="30"/>
                <w:szCs w:val="30"/>
              </w:rPr>
              <w:t>报送人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3369" w:type="dxa"/>
            <w:vAlign w:val="center"/>
          </w:tcPr>
          <w:p>
            <w:pPr>
              <w:jc w:val="center"/>
              <w:rPr>
                <w:sz w:val="30"/>
                <w:szCs w:val="30"/>
              </w:rPr>
            </w:pPr>
            <w:r>
              <w:rPr>
                <w:rFonts w:hint="eastAsia"/>
                <w:sz w:val="30"/>
                <w:szCs w:val="30"/>
              </w:rPr>
              <w:t>XXXX</w:t>
            </w:r>
          </w:p>
        </w:tc>
        <w:tc>
          <w:tcPr>
            <w:tcW w:w="3118" w:type="dxa"/>
            <w:vAlign w:val="center"/>
          </w:tcPr>
          <w:p>
            <w:pPr>
              <w:jc w:val="center"/>
              <w:rPr>
                <w:sz w:val="30"/>
                <w:szCs w:val="30"/>
              </w:rPr>
            </w:pPr>
            <w:r>
              <w:rPr>
                <w:rFonts w:hint="eastAsia"/>
                <w:sz w:val="30"/>
                <w:szCs w:val="30"/>
              </w:rPr>
              <w:t>X年X月X日</w:t>
            </w:r>
          </w:p>
        </w:tc>
        <w:tc>
          <w:tcPr>
            <w:tcW w:w="2812" w:type="dxa"/>
          </w:tcPr>
          <w:p>
            <w:pPr>
              <w:jc w:val="center"/>
              <w:rPr>
                <w:sz w:val="30"/>
                <w:szCs w:val="30"/>
              </w:rPr>
            </w:pPr>
            <w:r>
              <w:rPr>
                <w:rFonts w:hint="eastAsia"/>
                <w:sz w:val="30"/>
                <w:szCs w:val="30"/>
              </w:rPr>
              <w:t>名字＋电话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atLeast"/>
        </w:trPr>
        <w:tc>
          <w:tcPr>
            <w:tcW w:w="9299" w:type="dxa"/>
            <w:gridSpan w:val="3"/>
            <w:vAlign w:val="center"/>
          </w:tcPr>
          <w:p>
            <w:pPr>
              <w:rPr>
                <w:rFonts w:hint="eastAsia"/>
                <w:sz w:val="30"/>
                <w:szCs w:val="30"/>
              </w:rPr>
            </w:pPr>
            <w:r>
              <w:rPr>
                <w:rFonts w:hint="eastAsia"/>
                <w:sz w:val="30"/>
                <w:szCs w:val="30"/>
              </w:rPr>
              <w:t>一、宣传工作开展情况：（要尽量体现数据和效果，如张贴发放海报多少，入户多少户，线下活动多少次等等，同时与自身工作建设相结合，好的宣传方式与活动等务必详细重点阐释）</w:t>
            </w:r>
          </w:p>
          <w:p>
            <w:pPr>
              <w:rPr>
                <w:sz w:val="30"/>
                <w:szCs w:val="30"/>
              </w:rPr>
            </w:pPr>
            <w:r>
              <w:rPr>
                <w:rFonts w:hint="eastAsia"/>
                <w:sz w:val="30"/>
                <w:szCs w:val="30"/>
              </w:rPr>
              <w:t>二、其他工作开展情况：</w:t>
            </w:r>
          </w:p>
        </w:tc>
      </w:tr>
    </w:tbl>
    <w:p>
      <w:pPr>
        <w:spacing w:line="560" w:lineRule="exact"/>
        <w:jc w:val="left"/>
        <w:rPr>
          <w:rFonts w:ascii="方正仿宋_GBK" w:hAnsi="楷体"/>
          <w:szCs w:val="32"/>
        </w:rPr>
      </w:pPr>
    </w:p>
    <w:p>
      <w:pPr>
        <w:pStyle w:val="2"/>
        <w:spacing w:line="560" w:lineRule="exact"/>
      </w:pPr>
    </w:p>
    <w:p>
      <w:pPr>
        <w:pStyle w:val="2"/>
        <w:spacing w:line="560" w:lineRule="exact"/>
      </w:pPr>
    </w:p>
    <w:p>
      <w:pPr>
        <w:pStyle w:val="2"/>
        <w:spacing w:line="56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00015"/>
      <w:docPartObj>
        <w:docPartGallery w:val="autotext"/>
      </w:docPartObj>
    </w:sdtPr>
    <w:sdtEndPr>
      <w:rPr>
        <w:rFonts w:ascii="仿宋" w:hAnsi="仿宋" w:eastAsia="仿宋"/>
        <w:sz w:val="28"/>
        <w:szCs w:val="28"/>
      </w:rPr>
    </w:sdtEndPr>
    <w:sdtContent>
      <w:p>
        <w:pPr>
          <w:pStyle w:val="3"/>
          <w:ind w:right="90" w:firstLine="90" w:firstLineChars="50"/>
          <w:jc w:val="right"/>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11 -</w:t>
        </w:r>
        <w:r>
          <w:rPr>
            <w:rFonts w:ascii="仿宋" w:hAnsi="仿宋" w:eastAsia="仿宋"/>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53760"/>
    <w:rsid w:val="72153760"/>
    <w:rsid w:val="74107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Cs w:val="24"/>
    </w:r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customStyle="1" w:styleId="6">
    <w:name w:val="标准正文常用"/>
    <w:basedOn w:val="1"/>
    <w:qFormat/>
    <w:uiPriority w:val="0"/>
    <w:pPr>
      <w:spacing w:line="560" w:lineRule="exact"/>
      <w:ind w:firstLine="880" w:firstLineChars="200"/>
    </w:pPr>
    <w:rPr>
      <w:rFonts w:eastAsia="方正仿宋_GBK" w:asciiTheme="minorAscii" w:hAnsiTheme="minorAscii"/>
      <w:sz w:val="32"/>
    </w:rPr>
  </w:style>
  <w:style w:type="paragraph" w:customStyle="1" w:styleId="7">
    <w:name w:val="Body text|2"/>
    <w:basedOn w:val="1"/>
    <w:qFormat/>
    <w:uiPriority w:val="0"/>
    <w:pPr>
      <w:spacing w:after="320" w:line="342" w:lineRule="exact"/>
      <w:jc w:val="center"/>
    </w:pPr>
    <w:rPr>
      <w:rFonts w:ascii="宋体" w:hAnsi="宋体" w:eastAsia="宋体" w:cs="宋体"/>
      <w:kern w:val="0"/>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2020-07-15T03:21:00Z</dcterms:created>
  <dc:creator>夏梦美</dc:creator>
  <cp:lastModifiedBy>夏梦美</cp:lastModifiedBy>
  <dcterms:modified xsi:type="dcterms:W3CDTF">2020-07-15T03:23:00Z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