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渝北区体育发展“十四五”规划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（征求意见稿）</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序言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十四五”是全面开启社会主义现代化建设新征程的第一个五年，是渝北区加速推进“四区”建设，奋力推动高质量发展、创造高品质生活的关键时期，也是渝北区体育事业实现全面跨越发展的战略机遇期。为了助推渝北区高质量发展，提高人民身体素质和健康水平，早日建成体育强区，根据区委、区政府的统一部署，结合“十四五”时期全区体育发展面临的新形势、新任务、新要求，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一、“十四五”时期渝北体育发展形势和指导思想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b/>
          <w:sz w:val="32"/>
          <w:szCs w:val="32"/>
        </w:rPr>
      </w:pPr>
      <w:r>
        <w:rPr>
          <w:rFonts w:hint="eastAsia" w:ascii="方正楷体_GBK" w:hAnsi="方正楷体_GBK" w:eastAsia="方正楷体_GBK" w:cs="方正楷体_GBK"/>
          <w:b w:val="0"/>
          <w:bCs/>
          <w:sz w:val="32"/>
          <w:szCs w:val="32"/>
        </w:rPr>
        <w:t>（一）“十三五”期间渝北体育发展取得显著成就</w:t>
      </w:r>
    </w:p>
    <w:p>
      <w:pPr>
        <w:keepNext w:val="0"/>
        <w:keepLines w:val="0"/>
        <w:pageBreakBefore w:val="0"/>
        <w:widowControl w:val="0"/>
        <w:kinsoku/>
        <w:wordWrap/>
        <w:overflowPunct/>
        <w:topLinePunct w:val="0"/>
        <w:autoSpaceDE/>
        <w:autoSpaceDN/>
        <w:bidi w:val="0"/>
        <w:adjustRightInd/>
        <w:snapToGrid/>
        <w:spacing w:line="640" w:lineRule="exact"/>
        <w:ind w:firstLine="641"/>
        <w:textAlignment w:val="auto"/>
        <w:rPr>
          <w:rFonts w:ascii="方正仿宋_GBK" w:eastAsia="方正仿宋_GBK" w:hAnsiTheme="minorEastAsia"/>
          <w:sz w:val="32"/>
          <w:szCs w:val="32"/>
          <w:highlight w:val="lightGray"/>
        </w:rPr>
      </w:pPr>
      <w:r>
        <w:rPr>
          <w:rFonts w:hint="eastAsia" w:ascii="方正仿宋_GBK" w:eastAsia="方正仿宋_GBK" w:hAnsiTheme="minorEastAsia"/>
          <w:b/>
          <w:sz w:val="32"/>
          <w:szCs w:val="32"/>
        </w:rPr>
        <w:t>1</w:t>
      </w:r>
      <w:r>
        <w:rPr>
          <w:rFonts w:hint="eastAsia" w:ascii="方正仿宋_GBK" w:eastAsia="方正仿宋_GBK" w:hAnsiTheme="minorEastAsia"/>
          <w:b/>
          <w:sz w:val="32"/>
          <w:szCs w:val="32"/>
          <w:lang w:eastAsia="zh-CN"/>
        </w:rPr>
        <w:t>、</w:t>
      </w:r>
      <w:r>
        <w:rPr>
          <w:rFonts w:hint="eastAsia" w:ascii="方正仿宋_GBK" w:eastAsia="方正仿宋_GBK" w:hAnsiTheme="minorEastAsia"/>
          <w:b/>
          <w:sz w:val="32"/>
          <w:szCs w:val="32"/>
        </w:rPr>
        <w:t>公共体育设施日趋完善。</w:t>
      </w:r>
      <w:r>
        <w:rPr>
          <w:rFonts w:hint="eastAsia" w:ascii="方正仿宋_GBK" w:eastAsia="方正仿宋_GBK" w:hAnsiTheme="minorEastAsia"/>
          <w:sz w:val="32"/>
          <w:szCs w:val="32"/>
        </w:rPr>
        <w:t>一是有序推进区、镇街、村居三级公共体育设施建设，15分钟健身圈基本形成。“十三五”期间，按照“城区主要向社区及小区集中，农村主要向人口密集、交通便利的村民聚集地集中”的原则，配套比较完备的城乡居民体育健身设施。截至2020年底，全区已建成投用区体育馆、区全民健身中心和3个体育主题公园、7个社区体育公园、7条登山步道、26条健身步道，32块足球场，龙兴专业足球场、渝北区羽毛球馆、石坪体育公园、多宝湖环湖赛跑道等项目建设正在有序推进；积极完善镇街、村居体育设施建设，建成19个镇街全民健身广场、176个农民体育健身工程，安装5919件健身路径，建成54个社区健身点，农体工程覆盖率达到97.23%。截至2020年底，全区公共体育场地面积达到429万平方米，每万人人均场地面积达到2.55平方米（含两江新区），两项指标均居全市第一。二是加强对体育设施的管理。对已建成的公共体育设施，每年预算专款有计划进行维修、更新、提档升级，确保场地处于良好状态并不断满足人民群众对于品质生活的需求。三是创新大型场馆运营管理模式。根据</w:t>
      </w:r>
      <w:r>
        <w:rPr>
          <w:rFonts w:hint="eastAsia" w:ascii="方正仿宋_GBK" w:eastAsia="方正仿宋_GBK" w:hAnsiTheme="minorEastAsia"/>
          <w:sz w:val="32"/>
          <w:szCs w:val="32"/>
          <w:lang w:val="en-US" w:eastAsia="zh-CN"/>
        </w:rPr>
        <w:t>党的</w:t>
      </w:r>
      <w:bookmarkStart w:id="0" w:name="_GoBack"/>
      <w:bookmarkEnd w:id="0"/>
      <w:r>
        <w:rPr>
          <w:rFonts w:hint="eastAsia" w:ascii="方正仿宋_GBK" w:eastAsia="方正仿宋_GBK" w:hAnsiTheme="minorEastAsia"/>
          <w:sz w:val="32"/>
          <w:szCs w:val="32"/>
        </w:rPr>
        <w:t>十九大精神和国家体育总局文件要求，结合区情实际，在广泛调研的基础上，经过层层研究，通过公开招投标，委托专业机构广州珠江体育文化发展股份有限公司对渝北全民健身中心和体育馆进行委托管理，在大幅提升场馆的使用率的同时，突出体育场馆公益属性，充分发挥大型场馆在全民健身中的作用，不断满足人民群众多层次多样化的运动需求，为人民群众的高品质生活赋能，增强了人民群众的幸福感、获得感。该项探索走在了重庆乃至西南地区前列。</w:t>
      </w:r>
    </w:p>
    <w:p>
      <w:pPr>
        <w:rPr>
          <w:rFonts w:ascii="方正仿宋_GBK" w:eastAsia="方正仿宋_GBK" w:hAnsiTheme="minorEastAsia"/>
          <w:sz w:val="32"/>
          <w:szCs w:val="32"/>
          <w:highlight w:val="lightGray"/>
        </w:rPr>
      </w:pPr>
      <w:r>
        <w:rPr>
          <w:rFonts w:hint="eastAsia" w:ascii="方正仿宋_GBK" w:eastAsia="方正仿宋_GBK" w:hAnsiTheme="minorEastAsia"/>
          <w:sz w:val="32"/>
          <w:szCs w:val="32"/>
          <w:highlight w:val="lightGray"/>
        </w:rPr>
        <w:drawing>
          <wp:inline distT="0" distB="0" distL="114300" distR="114300">
            <wp:extent cx="5273040" cy="4159250"/>
            <wp:effectExtent l="0" t="0" r="3810" b="12700"/>
            <wp:docPr id="3" name="图片 3" descr="6100b7cd74f68d2350c352e1c0fd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00b7cd74f68d2350c352e1c0fd369"/>
                    <pic:cNvPicPr>
                      <a:picLocks noChangeAspect="1"/>
                    </pic:cNvPicPr>
                  </pic:nvPicPr>
                  <pic:blipFill>
                    <a:blip r:embed="rId6"/>
                    <a:stretch>
                      <a:fillRect/>
                    </a:stretch>
                  </pic:blipFill>
                  <pic:spPr>
                    <a:xfrm>
                      <a:off x="0" y="0"/>
                      <a:ext cx="5273040" cy="4159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2、全民健身广泛开展，氛围日益浓厚。</w:t>
      </w:r>
      <w:r>
        <w:rPr>
          <w:rFonts w:hint="eastAsia" w:ascii="方正仿宋_GBK" w:eastAsia="方正仿宋_GBK" w:hAnsiTheme="minorEastAsia"/>
          <w:sz w:val="32"/>
          <w:szCs w:val="32"/>
        </w:rPr>
        <w:t>一是全区全民健身活动丰富多彩。全区定期举办全民健身月活动、全民健身日活动、区运动会、区残疾人运动会、区老年人体育运动会，每年举办迎春登山比赛、中央公园全民跑步季暨接力马拉松比赛、武术比赛、中年男子篮球赛、工（课）间操活动比赛等区级全民健身活动。各镇街结合自身实际，每年举办综合性运动会和小型多样的全民健身活动，打造全民健身“一镇（街）一品”活动品牌。各单项体育运动协会、各健身站点、各机关企事业单位也根据自身特点积极组织开展丰富多彩的全民健身活动。截至2020年底，全区经常参加体育锻炼人数比例达到</w:t>
      </w:r>
      <w:r>
        <w:rPr>
          <w:rFonts w:ascii="方正仿宋_GBK" w:eastAsia="方正仿宋_GBK" w:hAnsiTheme="minorEastAsia"/>
          <w:sz w:val="32"/>
          <w:szCs w:val="32"/>
        </w:rPr>
        <w:t>45</w:t>
      </w:r>
      <w:r>
        <w:rPr>
          <w:rFonts w:hint="eastAsia" w:ascii="方正仿宋_GBK" w:eastAsia="方正仿宋_GBK" w:hAnsiTheme="minorEastAsia"/>
          <w:sz w:val="32"/>
          <w:szCs w:val="32"/>
        </w:rPr>
        <w:t>%，国民体质监测合格率达到94.</w:t>
      </w:r>
      <w:r>
        <w:rPr>
          <w:rFonts w:ascii="方正仿宋_GBK" w:eastAsia="方正仿宋_GBK" w:hAnsiTheme="minorEastAsia"/>
          <w:sz w:val="32"/>
          <w:szCs w:val="32"/>
        </w:rPr>
        <w:t>1</w:t>
      </w:r>
      <w:r>
        <w:rPr>
          <w:rFonts w:hint="eastAsia" w:ascii="方正仿宋_GBK" w:eastAsia="方正仿宋_GBK" w:hAnsiTheme="minorEastAsia"/>
          <w:sz w:val="32"/>
          <w:szCs w:val="32"/>
        </w:rPr>
        <w:t>%。二是全民健身组织体系不断健全。全区共建立2</w:t>
      </w:r>
      <w:r>
        <w:rPr>
          <w:rFonts w:ascii="方正仿宋_GBK" w:eastAsia="方正仿宋_GBK" w:hAnsiTheme="minorEastAsia"/>
          <w:sz w:val="32"/>
          <w:szCs w:val="32"/>
        </w:rPr>
        <w:t>2</w:t>
      </w:r>
      <w:r>
        <w:rPr>
          <w:rFonts w:hint="eastAsia" w:ascii="方正仿宋_GBK" w:eastAsia="方正仿宋_GBK" w:hAnsiTheme="minorEastAsia"/>
          <w:sz w:val="32"/>
          <w:szCs w:val="32"/>
        </w:rPr>
        <w:t>个体育协会，拥有会员数达20余万人，部分协会在机关、镇街、企业设立分会，每年举办全民健身活动达到200余次，开展公益健康讲座、技能培训等20余次。截至2020年底，全区拥有健身俱乐部、健身团队200余个，拥有社会体育指导员2961人、好体育人志愿者824个，遍布城乡、规范有序、富有活力的社会化群众体育组织网络基本建立。</w:t>
      </w:r>
    </w:p>
    <w:p>
      <w:pPr>
        <w:rPr>
          <w:rFonts w:ascii="方正仿宋_GBK" w:eastAsia="方正仿宋_GBK" w:hAnsiTheme="minorEastAsia"/>
          <w:sz w:val="32"/>
          <w:szCs w:val="32"/>
        </w:rPr>
      </w:pPr>
      <w:r>
        <w:rPr>
          <w:rFonts w:hint="eastAsia" w:ascii="方正仿宋_GBK" w:eastAsia="方正仿宋_GBK" w:hAnsiTheme="minorEastAsia"/>
          <w:sz w:val="32"/>
          <w:szCs w:val="32"/>
        </w:rPr>
        <w:drawing>
          <wp:inline distT="0" distB="0" distL="114300" distR="114300">
            <wp:extent cx="5273040" cy="3724275"/>
            <wp:effectExtent l="0" t="0" r="3810" b="9525"/>
            <wp:docPr id="4" name="图片 4" descr="15c99764635acbe7bf6d9d698d1d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c99764635acbe7bf6d9d698d1d54b"/>
                    <pic:cNvPicPr>
                      <a:picLocks noChangeAspect="1"/>
                    </pic:cNvPicPr>
                  </pic:nvPicPr>
                  <pic:blipFill>
                    <a:blip r:embed="rId7"/>
                    <a:stretch>
                      <a:fillRect/>
                    </a:stretch>
                  </pic:blipFill>
                  <pic:spPr>
                    <a:xfrm>
                      <a:off x="0" y="0"/>
                      <a:ext cx="5273040" cy="3724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3、竞技体育成果丰硕。</w:t>
      </w:r>
      <w:r>
        <w:rPr>
          <w:rFonts w:hint="eastAsia" w:ascii="方正仿宋_GBK" w:eastAsia="方正仿宋_GBK" w:hAnsiTheme="minorEastAsia"/>
          <w:sz w:val="32"/>
          <w:szCs w:val="32"/>
        </w:rPr>
        <w:t>一是在全市率先制定出台了《渝北区体育比赛奖励办法》并在实践中认真贯彻执行。二是“十三五”期间组队参加国家和市级各项体育比赛，成绩斐然，在市四、五运会比赛中共获得了93枚金牌、83枚银牌和78枚铜牌。三是竞技人才培养体系愈发完善。全区在学校、俱乐部、体育产业企业建设体育后备人才基地18个，涵盖了武术（套路、散打）、羽毛球、足球、网球、田径、排球、射击（箭）、篮球、跆拳道9个大项，运动员任小轩成功入选国家乒乓球少年队。在学校建立体教结合青训基地16个，成功创建市级青少年武术后备人才基地，全区注册运动员达到800余人。四是采用市区共建、政企共建的方式，依托御峰马会共建市马术专业运动队，依托张亚雯团队共建市羽毛球专业队渝北队。马术队在北京盛装舞步巡回赛上取得圣乔治第一名，并代表重庆参加全国青运会和少数民族运动会，羽毛球队参加国家体育总局主办的全国U系列赛获得两个冠军。在市六运会上，渝北区代表队585名运动员，征战青少年组21个项目，成年组8个项目；历经90多天激战，荣获57枚金牌、60枚银牌和51枚铜牌，金牌数是上届的3倍，奖牌总数是上届的2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4、体育产业稳步发展。</w:t>
      </w:r>
      <w:r>
        <w:rPr>
          <w:rFonts w:hint="eastAsia" w:ascii="方正仿宋_GBK" w:eastAsia="方正仿宋_GBK" w:hAnsiTheme="minorEastAsia"/>
          <w:sz w:val="32"/>
          <w:szCs w:val="32"/>
        </w:rPr>
        <w:t>一是编制出台了《重庆市渝北区健身休闲产业专项规划（2019-2025年）》，为渝北的体育产业发展指明了方向。二是品牌赛事活动丰富。成功举办了“一带一路”中欧篮球冠军杯、WBC·WBO世界职业拳王争霸赛、亚洲及大洋洲室内跳伞(风洞)锦标赛、重庆市大众滑雪系列赛、重庆国际马术挑战赛等一系列大型体育赛事活动。三是产业体量不断扩大、市场化水平不断提高。“十三五”期间，全区共有体育及相关产业单位1617家、体育产业从业人员共计5712人。体育产业总产出(总规模)达</w:t>
      </w:r>
      <w:r>
        <w:rPr>
          <w:rFonts w:ascii="方正仿宋_GBK" w:eastAsia="方正仿宋_GBK" w:hAnsiTheme="minorEastAsia"/>
          <w:sz w:val="32"/>
          <w:szCs w:val="32"/>
        </w:rPr>
        <w:t>22.3</w:t>
      </w:r>
      <w:r>
        <w:rPr>
          <w:rFonts w:hint="eastAsia" w:ascii="方正仿宋_GBK" w:eastAsia="方正仿宋_GBK" w:hAnsiTheme="minorEastAsia"/>
          <w:sz w:val="32"/>
          <w:szCs w:val="32"/>
        </w:rPr>
        <w:t>亿元，体育对国民生产总值的贡献超过1%。期间，引进重庆鼎霸公司落户渝北，建设了重庆拳击赛事中心、培训中心，常态化开展拳击、格斗等培训和赛事活动。依托重庆际华园的风洞跳伞、极限冲浪、极限攀岩、VR运动等运动项目，打造出极具特色的体育小镇和极限运动品牌。四是大力促进体彩销售，全区体育彩票销售网点超过3</w:t>
      </w:r>
      <w:r>
        <w:rPr>
          <w:rFonts w:ascii="方正仿宋_GBK" w:eastAsia="方正仿宋_GBK" w:hAnsiTheme="minorEastAsia"/>
          <w:sz w:val="32"/>
          <w:szCs w:val="32"/>
        </w:rPr>
        <w:t>00</w:t>
      </w:r>
      <w:r>
        <w:rPr>
          <w:rFonts w:hint="eastAsia" w:ascii="方正仿宋_GBK" w:eastAsia="方正仿宋_GBK" w:hAnsiTheme="minorEastAsia"/>
          <w:sz w:val="32"/>
          <w:szCs w:val="32"/>
        </w:rPr>
        <w:t>个，位列全市第一，销售总额突破11亿元，筹集体彩公益金5000余万元。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5、武术之乡建设成果不断巩固。</w:t>
      </w:r>
      <w:r>
        <w:rPr>
          <w:rFonts w:hint="eastAsia" w:ascii="方正仿宋_GBK" w:eastAsia="方正仿宋_GBK" w:hAnsiTheme="minorEastAsia"/>
          <w:sz w:val="32"/>
          <w:szCs w:val="32"/>
        </w:rPr>
        <w:t>一是出台了《渝北区武术文化研究推广激励办法》；二是成立渝北武术研究院，依托该平台，常态化开展武术理论研究、文化推广和对外交流等相关活动，让渝北武术及其所承载的传统文化得以传承和发扬；三是参加了5届全国武术之乡武术套路比赛，获得60枚金牌、50枚银牌、28枚铜牌；四是持续开展武术“六进”活动，定期举办区级武术比赛、武术散打交流赛、巴渝武术操比赛等武术赛事活动，积极开展武术大课堂、武术沙龙等丰富多样的武术文化活动，营造渝北“武术之乡”的氛围，唱响渝北武术品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（二）“十四五”时期渝北体育发展面临的形势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b/>
          <w:sz w:val="32"/>
          <w:szCs w:val="32"/>
        </w:rPr>
      </w:pPr>
      <w:r>
        <w:rPr>
          <w:rFonts w:hint="eastAsia" w:ascii="方正仿宋_GBK" w:eastAsia="方正仿宋_GBK" w:hAnsiTheme="minorEastAsia"/>
          <w:b/>
          <w:sz w:val="32"/>
          <w:szCs w:val="32"/>
        </w:rPr>
        <w:t>1、发展机遇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从国内发展看，党的十八大以来，以习近平同志为核心的党中央高度重视体育工作，将全民健身上升为国家战略。党的十九届五中全会则提出到2035年建成体育强国，进一步明确了建设体育强国、健康中国的远景目标，擘画了“十四五”时期及更长远时期体育事业发展的宏伟蓝图。近日，习近平总书记在北京、河北考察，并主持召开北京2022年冬奥会和冬残奥会筹办工作汇报会，鲜明指出建设体育强国，是全面建设社会主义现代化国家的一个重要目标。此前，习近平在教育文化卫生体育领域专家代表座谈会上强调，“十四五”时期，要科学研判体育发展面临的新形势，坚持问题导向，聚焦重点领域和关键环节，深化改革创新，不断开创体育事业发展新局面，并就构建更高水平的全民健身公共服务体系、建立运动促进健康新模式、加强学校体育工作、特色“三大球”发展路径、推动体育产业高质量发展、创新体育事业发展、创新竞技体育人才培养等具体内容，提出了明确要求。与此同时，面对日趋严峻复杂的国际环境、新冠肺炎疫情防控、人口老龄化、新型城镇化等诸多新的社会形势，国民对于通过体育锻炼强身健体、通过体育精神提气塑魂的需求和期望也越来越强烈，这将有效倒逼国内体育产业的加速发展以及体育公共服务供给机制的深化改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从全市发展看，近年来，重庆高度重视体育强市建设，重庆市人民政府办公厅2</w:t>
      </w:r>
      <w:r>
        <w:rPr>
          <w:rFonts w:ascii="方正仿宋_GBK" w:eastAsia="方正仿宋_GBK" w:hAnsiTheme="minorEastAsia"/>
          <w:sz w:val="32"/>
          <w:szCs w:val="32"/>
        </w:rPr>
        <w:t>021</w:t>
      </w:r>
      <w:r>
        <w:rPr>
          <w:rFonts w:hint="eastAsia" w:ascii="方正仿宋_GBK" w:eastAsia="方正仿宋_GBK" w:hAnsiTheme="minorEastAsia"/>
          <w:sz w:val="32"/>
          <w:szCs w:val="32"/>
        </w:rPr>
        <w:t>年初出台《关于建设体育强市的实施意见》，近年还密集出台《全民健身公共服务体系提升行动计划（2018-2022年）》《打造全国户外运动首选目的地行动计划（2018-2022年）》《体育基础设施振兴行动计划（2018-2022年）》等一系列体育发展规划，旨在夯实体育事业发展基础，加快创建体育强市。在此基础上，2020年，我市出台《促进大健康产业高质量发展行动计划》，将重庆体育发展作为实施健康中国重庆行动中的重要支撑，为重庆体育发展指明了方向。此外，成渝地区双城经济圈的建设，将有效助推重庆体育构建对外开放、区域协同发展的新格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从自身发展看，体育事业和产业的发展，是渝北区推进“四区”建设，打造国际临空大都市、宜居宜游美丽地的重要支撑之一。按照国际惯用标准，当人均GDP达到</w:t>
      </w:r>
      <w:r>
        <w:rPr>
          <w:rFonts w:ascii="方正仿宋_GBK" w:eastAsia="方正仿宋_GBK" w:hAnsiTheme="minorEastAsia"/>
          <w:sz w:val="32"/>
          <w:szCs w:val="32"/>
        </w:rPr>
        <w:t>10000</w:t>
      </w:r>
      <w:r>
        <w:rPr>
          <w:rFonts w:hint="eastAsia" w:ascii="方正仿宋_GBK" w:eastAsia="方正仿宋_GBK" w:hAnsiTheme="minorEastAsia"/>
          <w:sz w:val="32"/>
          <w:szCs w:val="32"/>
        </w:rPr>
        <w:t>美元的时候，人们对体育消费的需求将呈现出“井喷式”增长，体育产业的发展将迎来黄金增长期。当前，渝北区人均GDP已突破1.</w:t>
      </w:r>
      <w:r>
        <w:rPr>
          <w:rFonts w:ascii="方正仿宋_GBK" w:eastAsia="方正仿宋_GBK" w:hAnsiTheme="minorEastAsia"/>
          <w:sz w:val="32"/>
          <w:szCs w:val="32"/>
        </w:rPr>
        <w:t>5</w:t>
      </w:r>
      <w:r>
        <w:rPr>
          <w:rFonts w:hint="eastAsia" w:ascii="方正仿宋_GBK" w:eastAsia="方正仿宋_GBK" w:hAnsiTheme="minorEastAsia"/>
          <w:sz w:val="32"/>
          <w:szCs w:val="32"/>
        </w:rPr>
        <w:t>万美元，老百姓对于多样性的体育形式、多元化的体育产品，也已经表现出了强烈需求，渝北打造“体育强区”势在必行，且具有必要性和紧迫性。在成渝地区双城经济圈建设背景下，渝北区已经和四川广安、德阳、广元、攀枝花、成都双流等地缔结协同发展关系，渝北体育也与广安体育签订了战略合作协议，这些也为渝北体育的对外开放发展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b/>
          <w:sz w:val="32"/>
          <w:szCs w:val="32"/>
        </w:rPr>
      </w:pPr>
      <w:r>
        <w:rPr>
          <w:rFonts w:hint="eastAsia" w:ascii="方正仿宋_GBK" w:eastAsia="方正仿宋_GBK" w:hAnsiTheme="minorEastAsia"/>
          <w:b/>
          <w:sz w:val="32"/>
          <w:szCs w:val="32"/>
        </w:rPr>
        <w:t>2、自身不足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对标市内外先进区、市、县，渝北的体育发展仍有较大差距。一是体育管理体制改革仍待进一步完善和创新，以释放更高的行政效能；二是公共体育设施投放量虽大，但品质不高，分布不平衡。部分已建成设施档次较低，先天不足，存在功能性缺陷，难以满足国际国内大型赛事活动的举办需求；三是全民健身需求很强烈，但是氛围不浓厚，全民健身组织和保障机制仍待完善和强化；四是竞技体育发展总体水平不高，优势项目量少；五是体育产业依旧呈现出小、散、弱的态势，缺乏龙头企业、品牌企业；六是品牌赛事的知名度、影响力不够，亟待积淀和提升；七是智慧体育发展水平尚有待提高，信息化智能化技术在场地管理、竞技训练、全民健身服务等方面的建设和应用有待加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（三）“十四五”时期渝北体育发展面临的指导思想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b/>
          <w:sz w:val="32"/>
          <w:szCs w:val="32"/>
        </w:rPr>
      </w:pPr>
      <w:r>
        <w:rPr>
          <w:rFonts w:hint="eastAsia" w:ascii="方正仿宋_GBK" w:eastAsia="方正仿宋_GBK" w:hAnsiTheme="minorEastAsia"/>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牢牢把握渝北区委、区政府关于持续打好“临空牌”、加快推进“四区”建设的重要战略部署，以满足人民美好生活需求为根本目的，以深化供给侧结构性改革为主线，充分发挥渝北临空都市、美丽山水的特质，加快渝北体育强区建设，推动渝北体育高质量发展，依托重庆国际山地户外越野公开赛、中欧篮球冠军杯等一系列品牌赛事，将渝北打造成为重庆最具代表性的户外运动首选目的地之一，成为重庆体育对外开放、区域联动发展的桥头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（四）“十四五”时期渝北体育发展需要把握的原则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1、坚持党的全面领导。</w:t>
      </w:r>
      <w:r>
        <w:rPr>
          <w:rFonts w:hint="eastAsia" w:ascii="方正仿宋_GBK" w:eastAsia="方正仿宋_GBK" w:hAnsiTheme="minorEastAsia"/>
          <w:sz w:val="32"/>
          <w:szCs w:val="32"/>
        </w:rPr>
        <w:t>旗帜鲜明讲政治，认真落实党中央、国务院、市委市政府、区委区政府发展体育工作的一系列指示精神，充分发挥党总揽全局、协调各方的领导作用，坚定不移全面从严治党，坚持新发展理念，构建新发展格局，为实现高质量发展提供根本保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2、坚持一体贯彻新发展理念。</w:t>
      </w:r>
      <w:r>
        <w:rPr>
          <w:rFonts w:hint="eastAsia" w:ascii="方正仿宋_GBK" w:eastAsia="方正仿宋_GBK" w:hAnsiTheme="minorEastAsia"/>
          <w:sz w:val="32"/>
          <w:szCs w:val="32"/>
        </w:rPr>
        <w:t>坚定不移把新发展理念贯穿于渝北体育发展的全过程，坚定地崇尚创新、注重协调、倡导绿色、厚植开放、推进共享，努力提高统筹贯彻新发展理念的能力和水平，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3、坚持全面深化改革。</w:t>
      </w:r>
      <w:r>
        <w:rPr>
          <w:rFonts w:hint="eastAsia" w:ascii="方正仿宋_GBK" w:eastAsia="方正仿宋_GBK" w:hAnsiTheme="minorEastAsia"/>
          <w:sz w:val="32"/>
          <w:szCs w:val="32"/>
        </w:rPr>
        <w:t>发挥好改革的突破和先导作用，坚持解放思想、实事求是、与时俱进，转变发展方式，结合实际大胆探索，全面发力、多点突破、纵深推进，破除制约体育发展的障碍，激发体育内在活力，推动渝北体育取得重大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4、坚持以人民为中心。</w:t>
      </w:r>
      <w:r>
        <w:rPr>
          <w:rFonts w:hint="eastAsia" w:ascii="方正仿宋_GBK" w:eastAsia="方正仿宋_GBK" w:hAnsiTheme="minorEastAsia"/>
          <w:sz w:val="32"/>
          <w:szCs w:val="32"/>
        </w:rPr>
        <w:t>自觉践行全心全意为人民服务的根本宗旨，把满足人民日益增长的多样化多层次的体育需求作为工作的出发点和落脚点，全面落实全民健身国家战略，推动渝北体育强区建设，不断满足人们对美好生活的向往，在共享共建中增加获得感和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二、“十四五”时期渝北体育发展目标</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以建成体育强区为总目标，全力实施“1+2+3+4+5”体育发展战略，促进渝北区群众体育、竞技体育、体育产业、体育文化等各领域协同发展，迈上新台阶。</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到2025年，夯实体育强区建设基础。建立与全面建成小康社会相适应的体育发展新机制，全民健身公共服务体系进一步完善，竞技体育完成增项和扩项，体育产业对经济发展的贡献度不断提升，人民群众身体素质和健康水平持续提高，运动健身成为一种时尚的生活方式。</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——“一个聚焦”，体育设施配套更齐。</w:t>
      </w:r>
      <w:r>
        <w:rPr>
          <w:rFonts w:hint="eastAsia" w:ascii="方正仿宋_GBK" w:eastAsia="方正仿宋_GBK" w:hAnsiTheme="minorEastAsia"/>
          <w:sz w:val="32"/>
          <w:szCs w:val="32"/>
        </w:rPr>
        <w:t>聚焦城乡体育设施设备的全面提档升级，提升服务效能。新增2-3座能够承接国际大型赛事活动的高品质运动场馆；新建一批能够服务大众的社区体育公园和健身步道；新建和更新一批农民体育健身工程，提升体育公共服务均等化水平。到2025年，构建区、镇街、村（居）三级较为完善的全民健身设施网络和城区10分钟健身圈、农村15分钟健身圈，实现人均体育场地面积达到2</w:t>
      </w:r>
      <w:r>
        <w:rPr>
          <w:rFonts w:ascii="方正仿宋_GBK" w:eastAsia="方正仿宋_GBK" w:hAnsiTheme="minorEastAsia"/>
          <w:sz w:val="32"/>
          <w:szCs w:val="32"/>
        </w:rPr>
        <w:t>.6</w:t>
      </w:r>
      <w:r>
        <w:rPr>
          <w:rFonts w:hint="eastAsia" w:ascii="方正仿宋_GBK" w:eastAsia="方正仿宋_GBK" w:hAnsiTheme="minorEastAsia"/>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——“两个结合”，全民健身氛围更浓。</w:t>
      </w:r>
      <w:r>
        <w:rPr>
          <w:rFonts w:hint="eastAsia" w:ascii="方正仿宋_GBK" w:eastAsia="方正仿宋_GBK" w:hAnsiTheme="minorEastAsia"/>
          <w:sz w:val="32"/>
          <w:szCs w:val="32"/>
        </w:rPr>
        <w:t>将开展全民健身活动与健全全民健身组织相结合。一是通过多种形式，广泛开展全民健身活动知识宣传和技能培训，引导人民群众参与全民健身，浓厚全民健身氛围；二是健全和培育全民健身社群组织，构建覆盖城乡、便捷高效、可持续发展的全民健身公共服务体系，以满足群众全民健身的需求。到2025年，单项体育协会达到2</w:t>
      </w:r>
      <w:r>
        <w:rPr>
          <w:rFonts w:ascii="方正仿宋_GBK" w:eastAsia="方正仿宋_GBK" w:hAnsiTheme="minorEastAsia"/>
          <w:sz w:val="32"/>
          <w:szCs w:val="32"/>
        </w:rPr>
        <w:t>8</w:t>
      </w:r>
      <w:r>
        <w:rPr>
          <w:rFonts w:hint="eastAsia" w:ascii="方正仿宋_GBK" w:eastAsia="方正仿宋_GBK" w:hAnsiTheme="minorEastAsia"/>
          <w:sz w:val="32"/>
          <w:szCs w:val="32"/>
        </w:rPr>
        <w:t>个，经常参加体育锻炼人数比例达到</w:t>
      </w:r>
      <w:r>
        <w:rPr>
          <w:rFonts w:ascii="方正仿宋_GBK" w:eastAsia="方正仿宋_GBK" w:hAnsiTheme="minorEastAsia"/>
          <w:sz w:val="32"/>
          <w:szCs w:val="32"/>
        </w:rPr>
        <w:t>47</w:t>
      </w:r>
      <w:r>
        <w:rPr>
          <w:rFonts w:hint="eastAsia" w:ascii="方正仿宋_GBK" w:eastAsia="方正仿宋_GBK" w:hAnsiTheme="minorEastAsia"/>
          <w:sz w:val="32"/>
          <w:szCs w:val="32"/>
        </w:rPr>
        <w:t>%，城乡居民达到《国民体质测定标准》比例超过</w:t>
      </w:r>
      <w:r>
        <w:rPr>
          <w:rFonts w:ascii="方正仿宋_GBK" w:eastAsia="方正仿宋_GBK" w:hAnsiTheme="minorEastAsia"/>
          <w:sz w:val="32"/>
          <w:szCs w:val="32"/>
        </w:rPr>
        <w:t>94.4</w:t>
      </w:r>
      <w:r>
        <w:rPr>
          <w:rFonts w:hint="eastAsia" w:ascii="方正仿宋_GBK" w:eastAsia="方正仿宋_GBK"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——“三个突破”，竞技体育实力更强。</w:t>
      </w:r>
      <w:r>
        <w:rPr>
          <w:rFonts w:hint="eastAsia" w:ascii="方正仿宋_GBK" w:eastAsia="方正仿宋_GBK" w:hAnsiTheme="minorEastAsia"/>
          <w:sz w:val="32"/>
          <w:szCs w:val="32"/>
        </w:rPr>
        <w:t>在竞技人才、优势项目、政策保障上取得突破，全项目参加市七运会。竞技人才方面，有计划建设一批特色体育学校，引进高水平教练员，优化训练体系，深入推进体教融合，加快青少年体育发展；优势项目方面，将足球、武术、篮球、羽毛球、排球、乒乓球、网球、击剑、射击（箭）、举重打造成全区“十大优势体育项目”；政策保障方面，在贯彻落实国家、市级相关政策基础上，结合渝北实际，有针对性的出台措施，在引进、培育竞技人才，市区合作，政企共建等方面取得新突破。</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——“四个作用”，体育产业品质更高。</w:t>
      </w:r>
      <w:r>
        <w:rPr>
          <w:rFonts w:hint="eastAsia" w:ascii="方正仿宋_GBK" w:eastAsia="方正仿宋_GBK" w:hAnsiTheme="minorEastAsia"/>
          <w:sz w:val="32"/>
          <w:szCs w:val="32"/>
        </w:rPr>
        <w:t>充分发挥规划引领、政策支撑、市场带动、环境驱动在推动渝北体育产业高质量发展中的作用。产业规划是产业发展的指南针，产业政策是产业发展的催化剂，市场主体是产业发展的主引擎，营商环境则是产业发展的加速器。通过产业扶持政策、改善营商环境等方式，引导更多的社会资本进入体育产业领域，培育体育规划创意、设施建设、场馆运营、竞赛服务、用品制造和销售、中介培训等产业领域的龙头企业。到2025年，力争体育产业总规模达到</w:t>
      </w:r>
      <w:r>
        <w:rPr>
          <w:rFonts w:ascii="方正仿宋_GBK" w:eastAsia="方正仿宋_GBK" w:hAnsiTheme="minorEastAsia"/>
          <w:sz w:val="32"/>
          <w:szCs w:val="32"/>
        </w:rPr>
        <w:t>4</w:t>
      </w:r>
      <w:r>
        <w:rPr>
          <w:rFonts w:hint="eastAsia" w:ascii="方正仿宋_GBK" w:eastAsia="方正仿宋_GBK" w:hAnsiTheme="minorEastAsia"/>
          <w:sz w:val="32"/>
          <w:szCs w:val="32"/>
        </w:rPr>
        <w:t>0亿元，体育产业在全区GDP中占比提升至</w:t>
      </w:r>
      <w:r>
        <w:rPr>
          <w:rFonts w:ascii="方正仿宋_GBK" w:eastAsia="方正仿宋_GBK" w:hAnsiTheme="minorEastAsia"/>
          <w:sz w:val="32"/>
          <w:szCs w:val="32"/>
        </w:rPr>
        <w:t>1.5</w:t>
      </w:r>
      <w:r>
        <w:rPr>
          <w:rFonts w:hint="eastAsia" w:ascii="方正仿宋_GBK" w:eastAsia="方正仿宋_GBK"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——“五个支撑”，体育文化影响更大。</w:t>
      </w:r>
      <w:r>
        <w:rPr>
          <w:rFonts w:hint="eastAsia" w:ascii="方正仿宋_GBK" w:eastAsia="方正仿宋_GBK" w:hAnsiTheme="minorEastAsia"/>
          <w:sz w:val="32"/>
          <w:szCs w:val="32"/>
        </w:rPr>
        <w:t>一是氛围支撑，切实扩大体育文化在渝北民众日常生活中的影响力，营造“体育强区”的社会氛围；二是品牌支撑，擦亮“武术之乡”体育文化招牌，创建“围棋之乡”体育文化名片，加强“体育+旅游”、“体育+地域文化”的融合发展；三是内容支撑，围绕体育文化，挖掘能够支撑这一文化内涵的内容素材；四是形式支撑，通过拍摄影视作品、制作书刊画册、制作城市雕塑等方式，创新体育文化表达方式，拓展受众；五是渠道支撑，建设自媒体矩阵，用好自媒体渠道，并与专业媒体开展合作，拓展体育文化传播渠道，弘扬体育精神。</w:t>
      </w:r>
    </w:p>
    <w:p>
      <w:pPr>
        <w:ind w:firstLine="650"/>
        <w:jc w:val="center"/>
        <w:rPr>
          <w:rFonts w:ascii="方正仿宋_GBK" w:eastAsia="方正仿宋_GBK" w:hAnsiTheme="minorEastAsia"/>
          <w:sz w:val="32"/>
          <w:szCs w:val="32"/>
        </w:rPr>
      </w:pPr>
      <w:r>
        <w:rPr>
          <w:rFonts w:hint="eastAsia" w:ascii="方正仿宋_GBK" w:eastAsia="方正仿宋_GBK" w:hAnsiTheme="minorEastAsia"/>
          <w:sz w:val="32"/>
          <w:szCs w:val="32"/>
        </w:rPr>
        <w:t>渝北区体育发展“十四五”指标体系</w:t>
      </w:r>
    </w:p>
    <w:tbl>
      <w:tblPr>
        <w:tblStyle w:val="6"/>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
        <w:gridCol w:w="2724"/>
        <w:gridCol w:w="1811"/>
        <w:gridCol w:w="226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Header/>
        </w:trPr>
        <w:tc>
          <w:tcPr>
            <w:tcW w:w="904" w:type="dxa"/>
            <w:vAlign w:val="center"/>
          </w:tcPr>
          <w:p>
            <w:pPr>
              <w:widowControl/>
              <w:spacing w:before="100" w:beforeAutospacing="1" w:after="300" w:line="240" w:lineRule="atLeast"/>
              <w:jc w:val="center"/>
              <w:rPr>
                <w:rFonts w:eastAsia="方正仿宋_GBK"/>
                <w:b/>
                <w:bCs/>
                <w:kern w:val="0"/>
                <w:sz w:val="28"/>
                <w:szCs w:val="28"/>
              </w:rPr>
            </w:pPr>
            <w:r>
              <w:rPr>
                <w:rFonts w:hint="eastAsia" w:eastAsia="方正仿宋_GBK"/>
                <w:b/>
                <w:bCs/>
                <w:kern w:val="0"/>
                <w:sz w:val="28"/>
                <w:szCs w:val="28"/>
              </w:rPr>
              <w:t>序号</w:t>
            </w:r>
          </w:p>
        </w:tc>
        <w:tc>
          <w:tcPr>
            <w:tcW w:w="2724" w:type="dxa"/>
            <w:vAlign w:val="center"/>
          </w:tcPr>
          <w:p>
            <w:pPr>
              <w:widowControl/>
              <w:spacing w:before="100" w:beforeAutospacing="1" w:after="300" w:line="240" w:lineRule="atLeast"/>
              <w:jc w:val="center"/>
              <w:rPr>
                <w:rFonts w:eastAsia="方正仿宋_GBK"/>
                <w:b/>
                <w:bCs/>
                <w:kern w:val="0"/>
                <w:sz w:val="28"/>
                <w:szCs w:val="28"/>
              </w:rPr>
            </w:pPr>
            <w:r>
              <w:rPr>
                <w:rFonts w:hint="eastAsia" w:eastAsia="方正仿宋_GBK"/>
                <w:b/>
                <w:bCs/>
                <w:kern w:val="0"/>
                <w:sz w:val="28"/>
                <w:szCs w:val="28"/>
              </w:rPr>
              <w:t>指</w:t>
            </w:r>
            <w:r>
              <w:rPr>
                <w:rFonts w:eastAsia="方正仿宋_GBK"/>
                <w:b/>
                <w:bCs/>
                <w:kern w:val="0"/>
                <w:sz w:val="28"/>
                <w:szCs w:val="28"/>
              </w:rPr>
              <w:t xml:space="preserve">  </w:t>
            </w:r>
            <w:r>
              <w:rPr>
                <w:rFonts w:hint="eastAsia" w:eastAsia="方正仿宋_GBK"/>
                <w:b/>
                <w:bCs/>
                <w:kern w:val="0"/>
                <w:sz w:val="28"/>
                <w:szCs w:val="28"/>
              </w:rPr>
              <w:t>标</w:t>
            </w:r>
          </w:p>
        </w:tc>
        <w:tc>
          <w:tcPr>
            <w:tcW w:w="1811" w:type="dxa"/>
            <w:vAlign w:val="center"/>
          </w:tcPr>
          <w:p>
            <w:pPr>
              <w:widowControl/>
              <w:spacing w:before="100" w:beforeAutospacing="1" w:after="300" w:line="240" w:lineRule="atLeast"/>
              <w:jc w:val="center"/>
              <w:rPr>
                <w:rFonts w:eastAsia="方正仿宋_GBK"/>
                <w:b/>
                <w:bCs/>
                <w:kern w:val="0"/>
                <w:sz w:val="28"/>
                <w:szCs w:val="28"/>
              </w:rPr>
            </w:pPr>
            <w:r>
              <w:rPr>
                <w:rFonts w:eastAsia="方正仿宋_GBK"/>
                <w:b/>
                <w:bCs/>
                <w:kern w:val="0"/>
                <w:sz w:val="28"/>
                <w:szCs w:val="28"/>
              </w:rPr>
              <w:t>2020</w:t>
            </w:r>
            <w:r>
              <w:rPr>
                <w:rFonts w:hint="eastAsia" w:eastAsia="方正仿宋_GBK"/>
                <w:b/>
                <w:bCs/>
                <w:kern w:val="0"/>
                <w:sz w:val="28"/>
                <w:szCs w:val="28"/>
              </w:rPr>
              <w:t>年</w:t>
            </w:r>
          </w:p>
        </w:tc>
        <w:tc>
          <w:tcPr>
            <w:tcW w:w="2264" w:type="dxa"/>
            <w:vAlign w:val="center"/>
          </w:tcPr>
          <w:p>
            <w:pPr>
              <w:widowControl/>
              <w:spacing w:before="100" w:beforeAutospacing="1" w:after="300" w:line="240" w:lineRule="atLeast"/>
              <w:jc w:val="center"/>
              <w:rPr>
                <w:rFonts w:eastAsia="方正仿宋_GBK"/>
                <w:b/>
                <w:bCs/>
                <w:kern w:val="0"/>
                <w:sz w:val="28"/>
                <w:szCs w:val="28"/>
              </w:rPr>
            </w:pPr>
            <w:r>
              <w:rPr>
                <w:rFonts w:eastAsia="方正仿宋_GBK"/>
                <w:b/>
                <w:bCs/>
                <w:kern w:val="0"/>
                <w:sz w:val="28"/>
                <w:szCs w:val="28"/>
              </w:rPr>
              <w:t>2025</w:t>
            </w:r>
            <w:r>
              <w:rPr>
                <w:rFonts w:hint="eastAsia" w:eastAsia="方正仿宋_GBK"/>
                <w:b/>
                <w:bCs/>
                <w:kern w:val="0"/>
                <w:sz w:val="28"/>
                <w:szCs w:val="28"/>
              </w:rPr>
              <w:t>年</w:t>
            </w:r>
          </w:p>
        </w:tc>
        <w:tc>
          <w:tcPr>
            <w:tcW w:w="1359" w:type="dxa"/>
            <w:vAlign w:val="center"/>
          </w:tcPr>
          <w:p>
            <w:pPr>
              <w:widowControl/>
              <w:spacing w:before="100" w:beforeAutospacing="1" w:after="300" w:line="240" w:lineRule="atLeast"/>
              <w:jc w:val="center"/>
              <w:rPr>
                <w:rFonts w:eastAsia="方正仿宋_GBK"/>
                <w:b/>
                <w:bCs/>
                <w:kern w:val="0"/>
                <w:sz w:val="28"/>
                <w:szCs w:val="28"/>
              </w:rPr>
            </w:pPr>
            <w:r>
              <w:rPr>
                <w:rFonts w:hint="eastAsia" w:eastAsia="方正仿宋_GBK"/>
                <w:b/>
                <w:bCs/>
                <w:kern w:val="0"/>
                <w:sz w:val="28"/>
                <w:szCs w:val="2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eastAsia="方正仿宋_GBK"/>
                <w:kern w:val="0"/>
                <w:sz w:val="28"/>
                <w:szCs w:val="28"/>
              </w:rPr>
              <w:t>1</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市民体质抽样合格率（</w:t>
            </w:r>
            <w:r>
              <w:rPr>
                <w:rFonts w:eastAsia="方正仿宋_GBK"/>
                <w:kern w:val="0"/>
                <w:sz w:val="28"/>
                <w:szCs w:val="28"/>
              </w:rPr>
              <w:t>%</w:t>
            </w:r>
            <w:r>
              <w:rPr>
                <w:rFonts w:hint="eastAsia" w:eastAsia="方正仿宋_GBK"/>
                <w:kern w:val="0"/>
                <w:sz w:val="28"/>
                <w:szCs w:val="28"/>
              </w:rPr>
              <w:t>）</w:t>
            </w:r>
          </w:p>
        </w:tc>
        <w:tc>
          <w:tcPr>
            <w:tcW w:w="1811" w:type="dxa"/>
            <w:vAlign w:val="center"/>
          </w:tcPr>
          <w:p>
            <w:pPr>
              <w:widowControl/>
              <w:spacing w:before="100" w:beforeAutospacing="1" w:after="300" w:line="240" w:lineRule="atLeast"/>
              <w:jc w:val="center"/>
              <w:rPr>
                <w:rFonts w:ascii="方正仿宋_GBK" w:eastAsia="方正仿宋_GBK"/>
                <w:kern w:val="0"/>
                <w:sz w:val="28"/>
                <w:szCs w:val="28"/>
              </w:rPr>
            </w:pPr>
            <w:r>
              <w:rPr>
                <w:rFonts w:hint="eastAsia" w:ascii="方正仿宋_GBK" w:eastAsia="方正仿宋_GBK"/>
                <w:kern w:val="0"/>
                <w:sz w:val="28"/>
                <w:szCs w:val="28"/>
              </w:rPr>
              <w:t>94.1%</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ascii="方正仿宋_GBK" w:hAnsi="宋体" w:eastAsia="方正仿宋_GBK" w:cs="宋体"/>
                <w:color w:val="0D0D0D"/>
                <w:kern w:val="0"/>
                <w:sz w:val="24"/>
                <w:szCs w:val="24"/>
              </w:rPr>
              <w:t>94.4</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eastAsia="方正仿宋_GBK"/>
                <w:kern w:val="0"/>
                <w:sz w:val="28"/>
                <w:szCs w:val="28"/>
              </w:rPr>
              <w:t>2</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经常性参加体育锻炼的人口比例（</w:t>
            </w:r>
            <w:r>
              <w:rPr>
                <w:rFonts w:eastAsia="方正仿宋_GBK"/>
                <w:kern w:val="0"/>
                <w:sz w:val="28"/>
                <w:szCs w:val="28"/>
              </w:rPr>
              <w:t>%</w:t>
            </w:r>
            <w:r>
              <w:rPr>
                <w:rFonts w:hint="eastAsia" w:eastAsia="方正仿宋_GBK"/>
                <w:kern w:val="0"/>
                <w:sz w:val="28"/>
                <w:szCs w:val="28"/>
              </w:rPr>
              <w:t>）</w:t>
            </w:r>
          </w:p>
        </w:tc>
        <w:tc>
          <w:tcPr>
            <w:tcW w:w="1811" w:type="dxa"/>
            <w:vAlign w:val="center"/>
          </w:tcPr>
          <w:p>
            <w:pPr>
              <w:widowControl/>
              <w:spacing w:before="100" w:beforeAutospacing="1" w:after="300" w:line="240" w:lineRule="atLeast"/>
              <w:jc w:val="center"/>
              <w:rPr>
                <w:rFonts w:ascii="方正仿宋_GBK" w:eastAsia="方正仿宋_GBK"/>
                <w:kern w:val="0"/>
                <w:sz w:val="28"/>
                <w:szCs w:val="28"/>
              </w:rPr>
            </w:pPr>
            <w:r>
              <w:rPr>
                <w:rFonts w:hint="eastAsia" w:ascii="方正仿宋_GBK" w:eastAsia="方正仿宋_GBK"/>
                <w:kern w:val="0"/>
                <w:sz w:val="28"/>
                <w:szCs w:val="28"/>
              </w:rPr>
              <w:t>45%</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ascii="方正仿宋_GBK" w:hAnsi="宋体" w:eastAsia="方正仿宋_GBK" w:cs="宋体"/>
                <w:color w:val="0D0D0D"/>
                <w:kern w:val="0"/>
                <w:sz w:val="24"/>
                <w:szCs w:val="24"/>
              </w:rPr>
              <w:t>47</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eastAsia="方正仿宋_GBK"/>
                <w:kern w:val="0"/>
                <w:sz w:val="28"/>
                <w:szCs w:val="28"/>
              </w:rPr>
              <w:t>3</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人均体育场地面积（平方米）</w:t>
            </w:r>
          </w:p>
        </w:tc>
        <w:tc>
          <w:tcPr>
            <w:tcW w:w="1811" w:type="dxa"/>
            <w:vAlign w:val="center"/>
          </w:tcPr>
          <w:p>
            <w:pPr>
              <w:widowControl/>
              <w:spacing w:before="100" w:beforeAutospacing="1" w:after="300" w:line="240" w:lineRule="atLeast"/>
              <w:jc w:val="center"/>
              <w:rPr>
                <w:rFonts w:ascii="方正仿宋_GBK" w:eastAsia="方正仿宋_GBK"/>
                <w:kern w:val="0"/>
                <w:sz w:val="28"/>
                <w:szCs w:val="28"/>
              </w:rPr>
            </w:pPr>
            <w:r>
              <w:rPr>
                <w:rFonts w:hint="eastAsia" w:ascii="方正仿宋_GBK" w:eastAsia="方正仿宋_GBK"/>
                <w:kern w:val="0"/>
                <w:sz w:val="28"/>
                <w:szCs w:val="28"/>
              </w:rPr>
              <w:t>2.55</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ascii="方正仿宋_GBK" w:hAnsi="宋体" w:eastAsia="方正仿宋_GBK" w:cs="宋体"/>
                <w:color w:val="0D0D0D"/>
                <w:kern w:val="0"/>
                <w:sz w:val="24"/>
                <w:szCs w:val="24"/>
              </w:rPr>
              <w:t>2.6</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4</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4"/>
                <w:szCs w:val="24"/>
              </w:rPr>
              <w:t>万</w:t>
            </w:r>
            <w:r>
              <w:rPr>
                <w:rFonts w:eastAsia="方正仿宋_GBK"/>
                <w:kern w:val="0"/>
                <w:sz w:val="24"/>
                <w:szCs w:val="24"/>
              </w:rPr>
              <w:t>人拥有社会体育指导员（人）</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24</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ascii="方正仿宋_GBK" w:hAnsi="宋体" w:eastAsia="方正仿宋_GBK" w:cs="宋体"/>
                <w:color w:val="0D0D0D"/>
                <w:kern w:val="0"/>
                <w:sz w:val="24"/>
                <w:szCs w:val="24"/>
              </w:rPr>
              <w:t>28</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eastAsia="方正仿宋_GBK"/>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5</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国内外重大赛事获得金牌数（枚）</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24</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35</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6</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年承办国内外重大竞技赛事（场次）</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2</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6</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7</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自创市级以上群体赛事活动品牌数</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2</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5</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8</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优秀运动队在训运动员规模（人）</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7</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25</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9</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体育后备人才规模（万人）</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300</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1300</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10</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区级体育后备人才重点单项训练基地（个）</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18</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20</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eastAsia="方正仿宋_GBK"/>
                <w:kern w:val="0"/>
                <w:sz w:val="28"/>
                <w:szCs w:val="28"/>
              </w:rPr>
              <w:t>1</w:t>
            </w:r>
            <w:r>
              <w:rPr>
                <w:rFonts w:hint="eastAsia" w:eastAsia="方正仿宋_GBK"/>
                <w:kern w:val="0"/>
                <w:sz w:val="28"/>
                <w:szCs w:val="28"/>
              </w:rPr>
              <w:t>1</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区级青少年体育基地（个）</w:t>
            </w:r>
          </w:p>
        </w:tc>
        <w:tc>
          <w:tcPr>
            <w:tcW w:w="1811"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4</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ascii="方正仿宋_GBK" w:hAnsi="宋体" w:eastAsia="方正仿宋_GBK" w:cs="宋体"/>
                <w:color w:val="0D0D0D"/>
                <w:kern w:val="0"/>
                <w:sz w:val="24"/>
                <w:szCs w:val="24"/>
              </w:rPr>
              <w:t>25</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4" w:type="dxa"/>
            <w:vAlign w:val="center"/>
          </w:tcPr>
          <w:p>
            <w:pPr>
              <w:widowControl/>
              <w:spacing w:before="100" w:beforeAutospacing="1" w:after="300" w:line="240" w:lineRule="atLeast"/>
              <w:jc w:val="center"/>
              <w:rPr>
                <w:rFonts w:eastAsia="方正仿宋_GBK"/>
                <w:kern w:val="0"/>
                <w:sz w:val="28"/>
                <w:szCs w:val="28"/>
              </w:rPr>
            </w:pPr>
            <w:r>
              <w:rPr>
                <w:rFonts w:eastAsia="方正仿宋_GBK"/>
                <w:kern w:val="0"/>
                <w:sz w:val="28"/>
                <w:szCs w:val="28"/>
              </w:rPr>
              <w:t>1</w:t>
            </w:r>
            <w:r>
              <w:rPr>
                <w:rFonts w:hint="eastAsia" w:eastAsia="方正仿宋_GBK"/>
                <w:kern w:val="0"/>
                <w:sz w:val="28"/>
                <w:szCs w:val="28"/>
              </w:rPr>
              <w:t>2</w:t>
            </w:r>
          </w:p>
        </w:tc>
        <w:tc>
          <w:tcPr>
            <w:tcW w:w="2724"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体育产业总规模（亿元）</w:t>
            </w:r>
          </w:p>
        </w:tc>
        <w:tc>
          <w:tcPr>
            <w:tcW w:w="1811" w:type="dxa"/>
            <w:vAlign w:val="center"/>
          </w:tcPr>
          <w:p>
            <w:pPr>
              <w:widowControl/>
              <w:spacing w:before="100" w:beforeAutospacing="1" w:after="300" w:line="240" w:lineRule="atLeast"/>
              <w:jc w:val="center"/>
              <w:rPr>
                <w:rFonts w:ascii="方正仿宋_GBK" w:eastAsia="方正仿宋_GBK"/>
                <w:kern w:val="0"/>
                <w:sz w:val="28"/>
                <w:szCs w:val="28"/>
                <w:highlight w:val="yellow"/>
              </w:rPr>
            </w:pPr>
            <w:r>
              <w:rPr>
                <w:rFonts w:hint="eastAsia" w:ascii="方正仿宋_GBK" w:eastAsia="方正仿宋_GBK"/>
                <w:kern w:val="0"/>
                <w:sz w:val="28"/>
                <w:szCs w:val="28"/>
              </w:rPr>
              <w:t>22.3</w:t>
            </w:r>
          </w:p>
        </w:tc>
        <w:tc>
          <w:tcPr>
            <w:tcW w:w="2264" w:type="dxa"/>
            <w:vAlign w:val="center"/>
          </w:tcPr>
          <w:p>
            <w:pPr>
              <w:widowControl/>
              <w:spacing w:before="100" w:beforeAutospacing="1" w:after="300" w:line="240" w:lineRule="atLeast"/>
              <w:jc w:val="center"/>
              <w:rPr>
                <w:rFonts w:eastAsia="方正仿宋_GBK"/>
                <w:kern w:val="0"/>
                <w:sz w:val="28"/>
                <w:szCs w:val="28"/>
              </w:rPr>
            </w:pPr>
            <w:r>
              <w:rPr>
                <w:rFonts w:hint="eastAsia" w:ascii="方正仿宋_GBK" w:hAnsi="宋体" w:eastAsia="方正仿宋_GBK" w:cs="宋体"/>
                <w:color w:val="0D0D0D"/>
                <w:kern w:val="0"/>
                <w:sz w:val="24"/>
                <w:szCs w:val="24"/>
              </w:rPr>
              <w:t>40</w:t>
            </w:r>
          </w:p>
        </w:tc>
        <w:tc>
          <w:tcPr>
            <w:tcW w:w="1359" w:type="dxa"/>
            <w:vAlign w:val="center"/>
          </w:tcPr>
          <w:p>
            <w:pPr>
              <w:widowControl/>
              <w:spacing w:before="100" w:beforeAutospacing="1" w:after="300" w:line="240" w:lineRule="atLeast"/>
              <w:jc w:val="center"/>
              <w:rPr>
                <w:rFonts w:eastAsia="方正仿宋_GBK"/>
                <w:kern w:val="0"/>
                <w:sz w:val="28"/>
                <w:szCs w:val="28"/>
              </w:rPr>
            </w:pPr>
            <w:r>
              <w:rPr>
                <w:rFonts w:hint="eastAsia" w:eastAsia="方正仿宋_GBK"/>
                <w:kern w:val="0"/>
                <w:sz w:val="28"/>
                <w:szCs w:val="28"/>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三、二O三五年渝北体育发展的远景目标</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b/>
          <w:sz w:val="32"/>
          <w:szCs w:val="32"/>
        </w:rPr>
      </w:pPr>
      <w:r>
        <w:rPr>
          <w:rFonts w:hint="eastAsia" w:ascii="方正仿宋_GBK" w:eastAsia="方正仿宋_GBK" w:hAnsiTheme="minorEastAsia"/>
          <w:sz w:val="32"/>
          <w:szCs w:val="32"/>
        </w:rPr>
        <w:t>2035年，基本建成体育强区。形成政府主导有力、社会广泛参与、市场充满活力的开放融合的体育发展新格局，体育综合实力位居全市前列，运动健身成为一种大众生活习惯。全民健身公共服务体系进一步完善，人民群众身体素养和健康水平持续提高；竞技体育综合实力明显增强，实现竞技人才、优势项目、环境保障 “三个突破”，积极申办市综合性运动会；青少年体育服务体系更加完善，身体素养明显提升，健康状况显著改善；体育产业布局合理、体系完善，体育产业效益显著提升，体育产业和体育消费总规模全市领先；体育改革创新取得新成果，公共服务更加均衡充分；体育文化与精神传承发扬，在促进人的全面发展和社会主义精神文明建设方面作用更加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 xml:space="preserve">四、“十四五”时期渝北体育发展的主要任务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（一）补齐体育设施短板。</w:t>
      </w:r>
      <w:r>
        <w:rPr>
          <w:rFonts w:hint="eastAsia" w:ascii="方正仿宋_GBK" w:eastAsia="方正仿宋_GBK" w:hAnsiTheme="minorEastAsia"/>
          <w:sz w:val="32"/>
          <w:szCs w:val="32"/>
        </w:rPr>
        <w:t>一是高标准规划、建设渝北区体育场；二是按照重庆重点体校标准建设渝北区体校，引进高水平的教练，全面提升渝北竞技体育水平；三是在华蓥山、玉峰山、明月山规划建设山地户外运动公园；四是新建的公园融入体育元素，满足周边居民的健身需求，已建公园进行适当功能性改造，使之成为运动公园；五是整合资源，建设健身步道200公里并实现互联互通，促进乡村振兴和乡村旅游的发展；六是联合两江新区，推进龙兴足场建设、运营和管理；七是引入市场主体，建设渝北区网球中心、汽车越野赛车场、航空滑翔基地、水上运动基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bCs/>
          <w:sz w:val="32"/>
          <w:szCs w:val="32"/>
        </w:rPr>
        <w:t>（二）构建全民健身长效机制。</w:t>
      </w:r>
      <w:r>
        <w:rPr>
          <w:rFonts w:hint="eastAsia" w:ascii="方正仿宋_GBK" w:eastAsia="方正仿宋_GBK" w:hAnsiTheme="minorEastAsia"/>
          <w:sz w:val="32"/>
          <w:szCs w:val="32"/>
        </w:rPr>
        <w:t>一是优化全民健身组织体系，鼓励组建协会、志愿服务组织、社群团体等基层群众体育组织，通过培训、扶持、指导等方式，提升组织水平；二是完善社会体育指导员、志愿者服务机制，以政府购买服务、引导市场资本和资源进入等方式，完善指导员、志愿者群体的培训和激励机制；三是坚持每两年举办区级运动会，打造区级镇街级全民健身品牌活动，引导和鼓励镇街、村居以及其他社会各界广泛开展全民健身活动。四是充分发挥全民健身联席会议制度的作用，利用这一平台推进全民健身的顺利开展和提档升级。</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（三）提升竞技体育综合实力。</w:t>
      </w:r>
      <w:r>
        <w:rPr>
          <w:rFonts w:hint="eastAsia" w:ascii="方正仿宋_GBK" w:eastAsia="方正仿宋_GBK" w:hAnsiTheme="minorEastAsia"/>
          <w:sz w:val="32"/>
          <w:szCs w:val="32"/>
        </w:rPr>
        <w:t>一是引进高水平教练队伍，选拔优秀体育后备人才，把渝北区体校办成重庆市重点体校，成为竞技体育的龙头；二是建立健全青少年体育训练体系，提高学校体育课程质量，做好竞技体育后备人才培养体系建设（育苗计划），合理布局一批体育精品项目训练基地，在体校办训的基础上，积极探索体教结合办训、社会力量办训等模式；三是积极备战重庆市第七届运动会、全运会等竞技赛事活动；四是优化竞技人才发展环境，采取队校共建、远程教育等方式，确保运动员文化学习时间，解决好专业训练与文化学习之间的矛盾问题；五是力争将足球、武术、篮球、羽毛球、排球、乒乓球、网球、击剑、射击（箭）、举重等10大项目，打造成渝北区优势体育项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（四）加快青少年体育发展。</w:t>
      </w:r>
      <w:r>
        <w:rPr>
          <w:rFonts w:hint="eastAsia" w:ascii="方正仿宋_GBK" w:eastAsia="方正仿宋_GBK" w:hAnsiTheme="minorEastAsia"/>
          <w:sz w:val="32"/>
          <w:szCs w:val="32"/>
        </w:rPr>
        <w:t>一是深化体教融合，更新体育教育理念，完善体育课程设置，完善学校体育工作绩效评估体系，努力提升青少年体育素养，支持大中小学校成立青少年体育校队、俱乐部，增强青少年体育参与意识，培养终身运动的意识和习惯，到2025年，基本实现区内青少年每天锻炼一小时、每人熟练掌握1项运动技能目标；二是完善青少年体育场地，进一步增强渝北区青少年活动中心的体育功能，新增1个青少年户外体育活动营地，积极推动区内学校体育场地设施、公共体育场地设施免费或低收费向青少年开放；三是打造青少年体育赛事品牌，联合区教委全面实施青少年体育活动促进计划，持续开展川渝青少年体育交流活动、重庆市青少年棋类锦标赛等一系列具有品牌影响力的青少年赛事活动，并以此为抓手，大力宣传体育运动文化，在青少年中大力弘扬奥林匹克精神和中华体育精神</w:t>
      </w:r>
      <w:r>
        <w:rPr>
          <w:rFonts w:ascii="方正仿宋_GBK" w:eastAsia="方正仿宋_GBK" w:hAnsiTheme="minorEastAsia"/>
          <w:sz w:val="32"/>
          <w:szCs w:val="32"/>
        </w:rPr>
        <w:t>；</w:t>
      </w:r>
      <w:r>
        <w:rPr>
          <w:rFonts w:hint="eastAsia" w:ascii="方正仿宋_GBK" w:eastAsia="方正仿宋_GBK" w:hAnsiTheme="minorEastAsia"/>
          <w:sz w:val="32"/>
          <w:szCs w:val="32"/>
        </w:rPr>
        <w:t>四是完善青少年体育组织体系，构建以学校为主体，以青少年活动中心、青少年体育俱乐部、运动项目协会、健身中心、青少年户外体育活动营地、体育类研学基地等非营利性社会组织为支撑，以其他社会力量参与为补充的青少年体育组织体系，常态性开展体育相关交流和培训，提升青少年体育专业服务供给能力。</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（五）引进和培育品牌赛事活动。一是</w:t>
      </w:r>
      <w:r>
        <w:rPr>
          <w:rFonts w:hint="eastAsia" w:ascii="方正仿宋_GBK" w:eastAsia="方正仿宋_GBK" w:hAnsiTheme="minorEastAsia"/>
          <w:sz w:val="32"/>
          <w:szCs w:val="32"/>
        </w:rPr>
        <w:t>依托区体育场和龙兴专业足球场，采用民办公助等方式，引进中超甲B、甲A球队入驻；</w:t>
      </w:r>
      <w:r>
        <w:rPr>
          <w:rFonts w:hint="eastAsia" w:ascii="方正仿宋_GBK" w:eastAsia="方正仿宋_GBK" w:hAnsiTheme="minorEastAsia"/>
          <w:b/>
          <w:sz w:val="32"/>
          <w:szCs w:val="32"/>
        </w:rPr>
        <w:t>二是</w:t>
      </w:r>
      <w:r>
        <w:rPr>
          <w:rFonts w:hint="eastAsia" w:ascii="方正仿宋_GBK" w:eastAsia="方正仿宋_GBK" w:hAnsiTheme="minorEastAsia"/>
          <w:sz w:val="32"/>
          <w:szCs w:val="32"/>
        </w:rPr>
        <w:t>依托瀚动篮球赛事综合体项目，以企业为主体，通过市场化运营的方式，举办中欧篮球冠军杯等高水平国际国内篮球赛事，引入CBA球队入驻；</w:t>
      </w:r>
      <w:r>
        <w:rPr>
          <w:rFonts w:hint="eastAsia" w:ascii="方正仿宋_GBK" w:eastAsia="方正仿宋_GBK" w:hAnsiTheme="minorEastAsia"/>
          <w:b/>
          <w:sz w:val="32"/>
          <w:szCs w:val="32"/>
        </w:rPr>
        <w:t>三是</w:t>
      </w:r>
      <w:r>
        <w:rPr>
          <w:rFonts w:hint="eastAsia" w:ascii="方正仿宋_GBK" w:eastAsia="方正仿宋_GBK" w:hAnsiTheme="minorEastAsia"/>
          <w:sz w:val="32"/>
          <w:szCs w:val="32"/>
        </w:rPr>
        <w:t>依托羽毛球训练基地，举办国家级、国际级高水平羽毛球赛事；</w:t>
      </w:r>
      <w:r>
        <w:rPr>
          <w:rFonts w:hint="eastAsia" w:ascii="方正仿宋_GBK" w:eastAsia="方正仿宋_GBK" w:hAnsiTheme="minorEastAsia"/>
          <w:b/>
          <w:sz w:val="32"/>
          <w:szCs w:val="32"/>
        </w:rPr>
        <w:t>四是</w:t>
      </w:r>
      <w:r>
        <w:rPr>
          <w:rFonts w:hint="eastAsia" w:ascii="方正仿宋_GBK" w:eastAsia="方正仿宋_GBK" w:hAnsiTheme="minorEastAsia"/>
          <w:sz w:val="32"/>
          <w:szCs w:val="32"/>
        </w:rPr>
        <w:t>依托宝胜湖健身跑道，举办环湖马拉松赛事；</w:t>
      </w:r>
      <w:r>
        <w:rPr>
          <w:rFonts w:hint="eastAsia" w:ascii="方正仿宋_GBK" w:eastAsia="方正仿宋_GBK" w:hAnsiTheme="minorEastAsia"/>
          <w:b/>
          <w:sz w:val="32"/>
          <w:szCs w:val="32"/>
        </w:rPr>
        <w:t>五是</w:t>
      </w:r>
      <w:r>
        <w:rPr>
          <w:rFonts w:hint="eastAsia" w:ascii="方正仿宋_GBK" w:eastAsia="方正仿宋_GBK" w:hAnsiTheme="minorEastAsia"/>
          <w:sz w:val="32"/>
          <w:szCs w:val="32"/>
        </w:rPr>
        <w:t>依托兴隆花海钓鱼运动基地，举办国家级高水平钓鱼比赛；</w:t>
      </w:r>
      <w:r>
        <w:rPr>
          <w:rFonts w:hint="eastAsia" w:ascii="方正仿宋_GBK" w:eastAsia="方正仿宋_GBK" w:hAnsiTheme="minorEastAsia"/>
          <w:b/>
          <w:sz w:val="32"/>
          <w:szCs w:val="32"/>
        </w:rPr>
        <w:t>六是</w:t>
      </w:r>
      <w:r>
        <w:rPr>
          <w:rFonts w:hint="eastAsia" w:ascii="方正仿宋_GBK" w:eastAsia="方正仿宋_GBK" w:hAnsiTheme="minorEastAsia"/>
          <w:sz w:val="32"/>
          <w:szCs w:val="32"/>
        </w:rPr>
        <w:t>依托重庆国际拳击中心，承办世界拳王争霸赛、全国大学生拳击锦标赛等赛事；</w:t>
      </w:r>
      <w:r>
        <w:rPr>
          <w:rFonts w:hint="eastAsia" w:ascii="方正仿宋_GBK" w:eastAsia="方正仿宋_GBK" w:hAnsiTheme="minorEastAsia"/>
          <w:b/>
          <w:sz w:val="32"/>
          <w:szCs w:val="32"/>
        </w:rPr>
        <w:t>七是</w:t>
      </w:r>
      <w:r>
        <w:rPr>
          <w:rFonts w:hint="eastAsia" w:ascii="方正仿宋_GBK" w:eastAsia="方正仿宋_GBK" w:hAnsiTheme="minorEastAsia"/>
          <w:sz w:val="32"/>
          <w:szCs w:val="32"/>
        </w:rPr>
        <w:t>承办2022年世界举重锦标赛；</w:t>
      </w:r>
      <w:r>
        <w:rPr>
          <w:rFonts w:hint="eastAsia" w:ascii="方正仿宋_GBK" w:eastAsia="方正仿宋_GBK" w:hAnsiTheme="minorEastAsia"/>
          <w:b/>
          <w:sz w:val="32"/>
          <w:szCs w:val="32"/>
        </w:rPr>
        <w:t>八是</w:t>
      </w:r>
      <w:r>
        <w:rPr>
          <w:rFonts w:hint="eastAsia" w:ascii="方正仿宋_GBK" w:eastAsia="方正仿宋_GBK" w:hAnsiTheme="minorEastAsia"/>
          <w:sz w:val="32"/>
          <w:szCs w:val="32"/>
        </w:rPr>
        <w:t>承办中俄、中韩青少年体育交流比赛；</w:t>
      </w:r>
      <w:r>
        <w:rPr>
          <w:rFonts w:hint="eastAsia" w:ascii="方正仿宋_GBK" w:eastAsia="方正仿宋_GBK" w:hAnsiTheme="minorEastAsia"/>
          <w:b/>
          <w:sz w:val="32"/>
          <w:szCs w:val="32"/>
        </w:rPr>
        <w:t>九是</w:t>
      </w:r>
      <w:r>
        <w:rPr>
          <w:rFonts w:hint="eastAsia" w:ascii="方正仿宋_GBK" w:eastAsia="方正仿宋_GBK" w:hAnsiTheme="minorEastAsia"/>
          <w:sz w:val="32"/>
          <w:szCs w:val="32"/>
        </w:rPr>
        <w:t>以重庆打造全国户外运动首选目的地为契机，利用渝北区多山和交通便利的优势，举办重庆国际山地户外越野公开赛；</w:t>
      </w:r>
      <w:r>
        <w:rPr>
          <w:rFonts w:hint="eastAsia" w:ascii="方正仿宋_GBK" w:eastAsia="方正仿宋_GBK" w:hAnsiTheme="minorEastAsia"/>
          <w:b/>
          <w:sz w:val="32"/>
          <w:szCs w:val="32"/>
        </w:rPr>
        <w:t>十是</w:t>
      </w:r>
      <w:r>
        <w:rPr>
          <w:rFonts w:hint="eastAsia" w:ascii="方正仿宋_GBK" w:eastAsia="方正仿宋_GBK" w:hAnsiTheme="minorEastAsia"/>
          <w:sz w:val="32"/>
          <w:szCs w:val="32"/>
        </w:rPr>
        <w:t>持续举办区级足球、篮球、乒乓球联赛，扩大比赛规模，提升比赛水平，增加赛事品牌影响力，并逐步扩大联赛项目。</w:t>
      </w:r>
    </w:p>
    <w:p>
      <w:pPr>
        <w:jc w:val="center"/>
        <w:rPr>
          <w:rFonts w:ascii="方正仿宋_GBK" w:eastAsia="方正仿宋_GBK" w:hAnsiTheme="minorEastAsia"/>
          <w:b/>
          <w:sz w:val="32"/>
          <w:szCs w:val="32"/>
        </w:rPr>
      </w:pPr>
      <w:r>
        <w:rPr>
          <w:rFonts w:ascii="方正仿宋_GBK" w:eastAsia="方正仿宋_GBK" w:hAnsiTheme="minorEastAsia"/>
          <w:b/>
          <w:sz w:val="32"/>
          <w:szCs w:val="32"/>
        </w:rPr>
        <w:t>“十四五”</w:t>
      </w:r>
      <w:r>
        <w:rPr>
          <w:rFonts w:hint="eastAsia" w:ascii="方正仿宋_GBK" w:eastAsia="方正仿宋_GBK" w:hAnsiTheme="minorEastAsia"/>
          <w:b/>
          <w:sz w:val="32"/>
          <w:szCs w:val="32"/>
        </w:rPr>
        <w:t>时期渝北拟将开展的品牌赛事名录</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650"/>
        <w:gridCol w:w="354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tcPr>
          <w:p>
            <w:pPr>
              <w:rPr>
                <w:rFonts w:ascii="方正仿宋_GBK" w:eastAsia="方正仿宋_GBK" w:hAnsiTheme="minorEastAsia"/>
                <w:kern w:val="0"/>
                <w:sz w:val="32"/>
                <w:szCs w:val="32"/>
              </w:rPr>
            </w:pPr>
            <w:r>
              <w:rPr>
                <w:rFonts w:ascii="方正仿宋_GBK" w:eastAsia="方正仿宋_GBK" w:hAnsiTheme="minorEastAsia"/>
                <w:kern w:val="0"/>
                <w:sz w:val="32"/>
                <w:szCs w:val="32"/>
              </w:rPr>
              <w:t>序号</w:t>
            </w:r>
          </w:p>
        </w:tc>
        <w:tc>
          <w:tcPr>
            <w:tcW w:w="2650" w:type="dxa"/>
          </w:tcPr>
          <w:p>
            <w:pPr>
              <w:rPr>
                <w:rFonts w:ascii="方正仿宋_GBK" w:eastAsia="方正仿宋_GBK" w:hAnsiTheme="minorEastAsia"/>
                <w:kern w:val="0"/>
                <w:sz w:val="32"/>
                <w:szCs w:val="32"/>
              </w:rPr>
            </w:pPr>
            <w:r>
              <w:rPr>
                <w:rFonts w:ascii="方正仿宋_GBK" w:eastAsia="方正仿宋_GBK" w:hAnsiTheme="minorEastAsia"/>
                <w:kern w:val="0"/>
                <w:sz w:val="32"/>
                <w:szCs w:val="32"/>
              </w:rPr>
              <w:t>体育赛事</w:t>
            </w:r>
            <w:r>
              <w:rPr>
                <w:rFonts w:hint="eastAsia" w:ascii="方正仿宋_GBK" w:eastAsia="方正仿宋_GBK" w:hAnsiTheme="minorEastAsia"/>
                <w:kern w:val="0"/>
                <w:sz w:val="32"/>
                <w:szCs w:val="32"/>
              </w:rPr>
              <w:t>（项目）</w:t>
            </w:r>
          </w:p>
        </w:tc>
        <w:tc>
          <w:tcPr>
            <w:tcW w:w="3544" w:type="dxa"/>
          </w:tcPr>
          <w:p>
            <w:pPr>
              <w:jc w:val="center"/>
              <w:rPr>
                <w:rFonts w:ascii="方正仿宋_GBK" w:eastAsia="方正仿宋_GBK" w:hAnsiTheme="minorEastAsia"/>
                <w:kern w:val="0"/>
                <w:sz w:val="32"/>
                <w:szCs w:val="32"/>
              </w:rPr>
            </w:pPr>
            <w:r>
              <w:rPr>
                <w:rFonts w:ascii="方正仿宋_GBK" w:eastAsia="方正仿宋_GBK" w:hAnsiTheme="minorEastAsia"/>
                <w:kern w:val="0"/>
                <w:sz w:val="32"/>
                <w:szCs w:val="32"/>
              </w:rPr>
              <w:t>资源支撑</w:t>
            </w:r>
          </w:p>
        </w:tc>
        <w:tc>
          <w:tcPr>
            <w:tcW w:w="1559" w:type="dxa"/>
          </w:tcPr>
          <w:p>
            <w:pPr>
              <w:rPr>
                <w:rFonts w:ascii="方正仿宋_GBK" w:eastAsia="方正仿宋_GBK" w:hAnsiTheme="minorEastAsia"/>
                <w:kern w:val="0"/>
                <w:sz w:val="32"/>
                <w:szCs w:val="32"/>
              </w:rPr>
            </w:pPr>
            <w:r>
              <w:rPr>
                <w:rFonts w:ascii="方正仿宋_GBK" w:eastAsia="方正仿宋_GBK" w:hAnsiTheme="minorEastAsia"/>
                <w:kern w:val="0"/>
                <w:sz w:val="32"/>
                <w:szCs w:val="32"/>
              </w:rPr>
              <w:t>赛事级别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1</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中超甲A、甲B相关赛事</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区体育场、龙兴专业足球场</w:t>
            </w:r>
            <w:r>
              <w:rPr>
                <w:rFonts w:ascii="方正仿宋_GBK" w:eastAsia="方正仿宋_GBK" w:hAnsiTheme="minorEastAsia"/>
                <w:kern w:val="0"/>
                <w:sz w:val="32"/>
                <w:szCs w:val="32"/>
              </w:rPr>
              <w:t xml:space="preserve"> </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2</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中欧篮球冠军杯</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 xml:space="preserve">瀚动篮球赛事综合体项目 </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国际级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3</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高水平羽毛球赛事</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 xml:space="preserve">张亚雯羽毛球训练基地 </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国家级、国际级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4</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环湖马拉松赛事</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 xml:space="preserve">宝胜湖马拉松跑道 </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5</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高水平钓鱼比赛</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 xml:space="preserve">兴隆花海钓鱼运动基地 </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6</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世界拳王争霸赛</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 xml:space="preserve">重庆国际拳击中心 </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国际级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7</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全国大学生拳击锦标赛</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重庆国际拳击中心</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8</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2022年世界举重锦标赛</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区体育馆</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国际级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9</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中俄、中韩青少年体育交流比赛</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区体育馆、</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国际级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10</w:t>
            </w:r>
          </w:p>
        </w:tc>
        <w:tc>
          <w:tcPr>
            <w:tcW w:w="2650"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重庆国际山地户外越野公开赛</w:t>
            </w:r>
          </w:p>
        </w:tc>
        <w:tc>
          <w:tcPr>
            <w:tcW w:w="3544"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华蓥山、铜锣山、明月山三山资源</w:t>
            </w:r>
          </w:p>
        </w:tc>
        <w:tc>
          <w:tcPr>
            <w:tcW w:w="1559" w:type="dxa"/>
          </w:tcPr>
          <w:p>
            <w:pPr>
              <w:rPr>
                <w:rFonts w:ascii="方正仿宋_GBK" w:eastAsia="方正仿宋_GBK" w:hAnsiTheme="minorEastAsia"/>
                <w:kern w:val="0"/>
                <w:sz w:val="32"/>
                <w:szCs w:val="32"/>
              </w:rPr>
            </w:pPr>
            <w:r>
              <w:rPr>
                <w:rFonts w:hint="eastAsia" w:ascii="方正仿宋_GBK" w:eastAsia="方正仿宋_GBK" w:hAnsiTheme="minorEastAsia"/>
                <w:kern w:val="0"/>
                <w:sz w:val="32"/>
                <w:szCs w:val="32"/>
              </w:rPr>
              <w:t>国家级</w:t>
            </w:r>
          </w:p>
        </w:tc>
      </w:tr>
    </w:tbl>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（六）做大做强体育产业。一是</w:t>
      </w:r>
      <w:r>
        <w:rPr>
          <w:rFonts w:hint="eastAsia" w:ascii="方正仿宋_GBK" w:eastAsia="方正仿宋_GBK" w:hAnsiTheme="minorEastAsia"/>
          <w:sz w:val="32"/>
          <w:szCs w:val="32"/>
        </w:rPr>
        <w:t>强化政策扶持，在资金、规划、土地、人才等方面对体育产业予以扶持，吸引和引导社会资本和资源向体育产业方面聚集；</w:t>
      </w:r>
      <w:r>
        <w:rPr>
          <w:rFonts w:hint="eastAsia" w:ascii="方正仿宋_GBK" w:eastAsia="方正仿宋_GBK" w:hAnsiTheme="minorEastAsia"/>
          <w:b/>
          <w:sz w:val="32"/>
          <w:szCs w:val="32"/>
        </w:rPr>
        <w:t>二是</w:t>
      </w:r>
      <w:r>
        <w:rPr>
          <w:rFonts w:hint="eastAsia" w:ascii="方正仿宋_GBK" w:eastAsia="方正仿宋_GBK" w:hAnsiTheme="minorEastAsia"/>
          <w:sz w:val="32"/>
          <w:szCs w:val="32"/>
        </w:rPr>
        <w:t>强化体育招商。积极协调区相关部门和单位将体育产业纳入招商的重要内容，强化体育主管部门的协调、服务能力，打造良好的体育产业营商环境，推动招商项目的快速落地；</w:t>
      </w:r>
      <w:r>
        <w:rPr>
          <w:rFonts w:hint="eastAsia" w:ascii="方正仿宋_GBK" w:eastAsia="方正仿宋_GBK" w:hAnsiTheme="minorEastAsia"/>
          <w:b/>
          <w:sz w:val="32"/>
          <w:szCs w:val="32"/>
        </w:rPr>
        <w:t>三是</w:t>
      </w:r>
      <w:r>
        <w:rPr>
          <w:rFonts w:hint="eastAsia" w:ascii="方正仿宋_GBK" w:eastAsia="方正仿宋_GBK" w:hAnsiTheme="minorEastAsia"/>
          <w:sz w:val="32"/>
          <w:szCs w:val="32"/>
        </w:rPr>
        <w:t>充分发挥区级体育产业国有平台的作用和功能，做好相关衔接工作，持续释放国有资本的引导和放大效应，助力体育产业在渝北的迅速布局；</w:t>
      </w:r>
      <w:r>
        <w:rPr>
          <w:rFonts w:hint="eastAsia" w:ascii="方正仿宋_GBK" w:eastAsia="方正仿宋_GBK" w:hAnsiTheme="minorEastAsia"/>
          <w:b/>
          <w:sz w:val="32"/>
          <w:szCs w:val="32"/>
        </w:rPr>
        <w:t>四是</w:t>
      </w:r>
      <w:r>
        <w:rPr>
          <w:rFonts w:hint="eastAsia" w:ascii="方正仿宋_GBK" w:eastAsia="方正仿宋_GBK" w:hAnsiTheme="minorEastAsia"/>
          <w:sz w:val="32"/>
          <w:szCs w:val="32"/>
        </w:rPr>
        <w:t>做大户外运动业。围绕重庆打造全国户外运动首选目的地目标，在统景镇、茨竹镇、玉峰山镇等山水资源丰富的区域，重点布局和培育户外越野、丛林探险、山地赛车、马术、滑翔等特色户外运动项目；</w:t>
      </w:r>
      <w:r>
        <w:rPr>
          <w:rFonts w:hint="eastAsia" w:ascii="方正仿宋_GBK" w:eastAsia="方正仿宋_GBK" w:hAnsiTheme="minorEastAsia"/>
          <w:b/>
          <w:sz w:val="32"/>
          <w:szCs w:val="32"/>
        </w:rPr>
        <w:t>五是</w:t>
      </w:r>
      <w:r>
        <w:rPr>
          <w:rFonts w:hint="eastAsia" w:ascii="方正仿宋_GBK" w:eastAsia="方正仿宋_GBK" w:hAnsiTheme="minorEastAsia"/>
          <w:sz w:val="32"/>
          <w:szCs w:val="32"/>
        </w:rPr>
        <w:t>做大场馆服务业，鼓励大型体育场馆盘活存量资源，加强闲置空间综合利用，开展健身、竞赛、培训、咨询、器材等综合性经营项目，同时鼓励体育场馆通过合作经营、托管经营、服务外包等方式，改善运营管理提高运营效率；</w:t>
      </w:r>
      <w:r>
        <w:rPr>
          <w:rFonts w:hint="eastAsia" w:ascii="方正仿宋_GBK" w:eastAsia="方正仿宋_GBK" w:hAnsiTheme="minorEastAsia"/>
          <w:b/>
          <w:sz w:val="32"/>
          <w:szCs w:val="32"/>
        </w:rPr>
        <w:t>六是</w:t>
      </w:r>
      <w:r>
        <w:rPr>
          <w:rFonts w:hint="eastAsia" w:ascii="方正仿宋_GBK" w:eastAsia="方正仿宋_GBK" w:hAnsiTheme="minorEastAsia"/>
          <w:sz w:val="32"/>
          <w:szCs w:val="32"/>
        </w:rPr>
        <w:t>做大培训中介服务，引进和培养以运动培训、赛事运营、运动员经纪、活动策划执行等多种体育培训、中介服务市场主体，让渝北逐渐成为全市乃至西部体育策划、赛事运营、执行服务的高点；</w:t>
      </w:r>
      <w:r>
        <w:rPr>
          <w:rFonts w:hint="eastAsia" w:ascii="方正仿宋_GBK" w:eastAsia="方正仿宋_GBK" w:hAnsiTheme="minorEastAsia"/>
          <w:b/>
          <w:sz w:val="32"/>
          <w:szCs w:val="32"/>
        </w:rPr>
        <w:t>七是</w:t>
      </w:r>
      <w:r>
        <w:rPr>
          <w:rFonts w:hint="eastAsia" w:ascii="方正仿宋_GBK" w:eastAsia="方正仿宋_GBK" w:hAnsiTheme="minorEastAsia"/>
          <w:sz w:val="32"/>
          <w:szCs w:val="32"/>
        </w:rPr>
        <w:t>推动“体育+”融合创新发展。推动“体育+旅游”融合发展，在现有基础上，新增1个体育旅游综合综合体项目、</w:t>
      </w:r>
      <w:r>
        <w:rPr>
          <w:rFonts w:ascii="方正仿宋_GBK" w:eastAsia="方正仿宋_GBK" w:hAnsiTheme="minorEastAsia"/>
          <w:sz w:val="32"/>
          <w:szCs w:val="32"/>
        </w:rPr>
        <w:t>2</w:t>
      </w:r>
      <w:r>
        <w:rPr>
          <w:rFonts w:hint="eastAsia" w:ascii="方正仿宋_GBK" w:eastAsia="方正仿宋_GBK" w:hAnsiTheme="minorEastAsia"/>
          <w:sz w:val="32"/>
          <w:szCs w:val="32"/>
        </w:rPr>
        <w:t>个户外健身休闲基地、</w:t>
      </w:r>
      <w:r>
        <w:rPr>
          <w:rFonts w:ascii="方正仿宋_GBK" w:eastAsia="方正仿宋_GBK" w:hAnsiTheme="minorEastAsia"/>
          <w:sz w:val="32"/>
          <w:szCs w:val="32"/>
        </w:rPr>
        <w:t>2</w:t>
      </w:r>
      <w:r>
        <w:rPr>
          <w:rFonts w:hint="eastAsia" w:ascii="方正仿宋_GBK" w:eastAsia="方正仿宋_GBK" w:hAnsiTheme="minorEastAsia"/>
          <w:sz w:val="32"/>
          <w:szCs w:val="32"/>
        </w:rPr>
        <w:t>个体育旅游精品赛事、</w:t>
      </w:r>
      <w:r>
        <w:rPr>
          <w:rFonts w:ascii="方正仿宋_GBK" w:eastAsia="方正仿宋_GBK" w:hAnsiTheme="minorEastAsia"/>
          <w:sz w:val="32"/>
          <w:szCs w:val="32"/>
        </w:rPr>
        <w:t>2</w:t>
      </w:r>
      <w:r>
        <w:rPr>
          <w:rFonts w:hint="eastAsia" w:ascii="方正仿宋_GBK" w:eastAsia="方正仿宋_GBK" w:hAnsiTheme="minorEastAsia"/>
          <w:sz w:val="32"/>
          <w:szCs w:val="32"/>
        </w:rPr>
        <w:t>条体育旅游精品线路。推动“体育+文化”融合发展，探索发展电子竞技、体育动漫、体育游戏、体育电影等新兴产业；</w:t>
      </w:r>
      <w:r>
        <w:rPr>
          <w:rFonts w:hint="eastAsia" w:ascii="方正仿宋_GBK" w:eastAsia="方正仿宋_GBK" w:hAnsiTheme="minorEastAsia"/>
          <w:b/>
          <w:sz w:val="32"/>
          <w:szCs w:val="32"/>
        </w:rPr>
        <w:t>八是</w:t>
      </w:r>
      <w:r>
        <w:rPr>
          <w:rFonts w:hint="eastAsia" w:ascii="方正仿宋_GBK" w:eastAsia="方正仿宋_GBK" w:hAnsiTheme="minorEastAsia"/>
          <w:sz w:val="32"/>
          <w:szCs w:val="32"/>
        </w:rPr>
        <w:t>稳步发展体育彩票业，积极推进体育彩票网点质量建设和品牌形象推广，更好发挥体育彩票对全区体育发展的“助推器”作用。</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（七）智慧体育建设。</w:t>
      </w:r>
      <w:r>
        <w:rPr>
          <w:rFonts w:hint="eastAsia" w:ascii="方正仿宋_GBK" w:eastAsia="方正仿宋_GBK" w:hAnsiTheme="minorEastAsia"/>
          <w:sz w:val="32"/>
          <w:szCs w:val="32"/>
        </w:rPr>
        <w:t>一是推进智慧体育基础设施建设。利用互联网、物联网、云计算等信息技术，建设区级体育数据中心，并实现各层级、各单位部门之间的数据共享。第二是探索智慧体育的场景应用。包括在体育人力资源档案管理方面的应用、体育场馆信息发布和经营互动方面的应用、竞技体育过程中裁判决策和数据分析方面的应用，例如打造智慧场馆系统、智慧健身地图等。</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b/>
          <w:sz w:val="32"/>
          <w:szCs w:val="32"/>
        </w:rPr>
      </w:pPr>
      <w:r>
        <w:rPr>
          <w:rFonts w:hint="eastAsia" w:ascii="方正仿宋_GBK" w:eastAsia="方正仿宋_GBK" w:hAnsiTheme="minorEastAsia"/>
          <w:b/>
          <w:sz w:val="32"/>
          <w:szCs w:val="32"/>
        </w:rPr>
        <w:t>（八）体育文化建设。</w:t>
      </w:r>
      <w:r>
        <w:rPr>
          <w:rFonts w:hint="eastAsia" w:ascii="方正仿宋_GBK" w:eastAsia="方正仿宋_GBK" w:hAnsiTheme="minorEastAsia"/>
          <w:sz w:val="32"/>
          <w:szCs w:val="32"/>
        </w:rPr>
        <w:t>一是充分发挥体育在传播社会主义先进文化和塑造核心价值观中的积极作用和社会功能，深度挖掘体育多元文化价值，创新体育文化表现形式，弘扬以爱国、奉献、团结、拼搏为核心的中华体育精神；二是擦亮渝北“武术之乡”金字招牌，鼓励和支持渝北武术研究院开展文化交流、学术研究和研究成果转换工作，持续开展巴渝武术操“六进”活动，引进和打造以武术为主体的品牌赛事活动；三是打造渝北“围棋之乡”体育文化品牌，畅通渝北围棋协会、各级围棋分会与众多围棋爱好者组织之间的联席制度，常态性开展围棋相关品牌赛事及活动，营造全社会的围棋文化氛围，筹建渝北棋院。</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（九）提高体育对外开放水平。</w:t>
      </w:r>
      <w:r>
        <w:rPr>
          <w:rFonts w:hint="eastAsia" w:ascii="方正仿宋_GBK" w:eastAsia="方正仿宋_GBK" w:hAnsiTheme="minorEastAsia"/>
          <w:sz w:val="32"/>
          <w:szCs w:val="32"/>
        </w:rPr>
        <w:t>一是积极推动“一区两群”协调发展，加大与市内周边区县的合作，通过资源互通、优势互补的方式，共同筹划打造有品牌影响力的赛事活动；</w:t>
      </w:r>
      <w:r>
        <w:rPr>
          <w:rFonts w:hint="eastAsia" w:ascii="方正仿宋_GBK" w:eastAsia="方正仿宋_GBK" w:hAnsiTheme="minorEastAsia"/>
          <w:b/>
          <w:sz w:val="32"/>
          <w:szCs w:val="32"/>
        </w:rPr>
        <w:t>二</w:t>
      </w:r>
      <w:r>
        <w:rPr>
          <w:rFonts w:hint="eastAsia" w:ascii="方正仿宋_GBK" w:eastAsia="方正仿宋_GBK" w:hAnsiTheme="minorEastAsia"/>
          <w:sz w:val="32"/>
          <w:szCs w:val="32"/>
        </w:rPr>
        <w:t>是积极融入成渝地区双城经济圈发展战略，主动与成都、广安、广元、德阳等地体育相关部门、机构、企业开展交流活动，共同探索建立合作机制，策划组织一系列区域联动的品牌赛事活动，让体育成为渝北践行成渝地区双城经济圈发展战略的“排头兵”；三是推动“一带一路”</w:t>
      </w:r>
      <w:r>
        <w:rPr>
          <w:rFonts w:hint="eastAsia" w:ascii="方正仿宋_GBK" w:eastAsia="方正仿宋_GBK" w:hAnsiTheme="minorEastAsia"/>
          <w:sz w:val="32"/>
          <w:szCs w:val="32"/>
          <w:lang w:val="en-US" w:eastAsia="zh-CN"/>
        </w:rPr>
        <w:t>倡议</w:t>
      </w:r>
      <w:r>
        <w:rPr>
          <w:rFonts w:hint="eastAsia" w:ascii="方正仿宋_GBK" w:eastAsia="方正仿宋_GBK" w:hAnsiTheme="minorEastAsia"/>
          <w:sz w:val="32"/>
          <w:szCs w:val="32"/>
        </w:rPr>
        <w:t>落实，与沿线国家展开体育交流活动，以筹办各类国际赛事为契机，与国际体育组织加强合作，打造具有国际影响力的品牌活动，让体育成为世界认识重庆、认识渝北的又一个窗口。</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b/>
          <w:sz w:val="32"/>
          <w:szCs w:val="32"/>
        </w:rPr>
        <w:t>（十）管理服务机制体制创新。</w:t>
      </w:r>
      <w:r>
        <w:rPr>
          <w:rFonts w:hint="eastAsia" w:ascii="方正仿宋_GBK" w:eastAsia="方正仿宋_GBK" w:hAnsiTheme="minorEastAsia"/>
          <w:sz w:val="32"/>
          <w:szCs w:val="32"/>
        </w:rPr>
        <w:t>一是深入推进体育领域“放管服”改革，打造权责清单制度体系，强化“一站式”政务服务体系建设，放宽市场准入，强化事中事后监管；二是规范高危体育项目及经营活动的行政审批、备案、监管、执法等相关制度，加强对体育企业的安全监管，确保体育活动、场地和企业不出现安全生产责任事故。三是建立符合体育发展规律和渝北实际的体育管理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“十四五”时期渝北体育发展的保障措施</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一）加强体育规划引领。将体育发展规划纳入全区国民经济和社会发展规划，将公共体育设施建设纳入城乡规划，将体育事业和体育产业纳入政府目标考核内容。编制和调整城乡规划、土地利用总体规划和功能区规划时，充分考虑相关体育项目、设施的空间布局和建设用地。</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二）加大财政支持力度。通过积极向上争取项目资金、加大财政投入、吸引社会资本参与等方式，多渠道筹措资金，建立财政按比例逐年加大投入的机制，支持我区体育事业高质量发展，紧紧围绕满足人民群众需求，构建更高水平的全民健身公共服务体系，促进体育事业健康有序发展。用好用活体育彩票公益金，用于支持全民健身活动、大型体育运动会和体育赛事，完善全民健身公共体育设施与服务。</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（三）强化统筹协调。各有关部门要加强沟通协调，密切协作配合，形成工作合力，合理安排工序，合力破难攻坚，研究并落实体育事业和体育产业的各项政策措施，全面加快推进渝北体育强区建设。</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四）加强监督落实。建立目标任务考核制度，分解落实本规划确定的目标任务，实行规划年度监督、中期评估和终期检查制度。建立健全动态调整机制，跟踪分析规划实施情况，为调整目标任务和制定政策措施提供依据，确保本规划目标任务如期完成。</w:t>
      </w:r>
      <w:r>
        <w:rPr>
          <w:rFonts w:ascii="方正仿宋_GBK" w:eastAsia="方正仿宋_GBK" w:hAnsiTheme="minorEastAsia"/>
          <w:sz w:val="32"/>
          <w:szCs w:val="32"/>
        </w:rPr>
        <w:t> </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五）加强体育宣传工作。建立健全体育宣传工作机制，加强宣传干部队伍建设，整合区内区外、市内市外的各级全媒体资源，畅通全媒体渠道，围绕渝北区的体育事业发展、全民健身氛围、品牌赛事活动等话题，以新闻报道、专题关注、文艺创作等多种形式展开持续宣传，弘扬中华体育精神，为渝北建设体育强区营造良好舆论环境。</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六）强化人才引进培养。完善区、镇街、村居三级体育培训网络体系，共建体育人才教育培训基地，不断强化教人才队伍建设。完善人才评估体系和激励机制，对体育事业和体育产业作出突出贡献的集体和个人按规定进行奖励和资助。激励引导各类高层次体育人才在渝北创新创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六</w:t>
      </w:r>
      <w:r>
        <w:rPr>
          <w:rFonts w:hint="eastAsia" w:ascii="方正黑体_GBK" w:hAnsi="方正黑体_GBK" w:eastAsia="方正黑体_GBK" w:cs="方正黑体_GBK"/>
          <w:b w:val="0"/>
          <w:bCs/>
          <w:sz w:val="32"/>
          <w:szCs w:val="32"/>
        </w:rPr>
        <w:t>、“十四五”时期渝北体育发展的规划依据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1、《中华人民共和国体育法》（2016年修正）（中华人民共和国主席令第55号）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2、《全民健身条例》（2016年修订）（中华人民共和国国务院令第 560 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2、《“健康中国2030”规划纲要》（2016年10月25日，中共中央、国务院发布）</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3、国务院《关于实施健康中国行动的意见》（国发〔2019〕13号）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4、《体育强国建设纲要》（国办发〔2019〕40号）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5、国务院《关于促进全民健身和体育消费推动体育产业高质量发展的意见》（国办发〔2019〕43号）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6、《体育规划管理办法》（体规字〔2019〕6号）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ascii="方正仿宋_GBK" w:eastAsia="方正仿宋_GBK" w:hAnsiTheme="minorEastAsia"/>
          <w:sz w:val="32"/>
          <w:szCs w:val="32"/>
        </w:rPr>
        <w:t>7、</w:t>
      </w:r>
      <w:r>
        <w:rPr>
          <w:rFonts w:hint="eastAsia" w:ascii="方正仿宋_GBK" w:eastAsia="方正仿宋_GBK" w:hAnsiTheme="minorEastAsia"/>
          <w:sz w:val="32"/>
          <w:szCs w:val="32"/>
        </w:rPr>
        <w:t>习近平总书记在教育文化卫生体育领域专家代表座谈会上的讲话（2020年9月）</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8、习近平总书记在北京河北考察并主持召开北京2022年冬奥会和冬残奥会筹办工作汇报会时的讲话（2012年1月）</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9、《重庆市全民健身条例》（2018年11月30日重庆市第五届人民代表大会常务委员会第七次会议通过）</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0</w:t>
      </w:r>
      <w:r>
        <w:rPr>
          <w:rFonts w:hint="eastAsia" w:ascii="方正仿宋_GBK" w:eastAsia="方正仿宋_GBK" w:hAnsiTheme="minorEastAsia"/>
          <w:sz w:val="32"/>
          <w:szCs w:val="32"/>
        </w:rPr>
        <w:t>、</w:t>
      </w:r>
      <w:r>
        <w:rPr>
          <w:rFonts w:ascii="方正仿宋_GBK" w:eastAsia="方正仿宋_GBK" w:hAnsiTheme="minorEastAsia"/>
          <w:sz w:val="32"/>
          <w:szCs w:val="32"/>
        </w:rPr>
        <w:t>《</w:t>
      </w:r>
      <w:r>
        <w:rPr>
          <w:rFonts w:hint="eastAsia" w:ascii="方正仿宋_GBK" w:eastAsia="方正仿宋_GBK" w:hAnsiTheme="minorEastAsia"/>
          <w:sz w:val="32"/>
          <w:szCs w:val="32"/>
        </w:rPr>
        <w:t>重庆市促进大健康产业高质量发展行动计划(2020—2025年)</w:t>
      </w:r>
      <w:r>
        <w:rPr>
          <w:rFonts w:ascii="方正仿宋_GBK" w:eastAsia="方正仿宋_GBK" w:hAnsiTheme="minorEastAsia"/>
          <w:sz w:val="32"/>
          <w:szCs w:val="32"/>
        </w:rPr>
        <w:t>》（</w:t>
      </w:r>
      <w:r>
        <w:rPr>
          <w:rFonts w:hint="eastAsia" w:ascii="方正仿宋_GBK" w:eastAsia="方正仿宋_GBK" w:hAnsiTheme="minorEastAsia"/>
          <w:sz w:val="32"/>
          <w:szCs w:val="32"/>
        </w:rPr>
        <w:t>渝府发〔2020〕12号</w:t>
      </w:r>
      <w:r>
        <w:rPr>
          <w:rFonts w:ascii="方正仿宋_GBK" w:eastAsia="方正仿宋_GBK" w:hAnsiTheme="minorEastAsia"/>
          <w:sz w:val="32"/>
          <w:szCs w:val="32"/>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1</w:t>
      </w:r>
      <w:r>
        <w:rPr>
          <w:rFonts w:hint="eastAsia" w:ascii="方正仿宋_GBK" w:eastAsia="方正仿宋_GBK" w:hAnsiTheme="minorEastAsia"/>
          <w:sz w:val="32"/>
          <w:szCs w:val="32"/>
        </w:rPr>
        <w:t>、《打造全国户外运动首选目的地行动计划(2018—2022年)》（渝体〔2018〕438号）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2</w:t>
      </w:r>
      <w:r>
        <w:rPr>
          <w:rFonts w:hint="eastAsia" w:ascii="方正仿宋_GBK" w:eastAsia="方正仿宋_GBK" w:hAnsiTheme="minorEastAsia"/>
          <w:sz w:val="32"/>
          <w:szCs w:val="32"/>
        </w:rPr>
        <w:t>、《全民健身公共服务体系提升行动计划（2018—2022年）》（渝体〔2018〕445号）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3</w:t>
      </w:r>
      <w:r>
        <w:rPr>
          <w:rFonts w:hint="eastAsia" w:ascii="方正仿宋_GBK" w:eastAsia="方正仿宋_GBK" w:hAnsiTheme="minorEastAsia"/>
          <w:sz w:val="32"/>
          <w:szCs w:val="32"/>
        </w:rPr>
        <w:t>、《体育基础设施振兴行动计划 （2018—2022年）》（渝体〔2018〕442号）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4</w:t>
      </w:r>
      <w:r>
        <w:rPr>
          <w:rFonts w:hint="eastAsia" w:ascii="方正仿宋_GBK" w:eastAsia="方正仿宋_GBK" w:hAnsiTheme="minorEastAsia"/>
          <w:sz w:val="32"/>
          <w:szCs w:val="32"/>
        </w:rPr>
        <w:t>、《重庆市体育产业加快发展行动计划（2018-2022 年）》的通知（渝体﹝2018﹞462 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5</w:t>
      </w:r>
      <w:r>
        <w:rPr>
          <w:rFonts w:hint="eastAsia" w:ascii="方正仿宋_GBK" w:eastAsia="方正仿宋_GBK" w:hAnsiTheme="minorEastAsia"/>
          <w:sz w:val="32"/>
          <w:szCs w:val="32"/>
        </w:rPr>
        <w:t>、《关于加强体育宣传文化工作的通知》（渝体﹝2019﹞93 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6</w:t>
      </w:r>
      <w:r>
        <w:rPr>
          <w:rFonts w:hint="eastAsia" w:ascii="方正仿宋_GBK" w:eastAsia="方正仿宋_GBK" w:hAnsiTheme="minorEastAsia"/>
          <w:sz w:val="32"/>
          <w:szCs w:val="32"/>
        </w:rPr>
        <w:t>、《中共重庆市委关于制定重庆市国民经济和社会发展第十四个五年规划和二〇三五年远景目标的建议》（2020年11月27日中国共产党重庆市第五届委员会第九次全体会议通过）</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hint="eastAsia" w:ascii="方正仿宋_GBK" w:eastAsia="方正仿宋_GBK" w:hAnsiTheme="minorEastAsia"/>
          <w:sz w:val="32"/>
          <w:szCs w:val="32"/>
        </w:rPr>
        <w:t>1</w:t>
      </w:r>
      <w:r>
        <w:rPr>
          <w:rFonts w:hint="eastAsia" w:ascii="方正仿宋_GBK" w:eastAsia="方正仿宋_GBK" w:hAnsiTheme="minorEastAsia"/>
          <w:sz w:val="32"/>
          <w:szCs w:val="32"/>
          <w:lang w:val="en-US" w:eastAsia="zh-CN"/>
        </w:rPr>
        <w:t>7</w:t>
      </w:r>
      <w:r>
        <w:rPr>
          <w:rFonts w:hint="eastAsia" w:ascii="方正仿宋_GBK" w:eastAsia="方正仿宋_GBK" w:hAnsiTheme="minorEastAsia"/>
          <w:sz w:val="32"/>
          <w:szCs w:val="32"/>
        </w:rPr>
        <w:t>、《成渝地区双城经济圈建设规划纲要》（审议中）</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方正仿宋_GBK" w:eastAsia="方正仿宋_GBK" w:hAnsiTheme="minorEastAsia"/>
          <w:sz w:val="32"/>
          <w:szCs w:val="32"/>
        </w:rPr>
      </w:pPr>
      <w:r>
        <w:rPr>
          <w:rFonts w:ascii="方正仿宋_GBK" w:eastAsia="方正仿宋_GBK" w:hAnsiTheme="minorEastAsia"/>
          <w:sz w:val="32"/>
          <w:szCs w:val="32"/>
        </w:rPr>
        <w:t>1</w:t>
      </w:r>
      <w:r>
        <w:rPr>
          <w:rFonts w:hint="eastAsia" w:ascii="方正仿宋_GBK" w:eastAsia="方正仿宋_GBK" w:hAnsiTheme="minorEastAsia"/>
          <w:sz w:val="32"/>
          <w:szCs w:val="32"/>
          <w:lang w:val="en-US" w:eastAsia="zh-CN"/>
        </w:rPr>
        <w:t>8</w:t>
      </w:r>
      <w:r>
        <w:rPr>
          <w:rFonts w:ascii="方正仿宋_GBK" w:eastAsia="方正仿宋_GBK" w:hAnsiTheme="minorEastAsia"/>
          <w:sz w:val="32"/>
          <w:szCs w:val="32"/>
        </w:rPr>
        <w:t>、《</w:t>
      </w:r>
      <w:r>
        <w:rPr>
          <w:rFonts w:hint="eastAsia" w:ascii="方正仿宋_GBK" w:eastAsia="方正仿宋_GBK" w:hAnsiTheme="minorEastAsia"/>
          <w:sz w:val="32"/>
          <w:szCs w:val="32"/>
        </w:rPr>
        <w:t>中共重庆市渝北区委关于制定重庆市渝北区国民经济和社会发展第十四个五年规划和二〇三五年远景目标的建议》（2020年12月16日中国共产党重庆市渝北区第十四届委员会第八次全体会议通过）</w:t>
      </w: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方正仿宋_GBK" w:eastAsia="方正仿宋_GBK" w:hAnsiTheme="minor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_GBK" w:eastAsia="方正仿宋_GBK" w:hAnsiTheme="minorEastAsia"/>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20"/>
        <w:widowControl w:val="0"/>
        <w:adjustRightInd w:val="0"/>
        <w:snapToGrid w:val="0"/>
        <w:spacing w:before="0" w:beforeAutospacing="0" w:after="0" w:afterAutospacing="0" w:line="592"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方正小标宋_GBK"/>
          <w:sz w:val="44"/>
          <w:szCs w:val="44"/>
        </w:rPr>
        <w:t>渝北区体育发展“十四五”规划</w:t>
      </w:r>
      <w:r>
        <w:rPr>
          <w:rFonts w:ascii="Times New Roman" w:hAnsi="Times New Roman" w:eastAsia="方正小标宋_GBK" w:cs="Times New Roman"/>
          <w:sz w:val="44"/>
          <w:szCs w:val="44"/>
        </w:rPr>
        <w:t>》</w:t>
      </w:r>
      <w:r>
        <w:rPr>
          <w:rFonts w:hint="eastAsia" w:ascii="Times New Roman" w:hAnsi="Times New Roman" w:eastAsia="方正小标宋_GBK" w:cs="Times New Roman"/>
          <w:sz w:val="44"/>
          <w:szCs w:val="44"/>
        </w:rPr>
        <w:t>的制定</w:t>
      </w:r>
      <w:r>
        <w:rPr>
          <w:rFonts w:ascii="Times New Roman" w:hAnsi="Times New Roman" w:eastAsia="方正小标宋_GBK" w:cs="Times New Roman"/>
          <w:sz w:val="44"/>
          <w:szCs w:val="44"/>
        </w:rPr>
        <w:t>说明</w:t>
      </w:r>
    </w:p>
    <w:p>
      <w:pPr>
        <w:pStyle w:val="20"/>
        <w:widowControl w:val="0"/>
        <w:adjustRightInd w:val="0"/>
        <w:snapToGrid w:val="0"/>
        <w:spacing w:before="0" w:beforeAutospacing="0" w:after="0" w:afterAutospacing="0" w:line="592" w:lineRule="exact"/>
        <w:ind w:firstLine="640" w:firstLineChars="200"/>
        <w:jc w:val="both"/>
        <w:rPr>
          <w:rFonts w:ascii="Times New Roman" w:hAnsi="Times New Roman" w:eastAsia="方正楷体_GBK" w:cs="Times New Roman"/>
          <w:sz w:val="32"/>
          <w:szCs w:val="32"/>
        </w:rPr>
      </w:pPr>
    </w:p>
    <w:p>
      <w:pPr>
        <w:adjustRightInd w:val="0"/>
        <w:snapToGrid w:val="0"/>
        <w:spacing w:line="592"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文件制定背景</w:t>
      </w:r>
      <w:r>
        <w:rPr>
          <w:rFonts w:hint="eastAsia" w:ascii="Times New Roman" w:hAnsi="Times New Roman" w:eastAsia="方正黑体_GBK"/>
          <w:sz w:val="32"/>
          <w:szCs w:val="32"/>
        </w:rPr>
        <w:t>和</w:t>
      </w:r>
      <w:r>
        <w:rPr>
          <w:rFonts w:ascii="Times New Roman" w:hAnsi="Times New Roman" w:eastAsia="方正黑体_GBK"/>
          <w:sz w:val="32"/>
          <w:szCs w:val="32"/>
        </w:rPr>
        <w:t>依据</w:t>
      </w:r>
    </w:p>
    <w:p>
      <w:pPr>
        <w:adjustRightInd w:val="0"/>
        <w:snapToGrid w:val="0"/>
        <w:spacing w:line="592" w:lineRule="exact"/>
        <w:ind w:firstLine="640" w:firstLineChars="200"/>
        <w:rPr>
          <w:rFonts w:ascii="Times New Roman" w:hAnsi="Times New Roman" w:eastAsia="方正黑体_GBK"/>
          <w:sz w:val="32"/>
          <w:szCs w:val="32"/>
        </w:rPr>
      </w:pPr>
      <w:r>
        <w:rPr>
          <w:rFonts w:hint="eastAsia" w:ascii="方正仿宋_GBK" w:eastAsia="方正仿宋_GBK" w:hAnsiTheme="minorEastAsia"/>
          <w:sz w:val="32"/>
          <w:szCs w:val="32"/>
        </w:rPr>
        <w:t>“十四五”是全面开启社会主义现代化建设新征程的第一个五年，是渝北区加速推进“四区”建设，奋力推动高质量发展、创造高品质生活的关键时期，也是渝北区体育事业实现全面跨越发展的战略机遇期。为了助推渝北区高质量发展，提高人民身体素质和健康水平，早日建成体育强区，根据区委、区政府的统一部署，结合“十四五”时期全区体育发展面临的新形势、新任务、新要求，制定本规划。</w:t>
      </w:r>
    </w:p>
    <w:p>
      <w:pPr>
        <w:adjustRightInd w:val="0"/>
        <w:snapToGrid w:val="0"/>
        <w:spacing w:line="592"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二、起草过程</w:t>
      </w:r>
    </w:p>
    <w:p>
      <w:pPr>
        <w:adjustRightInd w:val="0"/>
        <w:snapToGrid w:val="0"/>
        <w:spacing w:line="592"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按照重庆市体育局要求，2020年11月下旬启动渝北区体育发展“十四五”规划编制工作。11月下旬至12月上旬进行调研，12月中旬完成提纲撰写。</w:t>
      </w:r>
    </w:p>
    <w:p>
      <w:pPr>
        <w:adjustRightInd w:val="0"/>
        <w:snapToGrid w:val="0"/>
        <w:spacing w:line="592" w:lineRule="exact"/>
        <w:ind w:firstLine="640" w:firstLineChars="200"/>
        <w:rPr>
          <w:rFonts w:ascii="方正仿宋_GBK" w:hAnsi="方正仿宋_GBK" w:eastAsia="方正仿宋_GBK"/>
          <w:sz w:val="32"/>
          <w:szCs w:val="32"/>
        </w:rPr>
      </w:pPr>
      <w:r>
        <w:rPr>
          <w:rFonts w:hint="eastAsia" w:ascii="Times New Roman" w:hAnsi="Times New Roman" w:eastAsia="方正黑体_GBK"/>
          <w:sz w:val="32"/>
          <w:szCs w:val="32"/>
        </w:rPr>
        <w:t>三、征求意见情况</w:t>
      </w:r>
    </w:p>
    <w:p>
      <w:pPr>
        <w:adjustRightInd w:val="0"/>
        <w:snapToGrid w:val="0"/>
        <w:spacing w:line="592"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2021年1月完成初稿，1月20日组织召开第一次座谈会，邀请渝北区专家、协会、企业代表参加。3月17日召开第二次座谈会，邀请市体育局群体处、竞技处、产业处、财务处负责人参加。4月27日召开第三次座谈会，邀请西南大学体育学院院长黄晓灵教授等专家参加，目前形成的规划初稿，充分吸纳了各次座谈会的意见建议。</w:t>
      </w:r>
    </w:p>
    <w:p>
      <w:pPr>
        <w:adjustRightInd w:val="0"/>
        <w:snapToGrid w:val="0"/>
        <w:spacing w:line="592"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四、主要内容</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规划全文共五大部分，分别是：</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（一）“十四五”时期渝北体育发展形势和指导思想</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（二）“十四五”时期渝北体育发展目标</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（三）二</w:t>
      </w:r>
      <w:r>
        <w:rPr>
          <w:rFonts w:ascii="方正仿宋_GBK" w:hAnsi="楷体" w:eastAsia="方正仿宋_GBK"/>
          <w:bCs/>
          <w:sz w:val="32"/>
          <w:szCs w:val="32"/>
        </w:rPr>
        <w:t>O三五年渝北体育发展的远景目标</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（四）“十四五”时期渝北体育发展的主要任务</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（五）“十四五”时期渝北体育发展的保障措施。</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其中，在编制第二、三部分：“十四五”时期的发展目标和二</w:t>
      </w:r>
      <w:r>
        <w:rPr>
          <w:rFonts w:ascii="方正仿宋_GBK" w:hAnsi="楷体" w:eastAsia="方正仿宋_GBK"/>
          <w:bCs/>
          <w:sz w:val="32"/>
          <w:szCs w:val="32"/>
        </w:rPr>
        <w:t>O三五年渝北体育发展的远景目标</w:t>
      </w:r>
      <w:r>
        <w:rPr>
          <w:rFonts w:hint="eastAsia" w:ascii="方正仿宋_GBK" w:hAnsi="楷体" w:eastAsia="方正仿宋_GBK"/>
          <w:bCs/>
          <w:sz w:val="32"/>
          <w:szCs w:val="32"/>
        </w:rPr>
        <w:t>时，编制内容和应用数据，均立足渝北经济社会发展实际，对标全市体育发展目标，提出了以建成体育强区为总目标，全力实施“</w:t>
      </w:r>
      <w:r>
        <w:rPr>
          <w:rFonts w:ascii="方正仿宋_GBK" w:hAnsi="楷体" w:eastAsia="方正仿宋_GBK"/>
          <w:bCs/>
          <w:sz w:val="32"/>
          <w:szCs w:val="32"/>
        </w:rPr>
        <w:t>1+2+3+4+5”体育发展战略</w:t>
      </w:r>
      <w:r>
        <w:rPr>
          <w:rFonts w:hint="eastAsia" w:ascii="方正仿宋_GBK" w:hAnsi="楷体" w:eastAsia="方正仿宋_GBK"/>
          <w:bCs/>
          <w:sz w:val="32"/>
          <w:szCs w:val="32"/>
        </w:rPr>
        <w:t>。</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为完成主要任务围绕提出的目标，在第四部分：“十四五”时期渝北体育发展的主要任务，将各项目标具体化、项目化，提出了1</w:t>
      </w:r>
      <w:r>
        <w:rPr>
          <w:rFonts w:ascii="方正仿宋_GBK" w:hAnsi="楷体" w:eastAsia="方正仿宋_GBK"/>
          <w:bCs/>
          <w:sz w:val="32"/>
          <w:szCs w:val="32"/>
        </w:rPr>
        <w:t>0</w:t>
      </w:r>
      <w:r>
        <w:rPr>
          <w:rFonts w:hint="eastAsia" w:ascii="方正仿宋_GBK" w:hAnsi="楷体" w:eastAsia="方正仿宋_GBK"/>
          <w:bCs/>
          <w:sz w:val="32"/>
          <w:szCs w:val="32"/>
        </w:rPr>
        <w:t>项主要任务。</w:t>
      </w:r>
    </w:p>
    <w:p>
      <w:pPr>
        <w:spacing w:line="560" w:lineRule="exact"/>
        <w:ind w:firstLine="640" w:firstLineChars="200"/>
        <w:rPr>
          <w:rFonts w:ascii="方正仿宋_GBK" w:hAnsi="楷体" w:eastAsia="方正仿宋_GBK"/>
          <w:bCs/>
          <w:sz w:val="32"/>
          <w:szCs w:val="32"/>
        </w:rPr>
      </w:pPr>
      <w:r>
        <w:rPr>
          <w:rFonts w:hint="eastAsia" w:ascii="方正仿宋_GBK" w:hAnsi="楷体" w:eastAsia="方正仿宋_GBK"/>
          <w:bCs/>
          <w:sz w:val="32"/>
          <w:szCs w:val="32"/>
        </w:rPr>
        <w:t>为确保所有任务顺利完成，在最后部分提出保障措施，分别从体制优化、资金保障、法规制度等方面提出了需求。</w:t>
      </w:r>
    </w:p>
    <w:p>
      <w:pPr>
        <w:pStyle w:val="2"/>
        <w:rPr>
          <w:rFonts w:hint="default"/>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13DC"/>
    <w:rsid w:val="06D91DDF"/>
    <w:rsid w:val="08711CE9"/>
    <w:rsid w:val="08E520BB"/>
    <w:rsid w:val="09786C93"/>
    <w:rsid w:val="0A056E17"/>
    <w:rsid w:val="0B471199"/>
    <w:rsid w:val="0C7B6D46"/>
    <w:rsid w:val="0EE44DB3"/>
    <w:rsid w:val="103858CB"/>
    <w:rsid w:val="103A0CE8"/>
    <w:rsid w:val="120B196D"/>
    <w:rsid w:val="1420591A"/>
    <w:rsid w:val="15524F34"/>
    <w:rsid w:val="15A45887"/>
    <w:rsid w:val="177F29AD"/>
    <w:rsid w:val="18136555"/>
    <w:rsid w:val="1CC3185C"/>
    <w:rsid w:val="1D0B13EA"/>
    <w:rsid w:val="1F392110"/>
    <w:rsid w:val="1FFB0E30"/>
    <w:rsid w:val="224D75E5"/>
    <w:rsid w:val="22825F34"/>
    <w:rsid w:val="257D7E39"/>
    <w:rsid w:val="26C13547"/>
    <w:rsid w:val="2B256917"/>
    <w:rsid w:val="2BD10B67"/>
    <w:rsid w:val="2C6A1430"/>
    <w:rsid w:val="2DBE4A7C"/>
    <w:rsid w:val="2EA341FD"/>
    <w:rsid w:val="30232AD7"/>
    <w:rsid w:val="305044F4"/>
    <w:rsid w:val="31096F2A"/>
    <w:rsid w:val="34F1527C"/>
    <w:rsid w:val="397733E7"/>
    <w:rsid w:val="3E0F099B"/>
    <w:rsid w:val="3E903829"/>
    <w:rsid w:val="40606957"/>
    <w:rsid w:val="44F11A01"/>
    <w:rsid w:val="458001B0"/>
    <w:rsid w:val="46F3224D"/>
    <w:rsid w:val="488C2D59"/>
    <w:rsid w:val="4AE80150"/>
    <w:rsid w:val="4C62215D"/>
    <w:rsid w:val="4C726C20"/>
    <w:rsid w:val="4DCB7A90"/>
    <w:rsid w:val="533363F1"/>
    <w:rsid w:val="53787DFF"/>
    <w:rsid w:val="550121AA"/>
    <w:rsid w:val="55B621F9"/>
    <w:rsid w:val="56305ADE"/>
    <w:rsid w:val="5CD74729"/>
    <w:rsid w:val="5FD83F15"/>
    <w:rsid w:val="610177BB"/>
    <w:rsid w:val="62413852"/>
    <w:rsid w:val="650A42BB"/>
    <w:rsid w:val="67D2535F"/>
    <w:rsid w:val="6C271FCB"/>
    <w:rsid w:val="6DAA3EB5"/>
    <w:rsid w:val="6DC33DD5"/>
    <w:rsid w:val="6E3F5A12"/>
    <w:rsid w:val="6E601805"/>
    <w:rsid w:val="70E912D5"/>
    <w:rsid w:val="70FB2F9D"/>
    <w:rsid w:val="723A1723"/>
    <w:rsid w:val="7DB22257"/>
    <w:rsid w:val="7E283824"/>
    <w:rsid w:val="7ECD1A5F"/>
    <w:rsid w:val="7EFA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szCs w:val="24"/>
    </w:rPr>
  </w:style>
  <w:style w:type="paragraph" w:styleId="3">
    <w:name w:val="footer"/>
    <w:basedOn w:val="1"/>
    <w:next w:val="1"/>
    <w:unhideWhenUsed/>
    <w:qFormat/>
    <w:uiPriority w:val="0"/>
    <w:pPr>
      <w:tabs>
        <w:tab w:val="center" w:pos="4153"/>
        <w:tab w:val="right" w:pos="8306"/>
      </w:tabs>
      <w:snapToGrid w:val="0"/>
      <w:spacing w:line="240" w:lineRule="exac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active"/>
    <w:basedOn w:val="8"/>
    <w:qFormat/>
    <w:uiPriority w:val="0"/>
    <w:rPr>
      <w:color w:val="333333"/>
    </w:rPr>
  </w:style>
  <w:style w:type="character" w:customStyle="1" w:styleId="13">
    <w:name w:val="calendar-head__next-range-btn"/>
    <w:basedOn w:val="8"/>
    <w:qFormat/>
    <w:uiPriority w:val="0"/>
    <w:rPr>
      <w:vanish/>
    </w:rPr>
  </w:style>
  <w:style w:type="character" w:customStyle="1" w:styleId="14">
    <w:name w:val="calendar-head__next-year-btn"/>
    <w:basedOn w:val="8"/>
    <w:qFormat/>
    <w:uiPriority w:val="0"/>
  </w:style>
  <w:style w:type="character" w:customStyle="1" w:styleId="15">
    <w:name w:val="calendar-head__year-range"/>
    <w:basedOn w:val="8"/>
    <w:qFormat/>
    <w:uiPriority w:val="0"/>
    <w:rPr>
      <w:vanish/>
    </w:rPr>
  </w:style>
  <w:style w:type="character" w:customStyle="1" w:styleId="16">
    <w:name w:val="hover2"/>
    <w:basedOn w:val="8"/>
    <w:qFormat/>
    <w:uiPriority w:val="0"/>
    <w:rPr>
      <w:color w:val="2F6EA2"/>
    </w:rPr>
  </w:style>
  <w:style w:type="character" w:customStyle="1" w:styleId="17">
    <w:name w:val="calendar-head__prev-range-btn"/>
    <w:basedOn w:val="8"/>
    <w:qFormat/>
    <w:uiPriority w:val="0"/>
    <w:rPr>
      <w:vanish/>
    </w:rPr>
  </w:style>
  <w:style w:type="character" w:customStyle="1" w:styleId="18">
    <w:name w:val="calendar-head__next-month-btn"/>
    <w:basedOn w:val="8"/>
    <w:qFormat/>
    <w:uiPriority w:val="0"/>
  </w:style>
  <w:style w:type="character" w:customStyle="1" w:styleId="19">
    <w:name w:val="calendar-head__text-display"/>
    <w:basedOn w:val="8"/>
    <w:qFormat/>
    <w:uiPriority w:val="0"/>
    <w:rPr>
      <w:vanish/>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2021-06-21T03:10:00Z</dcterms:created>
  <dc:creator>Administrator</dc:creator>
  <cp:lastModifiedBy>杨倩怡</cp:lastModifiedBy>
  <dcterms:modified xsi:type="dcterms:W3CDTF">2023-07-14T01:48:31Z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0AABF7F980D145099B209C4A1FEACC5C</vt:lpwstr>
  </property>
</Properties>
</file>