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《渝北区老旧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更新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改造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工程实施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方案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宋体" w:eastAsia="方正黑体_GBK" w:cs="宋体"/>
          <w:b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为</w:t>
      </w:r>
      <w:r>
        <w:rPr>
          <w:rFonts w:hint="eastAsia" w:ascii="方正仿宋_GBK" w:hAnsi="宋体" w:eastAsia="方正仿宋_GBK" w:cs="宋体"/>
          <w:sz w:val="32"/>
          <w:szCs w:val="32"/>
        </w:rPr>
        <w:t>加强城市更新和存量住房改造提升</w:t>
      </w:r>
      <w:r>
        <w:rPr>
          <w:rFonts w:hint="eastAsia" w:ascii="方正仿宋_GBK" w:eastAsia="方正仿宋_GBK"/>
          <w:kern w:val="0"/>
          <w:sz w:val="32"/>
          <w:szCs w:val="32"/>
        </w:rPr>
        <w:t>，结合渝北区实际，区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住房城乡建委</w:t>
      </w:r>
      <w:r>
        <w:rPr>
          <w:rFonts w:hint="eastAsia" w:ascii="方正仿宋_GBK" w:eastAsia="方正仿宋_GBK"/>
          <w:kern w:val="0"/>
          <w:sz w:val="32"/>
          <w:szCs w:val="32"/>
        </w:rPr>
        <w:t>起草了《渝北区老旧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城</w:t>
      </w:r>
      <w:r>
        <w:rPr>
          <w:rFonts w:hint="eastAsia" w:ascii="方正仿宋_GBK" w:eastAsia="方正仿宋_GBK"/>
          <w:kern w:val="0"/>
          <w:sz w:val="32"/>
          <w:szCs w:val="32"/>
        </w:rPr>
        <w:t>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更新</w:t>
      </w:r>
      <w:r>
        <w:rPr>
          <w:rFonts w:hint="eastAsia" w:ascii="方正仿宋_GBK" w:eastAsia="方正仿宋_GBK"/>
          <w:kern w:val="0"/>
          <w:sz w:val="32"/>
          <w:szCs w:val="32"/>
        </w:rPr>
        <w:t>改造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工程实施</w:t>
      </w:r>
      <w:r>
        <w:rPr>
          <w:rFonts w:hint="eastAsia" w:ascii="方正仿宋_GBK" w:eastAsia="方正仿宋_GBK"/>
          <w:kern w:val="0"/>
          <w:sz w:val="32"/>
          <w:szCs w:val="32"/>
        </w:rPr>
        <w:t>方案（征求意见稿）》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（以下简称《方案》）</w:t>
      </w:r>
      <w:r>
        <w:rPr>
          <w:rFonts w:hint="eastAsia" w:ascii="方正仿宋_GBK" w:eastAsia="方正仿宋_GBK"/>
          <w:kern w:val="0"/>
          <w:sz w:val="32"/>
          <w:szCs w:val="32"/>
        </w:rPr>
        <w:t>。现将有关情况说明如下。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宋体" w:eastAsia="方正黑体_GBK" w:cs="宋体"/>
          <w:b w:val="0"/>
          <w:bCs/>
          <w:kern w:val="0"/>
          <w:sz w:val="32"/>
          <w:szCs w:val="32"/>
          <w:lang w:val="zh-CN" w:eastAsia="zh-CN"/>
        </w:rPr>
      </w:pPr>
      <w:r>
        <w:rPr>
          <w:rFonts w:hint="eastAsia" w:ascii="方正黑体_GBK" w:hAnsi="宋体" w:eastAsia="方正黑体_GBK" w:cs="宋体"/>
          <w:b w:val="0"/>
          <w:bCs/>
          <w:kern w:val="0"/>
          <w:sz w:val="32"/>
          <w:szCs w:val="32"/>
          <w:lang w:val="zh-CN" w:eastAsia="zh-CN"/>
        </w:rPr>
        <w:t>一、起草依据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为全面贯彻落实党中央、国务院关于加强城市更新和存量住房改造提升的工作部署和市委、市政府具体要求，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根据重庆市住房和城乡建设委员会关于印发《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重庆市城市更新工作方案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》的通知（渝建人居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〔2020〕18号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）精神，区住房城乡建委按照区委、区政府安排，牵头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制定了本《方案》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宋体" w:eastAsia="方正黑体_GBK" w:cs="宋体"/>
          <w:b w:val="0"/>
          <w:bCs/>
          <w:kern w:val="0"/>
          <w:sz w:val="32"/>
          <w:szCs w:val="32"/>
          <w:lang w:val="zh-CN" w:eastAsia="zh-CN"/>
        </w:rPr>
      </w:pPr>
      <w:r>
        <w:rPr>
          <w:rFonts w:hint="eastAsia" w:ascii="方正黑体_GBK" w:hAnsi="宋体" w:eastAsia="方正黑体_GBK" w:cs="宋体"/>
          <w:b w:val="0"/>
          <w:bCs/>
          <w:kern w:val="0"/>
          <w:sz w:val="32"/>
          <w:szCs w:val="32"/>
          <w:lang w:val="zh-CN" w:eastAsia="zh-CN"/>
        </w:rPr>
        <w:t>文件主要内容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/>
          <w:lang w:val="zh-CN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《方案》主要包含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指导思想、基本原则、</w:t>
      </w:r>
      <w:r>
        <w:rPr>
          <w:rFonts w:hint="eastAsia" w:ascii="方正仿宋_GBK" w:eastAsia="方正仿宋_GBK"/>
          <w:color w:val="000000"/>
          <w:sz w:val="32"/>
          <w:szCs w:val="32"/>
        </w:rPr>
        <w:t>工作目标、主要任务、保障措施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五</w:t>
      </w:r>
      <w:r>
        <w:rPr>
          <w:rFonts w:hint="eastAsia" w:ascii="方正仿宋_GBK" w:eastAsia="方正仿宋_GBK"/>
          <w:color w:val="000000"/>
          <w:sz w:val="32"/>
          <w:szCs w:val="32"/>
        </w:rPr>
        <w:t>个方面内容：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80" w:lineRule="exact"/>
        <w:ind w:firstLine="64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</w:rPr>
        <w:t>（一）指导思想。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以习近平新时代中国特色社会主义思想为指导，全面贯彻党的十九大和十九届二中、三中、四中、五中全会精神，牢固树立新发展理念，坚持以人民为中心的发展思想，按照高质量发展、高品质生活要求，紧紧围绕全区发展大局和“四区定位”，大力推进老旧城区更新改造，加大基础配套设施补短板力度，加快完善社区公共服务功能，促进人居环境和城市品质提升，推动构建“纵向到底、模向到边、共建共治共享”的社区治理体系，为社区居民提供良好的居住环境、完善的公共服务设施和公共活动空间，让人民群众生活更方便、更舒心、更美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</w:pP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</w:rPr>
        <w:t>（二）</w:t>
      </w: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  <w:lang w:eastAsia="zh-CN"/>
        </w:rPr>
        <w:t>基本原则</w:t>
      </w: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坚持以人为本，尊重民意；政府引导，市场运作；多方参与，共治共享；统筹谋划，持续更新；盘活资源，修复生态等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5条原则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</w:pP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</w:rPr>
        <w:t>（三）工作目标。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从2021年起，用五年左右时间，持续推进老旧小区改造、棚户区项目实施及老旧工业片区转型升级等，大力改善老旧城区人居环境，城市品质显著提升。到2023年基本形成老旧城区更新改造的制度框架和工作机制；到“十四五”期末，力争基本完成全区老旧城区更新改造任务，惠及数十万市民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beforeAutospacing="0" w:line="580" w:lineRule="exac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</w:pPr>
      <w:r>
        <w:rPr>
          <w:rFonts w:hint="eastAsia" w:ascii="方正楷体_GBK" w:hAnsi="宋体" w:eastAsia="方正楷体_GBK" w:cs="宋体"/>
          <w:b w:val="0"/>
          <w:bCs w:val="0"/>
          <w:kern w:val="0"/>
          <w:sz w:val="32"/>
          <w:szCs w:val="32"/>
          <w:lang w:eastAsia="zh-CN"/>
        </w:rPr>
        <w:t>（四）主要任务。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一是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老旧小区改造提升。按照“实施一批、谋划一批、储备一批”的原则，立足于连线成片，持续滚动推进老旧小区（片区）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shd w:val="clear" w:fill="FFFFFF"/>
          <w:lang w:val="en-US" w:eastAsia="zh-CN" w:bidi="ar"/>
        </w:rPr>
        <w:t>119个、面积573.3万平方米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的改造提升任务。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 w:eastAsia="zh-CN"/>
        </w:rPr>
        <w:t>其中花卉园片区、双北街片区、渝湖路片区、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龙顺片区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 w:eastAsia="zh-CN"/>
        </w:rPr>
        <w:t>等为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 w:eastAsia="zh-CN"/>
        </w:rPr>
        <w:t>个重点改造项目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二是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有序实施棚户区改造项目。以棚户区改造为重点，从2021年开始，扎实推进全区5年棚改攻坚计划，到2025年完成改造棚户区610户（含续建棚改项目）、21万平方米，消除棚户区居民住房安全隐患，着力改善居住环境和提升城市品质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三是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老旧工业片区转型升级。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分</w:t>
      </w:r>
      <w:r>
        <w:rPr>
          <w:rFonts w:hint="eastAsia" w:ascii="方正仿宋_GBK" w:hAnsi="宋体" w:eastAsia="方正仿宋_GBK" w:cs="宋体"/>
          <w:sz w:val="32"/>
          <w:szCs w:val="32"/>
        </w:rPr>
        <w:t>期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分批对临空现代消费走廊及时装小镇等</w:t>
      </w:r>
      <w:r>
        <w:rPr>
          <w:rFonts w:hint="eastAsia" w:ascii="方正仿宋_GBK" w:hAnsi="宋体" w:eastAsia="方正仿宋_GBK" w:cs="宋体"/>
          <w:sz w:val="32"/>
          <w:szCs w:val="32"/>
        </w:rPr>
        <w:t>升级</w:t>
      </w:r>
      <w:r>
        <w:rPr>
          <w:rFonts w:ascii="方正仿宋_GBK" w:hAnsi="方正仿宋_GBK" w:eastAsia="方正仿宋_GBK"/>
          <w:sz w:val="32"/>
          <w:szCs w:val="32"/>
        </w:rPr>
        <w:t>改造</w:t>
      </w:r>
      <w:r>
        <w:rPr>
          <w:rFonts w:hint="eastAsia" w:ascii="方正仿宋_GBK" w:hAnsi="宋体" w:eastAsia="方正仿宋_GBK" w:cs="宋体"/>
          <w:sz w:val="32"/>
          <w:szCs w:val="32"/>
        </w:rPr>
        <w:t>、停车场等配套建设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，以</w:t>
      </w:r>
      <w:r>
        <w:rPr>
          <w:rFonts w:hint="eastAsia" w:ascii="方正仿宋_GBK" w:hAnsi="宋体" w:eastAsia="方正仿宋_GBK" w:cs="宋体"/>
          <w:sz w:val="32"/>
          <w:szCs w:val="32"/>
        </w:rPr>
        <w:t>及周边环境打造并开街运营。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“十四五”期间新增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集文创设计、服饰博览、产业孵化、时尚生活、休闲娱乐等新业态，全面完成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临空现代消费走廊及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时装小镇整体打造，</w:t>
      </w:r>
      <w:r>
        <w:rPr>
          <w:rFonts w:ascii="方正仿宋_GBK" w:hAnsi="方正仿宋_GBK" w:eastAsia="方正仿宋_GBK"/>
          <w:sz w:val="32"/>
          <w:szCs w:val="32"/>
        </w:rPr>
        <w:t>促进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/>
        </w:rPr>
        <w:t>老旧工业片区</w:t>
      </w:r>
      <w:r>
        <w:rPr>
          <w:rFonts w:ascii="方正仿宋_GBK" w:hAnsi="方正仿宋_GBK" w:eastAsia="方正仿宋_GBK"/>
          <w:sz w:val="32"/>
          <w:szCs w:val="32"/>
        </w:rPr>
        <w:t>产业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转型</w:t>
      </w:r>
      <w:r>
        <w:rPr>
          <w:rFonts w:ascii="方正仿宋_GBK" w:hAnsi="方正仿宋_GBK" w:eastAsia="方正仿宋_GBK"/>
          <w:sz w:val="32"/>
          <w:szCs w:val="32"/>
        </w:rPr>
        <w:t>升级</w:t>
      </w:r>
      <w:r>
        <w:rPr>
          <w:rFonts w:hint="eastAsia" w:ascii="方正仿宋_GBK" w:eastAsia="方正仿宋_GBK"/>
          <w:sz w:val="32"/>
          <w:szCs w:val="32"/>
          <w:lang w:eastAsia="zh-CN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优化</w:t>
      </w:r>
      <w:r>
        <w:rPr>
          <w:rFonts w:hint="eastAsia" w:ascii="方正仿宋_GBK" w:eastAsia="方正仿宋_GBK"/>
          <w:sz w:val="32"/>
          <w:szCs w:val="32"/>
        </w:rPr>
        <w:t>生态环境修复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-SA"/>
        </w:rPr>
        <w:t>（五）保障措施。一是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组织保障。成立老旧城区更新改造工程实施领导小组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由张问伦副区长任组长，马成全副区长任副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组长，18个区级部门和单位主要负责人为成员。领导小组下设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办公室在区住房城乡建委，办公室主任由区住房城乡建委主任兼任。明确区级职能部门和城区街道工作职责和任务分工，健全工作机制，实行挂牌督办制度。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zh-CN" w:eastAsia="zh-CN" w:bidi="ar-SA"/>
        </w:rPr>
        <w:t>二是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项目统筹。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构建渝北区老旧城区更新改造项目储备库，完善配套城市片区功能和市政基础设施，形成整体连片的城区更新改造格局。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zh-CN" w:eastAsia="zh-CN" w:bidi="ar-SA"/>
        </w:rPr>
        <w:t>三是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资金保障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。健全“统一计划安排、统筹资金平衡、分头推进落实”的保障机制，积极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争取中央财政专项资金支持。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区财政每年从土地出让金总额中按一定比例提取资金，建立全区老旧小区改造专项基金。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以市场为主导，拓宽投资渠道，创新融资方式，鼓励引导政府和金融机构及社会资本参与老旧城区更新改造，探索贷款投放和担保新模式，优先保障符合条件的更新改造项目资金需求，切实解决资金缺口问题。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宣传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zh-CN" w:eastAsia="zh-CN" w:bidi="ar-SA"/>
        </w:rPr>
        <w:t>考核。要将老旧城区更新改造作为重要内容纳入对区级有关部门、有关镇街、相关国有公司严格考核；加大政策宣传力度，浓厚良好氛围，形成市民广泛参与、支持老旧城区更新改造的生动局面。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5A1C7"/>
    <w:multiLevelType w:val="singleLevel"/>
    <w:tmpl w:val="D5D5A1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73C8"/>
    <w:rsid w:val="000273C8"/>
    <w:rsid w:val="00141F02"/>
    <w:rsid w:val="00763E53"/>
    <w:rsid w:val="00F454BF"/>
    <w:rsid w:val="01437CF9"/>
    <w:rsid w:val="01534228"/>
    <w:rsid w:val="018F40C2"/>
    <w:rsid w:val="026003FF"/>
    <w:rsid w:val="02CA3D97"/>
    <w:rsid w:val="02D16120"/>
    <w:rsid w:val="03B55C9D"/>
    <w:rsid w:val="05AC45A3"/>
    <w:rsid w:val="087A4D08"/>
    <w:rsid w:val="08BD359A"/>
    <w:rsid w:val="092977D4"/>
    <w:rsid w:val="09E153A7"/>
    <w:rsid w:val="0AA94F36"/>
    <w:rsid w:val="0C4639EC"/>
    <w:rsid w:val="0D0849F4"/>
    <w:rsid w:val="0D7F3669"/>
    <w:rsid w:val="0DF515B1"/>
    <w:rsid w:val="0E4B3351"/>
    <w:rsid w:val="0EC33946"/>
    <w:rsid w:val="0F8B628E"/>
    <w:rsid w:val="10915FAD"/>
    <w:rsid w:val="10DF755A"/>
    <w:rsid w:val="12CD3CC0"/>
    <w:rsid w:val="13A96EF6"/>
    <w:rsid w:val="13E443CC"/>
    <w:rsid w:val="1497479B"/>
    <w:rsid w:val="14C92B6D"/>
    <w:rsid w:val="159A136D"/>
    <w:rsid w:val="164A36B7"/>
    <w:rsid w:val="18B00412"/>
    <w:rsid w:val="1A5B56F8"/>
    <w:rsid w:val="1A7E59BF"/>
    <w:rsid w:val="1A99773C"/>
    <w:rsid w:val="1C42210B"/>
    <w:rsid w:val="1C980744"/>
    <w:rsid w:val="1DC70436"/>
    <w:rsid w:val="1F992441"/>
    <w:rsid w:val="20877454"/>
    <w:rsid w:val="210A27BB"/>
    <w:rsid w:val="22066A47"/>
    <w:rsid w:val="23026928"/>
    <w:rsid w:val="24A82BE4"/>
    <w:rsid w:val="26171092"/>
    <w:rsid w:val="263E487A"/>
    <w:rsid w:val="287E0379"/>
    <w:rsid w:val="29343B39"/>
    <w:rsid w:val="29D97AA6"/>
    <w:rsid w:val="2B6010F1"/>
    <w:rsid w:val="2C8F7E6D"/>
    <w:rsid w:val="2DCC6DC4"/>
    <w:rsid w:val="2F6D7D39"/>
    <w:rsid w:val="2F9A05A2"/>
    <w:rsid w:val="34175B0B"/>
    <w:rsid w:val="34CC0FFA"/>
    <w:rsid w:val="36DC16DA"/>
    <w:rsid w:val="37AD1FE0"/>
    <w:rsid w:val="38551ED3"/>
    <w:rsid w:val="3921673E"/>
    <w:rsid w:val="39D54CD2"/>
    <w:rsid w:val="3BF24CC5"/>
    <w:rsid w:val="3C310A8B"/>
    <w:rsid w:val="3D4D461F"/>
    <w:rsid w:val="467A6444"/>
    <w:rsid w:val="46A55866"/>
    <w:rsid w:val="46F24B63"/>
    <w:rsid w:val="471D0452"/>
    <w:rsid w:val="47D053C7"/>
    <w:rsid w:val="48F04479"/>
    <w:rsid w:val="49FC094C"/>
    <w:rsid w:val="4C2C546D"/>
    <w:rsid w:val="4EB37A2C"/>
    <w:rsid w:val="504931D1"/>
    <w:rsid w:val="50CF1FCB"/>
    <w:rsid w:val="52C111AF"/>
    <w:rsid w:val="534209B9"/>
    <w:rsid w:val="535A02E9"/>
    <w:rsid w:val="542B0A90"/>
    <w:rsid w:val="542D4B33"/>
    <w:rsid w:val="557E1C8A"/>
    <w:rsid w:val="57E03BD4"/>
    <w:rsid w:val="58E700D5"/>
    <w:rsid w:val="593823AC"/>
    <w:rsid w:val="5A5B4CA4"/>
    <w:rsid w:val="5A5C11C5"/>
    <w:rsid w:val="5A8F353F"/>
    <w:rsid w:val="5B1A6901"/>
    <w:rsid w:val="5C190A52"/>
    <w:rsid w:val="5C4E3B74"/>
    <w:rsid w:val="5F947CC7"/>
    <w:rsid w:val="5FA30699"/>
    <w:rsid w:val="608022F9"/>
    <w:rsid w:val="629E377A"/>
    <w:rsid w:val="67F04362"/>
    <w:rsid w:val="6BD63AC6"/>
    <w:rsid w:val="6F0A7EEB"/>
    <w:rsid w:val="733951B3"/>
    <w:rsid w:val="75C861B5"/>
    <w:rsid w:val="75F228E8"/>
    <w:rsid w:val="76DA5479"/>
    <w:rsid w:val="782368C1"/>
    <w:rsid w:val="78F67068"/>
    <w:rsid w:val="791926D6"/>
    <w:rsid w:val="7AA05E7F"/>
    <w:rsid w:val="7B9D5554"/>
    <w:rsid w:val="7C0538A9"/>
    <w:rsid w:val="7DAA76B6"/>
    <w:rsid w:val="7EF76C6B"/>
    <w:rsid w:val="7FC17ACF"/>
    <w:rsid w:val="7FC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0"/>
    <w:pPr>
      <w:spacing w:before="100" w:beforeAutospacing="1"/>
      <w:ind w:firstLine="420" w:firstLineChars="200"/>
    </w:pPr>
    <w:rPr>
      <w:szCs w:val="21"/>
    </w:rPr>
  </w:style>
  <w:style w:type="character" w:customStyle="1" w:styleId="11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2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4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91"/>
    <w:basedOn w:val="8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1208</Words>
  <Characters>6890</Characters>
  <Lines>57</Lines>
  <Paragraphs>16</Paragraphs>
  <TotalTime>1</TotalTime>
  <ScaleCrop>false</ScaleCrop>
  <LinksUpToDate>false</LinksUpToDate>
  <CharactersWithSpaces>8082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2021-04-14T06:32:00Z</dcterms:created>
  <dc:creator>Microsoft</dc:creator>
  <cp:lastModifiedBy>Administrator</cp:lastModifiedBy>
  <cp:lastPrinted>2021-05-20T04:27:00Z</cp:lastPrinted>
  <dcterms:modified xsi:type="dcterms:W3CDTF">2021-09-18T01:13:09Z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54E035D9322443BC9B77D1FA8D9850B1</vt:lpwstr>
  </property>
</Properties>
</file>