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2：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《渝北区老旧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  <w:t>城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  <w:t>更新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改造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/>
        </w:rPr>
        <w:t>工程实施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方案</w:t>
      </w: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（征求意见稿）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》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  <w:t>的起草说明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40" w:firstLineChars="200"/>
        <w:textAlignment w:val="auto"/>
        <w:rPr>
          <w:rFonts w:hint="eastAsia" w:ascii="方正仿宋_GBK"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40" w:firstLineChars="200"/>
        <w:textAlignment w:val="auto"/>
        <w:rPr>
          <w:rFonts w:hint="eastAsia" w:ascii="方正黑体_GBK" w:hAnsi="宋体" w:eastAsia="方正黑体_GBK" w:cs="宋体"/>
          <w:b/>
          <w:bCs w:val="0"/>
          <w:kern w:val="0"/>
          <w:sz w:val="32"/>
          <w:szCs w:val="32"/>
          <w:lang w:val="zh-CN" w:eastAsia="zh-CN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为</w:t>
      </w:r>
      <w:r>
        <w:rPr>
          <w:rFonts w:hint="eastAsia" w:ascii="方正仿宋_GBK" w:hAnsi="宋体" w:eastAsia="方正仿宋_GBK" w:cs="宋体"/>
          <w:sz w:val="32"/>
          <w:szCs w:val="32"/>
        </w:rPr>
        <w:t>加强城市更新和存量住房改造提升</w:t>
      </w:r>
      <w:r>
        <w:rPr>
          <w:rFonts w:hint="eastAsia" w:ascii="方正仿宋_GBK" w:eastAsia="方正仿宋_GBK"/>
          <w:kern w:val="0"/>
          <w:sz w:val="32"/>
          <w:szCs w:val="32"/>
        </w:rPr>
        <w:t>，结合渝北区实际，区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住房城乡建委</w:t>
      </w:r>
      <w:r>
        <w:rPr>
          <w:rFonts w:hint="eastAsia" w:ascii="方正仿宋_GBK" w:eastAsia="方正仿宋_GBK"/>
          <w:kern w:val="0"/>
          <w:sz w:val="32"/>
          <w:szCs w:val="32"/>
        </w:rPr>
        <w:t>起草了《渝北区老旧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城</w:t>
      </w:r>
      <w:r>
        <w:rPr>
          <w:rFonts w:hint="eastAsia" w:ascii="方正仿宋_GBK" w:eastAsia="方正仿宋_GBK"/>
          <w:kern w:val="0"/>
          <w:sz w:val="32"/>
          <w:szCs w:val="32"/>
        </w:rPr>
        <w:t>区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更新</w:t>
      </w:r>
      <w:r>
        <w:rPr>
          <w:rFonts w:hint="eastAsia" w:ascii="方正仿宋_GBK" w:eastAsia="方正仿宋_GBK"/>
          <w:kern w:val="0"/>
          <w:sz w:val="32"/>
          <w:szCs w:val="32"/>
        </w:rPr>
        <w:t>改造</w:t>
      </w: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工程实施</w:t>
      </w:r>
      <w:r>
        <w:rPr>
          <w:rFonts w:hint="eastAsia" w:ascii="方正仿宋_GBK" w:eastAsia="方正仿宋_GBK"/>
          <w:kern w:val="0"/>
          <w:sz w:val="32"/>
          <w:szCs w:val="32"/>
        </w:rPr>
        <w:t>方案（征求意见稿）》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（以下简称《方案》）</w:t>
      </w:r>
      <w:r>
        <w:rPr>
          <w:rFonts w:hint="eastAsia" w:ascii="方正仿宋_GBK" w:eastAsia="方正仿宋_GBK"/>
          <w:kern w:val="0"/>
          <w:sz w:val="32"/>
          <w:szCs w:val="32"/>
        </w:rPr>
        <w:t>。现将有关情况说明如下。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40" w:firstLineChars="200"/>
        <w:textAlignment w:val="auto"/>
        <w:rPr>
          <w:rFonts w:hint="eastAsia" w:ascii="方正黑体_GBK" w:hAnsi="宋体" w:eastAsia="方正黑体_GBK" w:cs="宋体"/>
          <w:b w:val="0"/>
          <w:bCs/>
          <w:kern w:val="0"/>
          <w:sz w:val="32"/>
          <w:szCs w:val="32"/>
          <w:lang w:val="zh-CN" w:eastAsia="zh-CN"/>
        </w:rPr>
      </w:pPr>
      <w:r>
        <w:rPr>
          <w:rFonts w:hint="eastAsia" w:ascii="方正黑体_GBK" w:hAnsi="宋体" w:eastAsia="方正黑体_GBK" w:cs="宋体"/>
          <w:b w:val="0"/>
          <w:bCs/>
          <w:kern w:val="0"/>
          <w:sz w:val="32"/>
          <w:szCs w:val="32"/>
          <w:lang w:val="zh-CN" w:eastAsia="zh-CN"/>
        </w:rPr>
        <w:t>一、起草依据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40" w:firstLineChars="200"/>
        <w:textAlignment w:val="auto"/>
        <w:rPr>
          <w:rFonts w:hint="eastAsia" w:ascii="方正仿宋_GBK" w:hAnsi="宋体" w:eastAsia="方正仿宋_GBK" w:cs="宋体"/>
          <w:kern w:val="0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  <w:lang w:val="zh-CN" w:eastAsia="zh-CN"/>
        </w:rPr>
        <w:t>为全面贯彻落实党中央、国务院关于加强城市更新和存量住房改造提升的工作部署和市委、市政府具体要求，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eastAsia="zh-CN"/>
        </w:rPr>
        <w:t>根据重庆市住房和城乡建设委员会关于印发《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zh-CN" w:eastAsia="zh-CN"/>
        </w:rPr>
        <w:t>重庆市城市更新工作方案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eastAsia="zh-CN"/>
        </w:rPr>
        <w:t>》的通知（渝建人居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〔2020〕18号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eastAsia="zh-CN"/>
        </w:rPr>
        <w:t>）精神，区住房城乡建委按照区委、区政府安排，牵头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zh-CN" w:eastAsia="zh-CN"/>
        </w:rPr>
        <w:t>制定了本《方案》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40" w:firstLineChars="200"/>
        <w:textAlignment w:val="auto"/>
        <w:rPr>
          <w:rFonts w:hint="eastAsia" w:ascii="方正黑体_GBK" w:hAnsi="宋体" w:eastAsia="方正黑体_GBK" w:cs="宋体"/>
          <w:b w:val="0"/>
          <w:bCs/>
          <w:kern w:val="0"/>
          <w:sz w:val="32"/>
          <w:szCs w:val="32"/>
          <w:lang w:val="zh-CN" w:eastAsia="zh-CN"/>
        </w:rPr>
      </w:pPr>
      <w:r>
        <w:rPr>
          <w:rFonts w:hint="eastAsia" w:ascii="方正黑体_GBK" w:hAnsi="宋体" w:eastAsia="方正黑体_GBK" w:cs="宋体"/>
          <w:b w:val="0"/>
          <w:bCs/>
          <w:kern w:val="0"/>
          <w:sz w:val="32"/>
          <w:szCs w:val="32"/>
          <w:lang w:val="zh-CN" w:eastAsia="zh-CN"/>
        </w:rPr>
        <w:t>文件主要内容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/>
          <w:lang w:val="zh-CN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《方案》主要包含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指导思想、基本原则、</w:t>
      </w:r>
      <w:r>
        <w:rPr>
          <w:rFonts w:hint="eastAsia" w:ascii="方正仿宋_GBK" w:eastAsia="方正仿宋_GBK"/>
          <w:color w:val="000000"/>
          <w:sz w:val="32"/>
          <w:szCs w:val="32"/>
        </w:rPr>
        <w:t>工作目标、主要任务、保障措施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五</w:t>
      </w:r>
      <w:r>
        <w:rPr>
          <w:rFonts w:hint="eastAsia" w:ascii="方正仿宋_GBK" w:eastAsia="方正仿宋_GBK"/>
          <w:color w:val="000000"/>
          <w:sz w:val="32"/>
          <w:szCs w:val="32"/>
        </w:rPr>
        <w:t>个方面内容：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80" w:lineRule="exact"/>
        <w:ind w:firstLine="640"/>
        <w:textAlignment w:val="auto"/>
        <w:rPr>
          <w:rFonts w:hint="eastAsia" w:ascii="方正仿宋_GBK" w:hAnsi="宋体" w:eastAsia="方正仿宋_GBK" w:cs="宋体"/>
          <w:kern w:val="0"/>
          <w:sz w:val="32"/>
          <w:szCs w:val="32"/>
          <w:lang w:val="zh-CN" w:eastAsia="zh-CN" w:bidi="ar-SA"/>
        </w:rPr>
      </w:pPr>
      <w:r>
        <w:rPr>
          <w:rFonts w:hint="eastAsia" w:ascii="方正楷体_GBK" w:hAnsi="宋体" w:eastAsia="方正楷体_GBK" w:cs="宋体"/>
          <w:b w:val="0"/>
          <w:bCs w:val="0"/>
          <w:kern w:val="0"/>
          <w:sz w:val="32"/>
          <w:szCs w:val="32"/>
        </w:rPr>
        <w:t>（一）指导思想。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zh-CN" w:eastAsia="zh-CN" w:bidi="ar-SA"/>
        </w:rPr>
        <w:t>以习近平新时代中国特色社会主义思想为指导，全面贯彻党的十九大和十九届二中、三中、四中、五中全会精神，牢固树立新发展理念，坚持以人民为中心的发展思想，按照高质量发展、高品质生活要求，紧紧围绕全区发展大局和“四区定位”，大力推进老旧城区更新改造，加大基础配套设施补短板力度，加快完善社区公共服务功能，促进人居环境和城市品质提升，推动构建“纵向到底、模向到边、共建共治共享”的社区治理体系，为社区居民提供良好的居住环境、完善的公共服务设施和公共活动空间，让人民群众生活更方便、更舒心、更美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40" w:firstLineChars="200"/>
        <w:textAlignment w:val="auto"/>
        <w:rPr>
          <w:rFonts w:hint="eastAsia" w:ascii="方正仿宋_GBK" w:hAnsi="宋体" w:eastAsia="方正仿宋_GBK" w:cs="宋体"/>
          <w:kern w:val="0"/>
          <w:sz w:val="32"/>
          <w:szCs w:val="32"/>
          <w:lang w:val="zh-CN" w:eastAsia="zh-CN"/>
        </w:rPr>
      </w:pPr>
      <w:r>
        <w:rPr>
          <w:rFonts w:hint="eastAsia" w:ascii="方正楷体_GBK" w:hAnsi="宋体" w:eastAsia="方正楷体_GBK" w:cs="宋体"/>
          <w:b w:val="0"/>
          <w:bCs w:val="0"/>
          <w:kern w:val="0"/>
          <w:sz w:val="32"/>
          <w:szCs w:val="32"/>
        </w:rPr>
        <w:t>（二）</w:t>
      </w:r>
      <w:r>
        <w:rPr>
          <w:rFonts w:hint="eastAsia" w:ascii="方正楷体_GBK" w:hAnsi="宋体" w:eastAsia="方正楷体_GBK" w:cs="宋体"/>
          <w:b w:val="0"/>
          <w:bCs w:val="0"/>
          <w:kern w:val="0"/>
          <w:sz w:val="32"/>
          <w:szCs w:val="32"/>
          <w:lang w:eastAsia="zh-CN"/>
        </w:rPr>
        <w:t>基本原则</w:t>
      </w:r>
      <w:r>
        <w:rPr>
          <w:rFonts w:hint="eastAsia" w:ascii="方正楷体_GBK" w:hAnsi="宋体" w:eastAsia="方正楷体_GBK" w:cs="宋体"/>
          <w:b w:val="0"/>
          <w:bCs w:val="0"/>
          <w:kern w:val="0"/>
          <w:sz w:val="32"/>
          <w:szCs w:val="32"/>
        </w:rPr>
        <w:t>。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zh-CN" w:eastAsia="zh-CN"/>
        </w:rPr>
        <w:t>坚持以人为本，尊重民意；政府引导，市场运作；多方参与，共治共享；统筹谋划，持续更新；盘活资源，修复生态等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en-US" w:eastAsia="zh-CN"/>
        </w:rPr>
        <w:t>5条原则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zh-CN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40" w:firstLineChars="200"/>
        <w:textAlignment w:val="auto"/>
        <w:rPr>
          <w:rFonts w:hint="eastAsia" w:ascii="方正仿宋_GBK" w:hAnsi="宋体" w:eastAsia="方正仿宋_GBK" w:cs="宋体"/>
          <w:kern w:val="0"/>
          <w:sz w:val="32"/>
          <w:szCs w:val="32"/>
          <w:lang w:val="zh-CN" w:eastAsia="zh-CN"/>
        </w:rPr>
      </w:pPr>
      <w:r>
        <w:rPr>
          <w:rFonts w:hint="eastAsia" w:ascii="方正楷体_GBK" w:hAnsi="宋体" w:eastAsia="方正楷体_GBK" w:cs="宋体"/>
          <w:b w:val="0"/>
          <w:bCs w:val="0"/>
          <w:kern w:val="0"/>
          <w:sz w:val="32"/>
          <w:szCs w:val="32"/>
        </w:rPr>
        <w:t>（三）工作目标。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zh-CN" w:eastAsia="zh-CN"/>
        </w:rPr>
        <w:t>从2021年起，用五年左右时间，持续推进老旧小区改造、棚户区项目实施及老旧工业片区转型升级等，大力改善老旧城区人居环境，城市品质显著提升。到2023年基本形成老旧城区更新改造的制度框架和工作机制；到“十四五”期末，力争基本完成全区老旧城区更新改造任务，惠及数十万市民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="0" w:beforeAutospacing="0" w:line="580" w:lineRule="exact"/>
        <w:textAlignment w:val="auto"/>
        <w:rPr>
          <w:rFonts w:hint="eastAsia" w:ascii="方正仿宋_GBK" w:hAnsi="宋体" w:eastAsia="方正仿宋_GBK" w:cs="宋体"/>
          <w:kern w:val="0"/>
          <w:sz w:val="32"/>
          <w:szCs w:val="32"/>
          <w:lang w:val="zh-CN" w:eastAsia="zh-CN"/>
        </w:rPr>
      </w:pPr>
      <w:r>
        <w:rPr>
          <w:rFonts w:hint="eastAsia" w:ascii="方正楷体_GBK" w:hAnsi="宋体" w:eastAsia="方正楷体_GBK" w:cs="宋体"/>
          <w:b w:val="0"/>
          <w:bCs w:val="0"/>
          <w:kern w:val="0"/>
          <w:sz w:val="32"/>
          <w:szCs w:val="32"/>
          <w:lang w:eastAsia="zh-CN"/>
        </w:rPr>
        <w:t>（四）主要任务。</w:t>
      </w:r>
      <w:r>
        <w:rPr>
          <w:rFonts w:hint="eastAsia" w:ascii="方正楷体_GBK" w:hAnsi="方正楷体_GBK" w:eastAsia="方正楷体_GBK" w:cs="方正楷体_GBK"/>
          <w:b w:val="0"/>
          <w:bCs w:val="0"/>
          <w:kern w:val="0"/>
          <w:sz w:val="32"/>
          <w:szCs w:val="32"/>
          <w:lang w:eastAsia="zh-CN"/>
        </w:rPr>
        <w:t>一是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zh-CN" w:eastAsia="zh-CN"/>
        </w:rPr>
        <w:t>老旧小区改造提升。按照“实施一批、谋划一批、储备一批”的原则，立足于连线成片，持续滚动推进老旧小区（片区）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shd w:val="clear" w:fill="FFFFFF"/>
          <w:lang w:val="en-US" w:eastAsia="zh-CN" w:bidi="ar"/>
        </w:rPr>
        <w:t>119个、面积573.3万平方米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zh-CN" w:eastAsia="zh-CN"/>
        </w:rPr>
        <w:t>的改造提升任务。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val="zh-CN" w:eastAsia="zh-CN"/>
        </w:rPr>
        <w:t>其中花卉园片区、双北街片区、渝湖路片区、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val="en-US" w:eastAsia="zh-CN"/>
        </w:rPr>
        <w:t>龙顺片区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val="zh-CN" w:eastAsia="zh-CN"/>
        </w:rPr>
        <w:t>等为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val="en-US" w:eastAsia="zh-CN"/>
        </w:rPr>
        <w:t>13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val="zh-CN" w:eastAsia="zh-CN"/>
        </w:rPr>
        <w:t>个重点改造项目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zh-CN" w:eastAsia="zh-CN"/>
        </w:rPr>
        <w:t>。</w:t>
      </w:r>
      <w:r>
        <w:rPr>
          <w:rFonts w:hint="eastAsia" w:ascii="方正楷体_GBK" w:hAnsi="方正楷体_GBK" w:eastAsia="方正楷体_GBK" w:cs="方正楷体_GBK"/>
          <w:b w:val="0"/>
          <w:bCs w:val="0"/>
          <w:kern w:val="0"/>
          <w:sz w:val="32"/>
          <w:szCs w:val="32"/>
          <w:lang w:eastAsia="zh-CN"/>
        </w:rPr>
        <w:t>二是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zh-CN" w:eastAsia="zh-CN"/>
        </w:rPr>
        <w:t>有序实施棚户区改造项目。以棚户区改造为重点，从2021年开始，扎实推进全区5年棚改攻坚计划，到2025年完成改造棚户区610户（含续建棚改项目）、21万平方米，消除棚户区居民住房安全隐患，着力改善居住环境和提升城市品质。</w:t>
      </w:r>
      <w:r>
        <w:rPr>
          <w:rFonts w:hint="eastAsia" w:ascii="方正楷体_GBK" w:hAnsi="方正楷体_GBK" w:eastAsia="方正楷体_GBK" w:cs="方正楷体_GBK"/>
          <w:b w:val="0"/>
          <w:bCs w:val="0"/>
          <w:kern w:val="0"/>
          <w:sz w:val="32"/>
          <w:szCs w:val="32"/>
          <w:lang w:eastAsia="zh-CN"/>
        </w:rPr>
        <w:t>三是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zh-CN" w:eastAsia="zh-CN"/>
        </w:rPr>
        <w:t>老旧工业片区转型升级。</w:t>
      </w: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分</w:t>
      </w:r>
      <w:r>
        <w:rPr>
          <w:rFonts w:hint="eastAsia" w:ascii="方正仿宋_GBK" w:hAnsi="宋体" w:eastAsia="方正仿宋_GBK" w:cs="宋体"/>
          <w:sz w:val="32"/>
          <w:szCs w:val="32"/>
        </w:rPr>
        <w:t>期</w:t>
      </w: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分批对临空现代消费走廊及时装小镇等</w:t>
      </w:r>
      <w:r>
        <w:rPr>
          <w:rFonts w:hint="eastAsia" w:ascii="方正仿宋_GBK" w:hAnsi="宋体" w:eastAsia="方正仿宋_GBK" w:cs="宋体"/>
          <w:sz w:val="32"/>
          <w:szCs w:val="32"/>
        </w:rPr>
        <w:t>升级</w:t>
      </w:r>
      <w:r>
        <w:rPr>
          <w:rFonts w:ascii="方正仿宋_GBK" w:hAnsi="方正仿宋_GBK" w:eastAsia="方正仿宋_GBK"/>
          <w:sz w:val="32"/>
          <w:szCs w:val="32"/>
        </w:rPr>
        <w:t>改造</w:t>
      </w:r>
      <w:r>
        <w:rPr>
          <w:rFonts w:hint="eastAsia" w:ascii="方正仿宋_GBK" w:hAnsi="宋体" w:eastAsia="方正仿宋_GBK" w:cs="宋体"/>
          <w:sz w:val="32"/>
          <w:szCs w:val="32"/>
        </w:rPr>
        <w:t>、停车场等配套建设</w:t>
      </w: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，以</w:t>
      </w:r>
      <w:r>
        <w:rPr>
          <w:rFonts w:hint="eastAsia" w:ascii="方正仿宋_GBK" w:hAnsi="宋体" w:eastAsia="方正仿宋_GBK" w:cs="宋体"/>
          <w:sz w:val="32"/>
          <w:szCs w:val="32"/>
        </w:rPr>
        <w:t>及周边环境打造并开街运营。</w:t>
      </w: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“十四五”期间新增</w:t>
      </w:r>
      <w:r>
        <w:rPr>
          <w:rFonts w:hint="eastAsia" w:ascii="方正仿宋_GBK" w:hAnsi="宋体" w:eastAsia="方正仿宋_GBK" w:cs="宋体"/>
          <w:sz w:val="32"/>
          <w:szCs w:val="32"/>
          <w:lang w:val="en-US" w:eastAsia="zh-CN"/>
        </w:rPr>
        <w:t>集文创设计、服饰博览、产业孵化、时尚生活、休闲娱乐等新业态，全面完成</w:t>
      </w: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临空现代消费走廊及</w:t>
      </w:r>
      <w:r>
        <w:rPr>
          <w:rFonts w:hint="eastAsia" w:ascii="方正仿宋_GBK" w:hAnsi="宋体" w:eastAsia="方正仿宋_GBK" w:cs="宋体"/>
          <w:sz w:val="32"/>
          <w:szCs w:val="32"/>
          <w:lang w:val="en-US" w:eastAsia="zh-CN"/>
        </w:rPr>
        <w:t>时装小镇整体打造，</w:t>
      </w:r>
      <w:r>
        <w:rPr>
          <w:rFonts w:ascii="方正仿宋_GBK" w:hAnsi="方正仿宋_GBK" w:eastAsia="方正仿宋_GBK"/>
          <w:sz w:val="32"/>
          <w:szCs w:val="32"/>
        </w:rPr>
        <w:t>促进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zh-CN" w:eastAsia="zh-CN"/>
        </w:rPr>
        <w:t>老旧工业片区</w:t>
      </w:r>
      <w:r>
        <w:rPr>
          <w:rFonts w:ascii="方正仿宋_GBK" w:hAnsi="方正仿宋_GBK" w:eastAsia="方正仿宋_GBK"/>
          <w:sz w:val="32"/>
          <w:szCs w:val="32"/>
        </w:rPr>
        <w:t>产业</w:t>
      </w:r>
      <w:r>
        <w:rPr>
          <w:rFonts w:hint="eastAsia" w:ascii="方正仿宋_GBK" w:hAnsi="方正仿宋_GBK" w:eastAsia="方正仿宋_GBK"/>
          <w:sz w:val="32"/>
          <w:szCs w:val="32"/>
          <w:lang w:eastAsia="zh-CN"/>
        </w:rPr>
        <w:t>转型</w:t>
      </w:r>
      <w:r>
        <w:rPr>
          <w:rFonts w:ascii="方正仿宋_GBK" w:hAnsi="方正仿宋_GBK" w:eastAsia="方正仿宋_GBK"/>
          <w:sz w:val="32"/>
          <w:szCs w:val="32"/>
        </w:rPr>
        <w:t>升级</w:t>
      </w:r>
      <w:r>
        <w:rPr>
          <w:rFonts w:hint="eastAsia" w:ascii="方正仿宋_GBK" w:eastAsia="方正仿宋_GBK"/>
          <w:sz w:val="32"/>
          <w:szCs w:val="32"/>
          <w:lang w:eastAsia="zh-CN"/>
        </w:rPr>
        <w:t>和</w:t>
      </w:r>
      <w:r>
        <w:rPr>
          <w:rFonts w:ascii="方正仿宋_GBK" w:hAnsi="方正仿宋_GBK" w:eastAsia="方正仿宋_GBK"/>
          <w:sz w:val="32"/>
          <w:szCs w:val="32"/>
        </w:rPr>
        <w:t>优化</w:t>
      </w:r>
      <w:r>
        <w:rPr>
          <w:rFonts w:hint="eastAsia" w:ascii="方正仿宋_GBK" w:eastAsia="方正仿宋_GBK"/>
          <w:sz w:val="32"/>
          <w:szCs w:val="32"/>
        </w:rPr>
        <w:t>生态环境修复</w:t>
      </w:r>
      <w:r>
        <w:rPr>
          <w:rFonts w:hint="eastAsia" w:ascii="方正仿宋_GBK" w:hAnsi="方正仿宋_GBK" w:eastAsia="方正仿宋_GBK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right="0" w:rightChars="0"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0"/>
          <w:sz w:val="32"/>
          <w:szCs w:val="32"/>
          <w:lang w:val="en-US" w:eastAsia="zh-CN" w:bidi="ar-SA"/>
        </w:rPr>
        <w:t>（五）保障措施。一是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en-US" w:eastAsia="zh-CN" w:bidi="ar-SA"/>
        </w:rPr>
        <w:t>组织保障。成立老旧城区更新改造工程实施领导小组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zh-CN" w:eastAsia="zh-CN" w:bidi="ar-SA"/>
        </w:rPr>
        <w:t>由张问伦副区长任组长，马成全副区长任副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en-US" w:eastAsia="zh-CN" w:bidi="ar-SA"/>
        </w:rPr>
        <w:t>组长，18个区级部门和单位主要负责人为成员。领导小组下设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zh-CN" w:eastAsia="zh-CN" w:bidi="ar-SA"/>
        </w:rPr>
        <w:t>办公室在区住房城乡建委，办公室主任由区住房城乡建委主任兼任。明确区级职能部门和城区街道工作职责和任务分工，健全工作机制，实行挂牌督办制度。</w:t>
      </w:r>
      <w:r>
        <w:rPr>
          <w:rFonts w:hint="eastAsia" w:ascii="方正楷体_GBK" w:hAnsi="方正楷体_GBK" w:eastAsia="方正楷体_GBK" w:cs="方正楷体_GBK"/>
          <w:b w:val="0"/>
          <w:bCs w:val="0"/>
          <w:kern w:val="0"/>
          <w:sz w:val="32"/>
          <w:szCs w:val="32"/>
          <w:lang w:val="zh-CN" w:eastAsia="zh-CN" w:bidi="ar-SA"/>
        </w:rPr>
        <w:t>二是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zh-CN" w:eastAsia="zh-CN" w:bidi="ar-SA"/>
        </w:rPr>
        <w:t>项目统筹。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en-US" w:eastAsia="zh-CN" w:bidi="ar-SA"/>
        </w:rPr>
        <w:t>构建渝北区老旧城区更新改造项目储备库，完善配套城市片区功能和市政基础设施，形成整体连片的城区更新改造格局。</w:t>
      </w:r>
      <w:r>
        <w:rPr>
          <w:rFonts w:hint="eastAsia" w:ascii="方正楷体_GBK" w:hAnsi="方正楷体_GBK" w:eastAsia="方正楷体_GBK" w:cs="方正楷体_GBK"/>
          <w:b w:val="0"/>
          <w:bCs w:val="0"/>
          <w:kern w:val="0"/>
          <w:sz w:val="32"/>
          <w:szCs w:val="32"/>
          <w:lang w:val="zh-CN" w:eastAsia="zh-CN" w:bidi="ar-SA"/>
        </w:rPr>
        <w:t>三是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zh-CN" w:eastAsia="zh-CN" w:bidi="ar-SA"/>
        </w:rPr>
        <w:t>资金保障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en-US" w:eastAsia="zh-CN" w:bidi="ar-SA"/>
        </w:rPr>
        <w:t>。健全“统一计划安排、统筹资金平衡、分头推进落实”的保障机制，积极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zh-CN" w:eastAsia="zh-CN" w:bidi="ar-SA"/>
        </w:rPr>
        <w:t>争取中央财政专项资金支持。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区财政每年从土地出让金总额中按一定比例提取资金，建立全区老旧小区改造专项基金。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zh-CN" w:eastAsia="zh-CN" w:bidi="ar-SA"/>
        </w:rPr>
        <w:t>以市场为主导，拓宽投资渠道，创新融资方式，鼓励引导政府和金融机构及社会资本参与老旧城区更新改造，探索贷款投放和担保新模式，优先保障符合条件的更新改造项目资金需求，切实解决资金缺口问题。</w:t>
      </w:r>
      <w:r>
        <w:rPr>
          <w:rFonts w:hint="eastAsia" w:ascii="方正楷体_GBK" w:hAnsi="方正楷体_GBK" w:eastAsia="方正楷体_GBK" w:cs="方正楷体_GBK"/>
          <w:b w:val="0"/>
          <w:bCs w:val="0"/>
          <w:kern w:val="0"/>
          <w:sz w:val="32"/>
          <w:szCs w:val="32"/>
          <w:lang w:val="en-US" w:eastAsia="zh-CN" w:bidi="ar-SA"/>
        </w:rPr>
        <w:t>四是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en-US" w:eastAsia="zh-CN" w:bidi="ar-SA"/>
        </w:rPr>
        <w:t>宣传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zh-CN" w:eastAsia="zh-CN" w:bidi="ar-SA"/>
        </w:rPr>
        <w:t>考核。要将老旧城区更新改造作为重要内容纳入对区级有关部门、有关镇街、相关国有公司严格考核；加大政策宣传力度，浓厚良好氛围，形成市民广泛参与、支持老旧城区更新改造的生动局面。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446" w:bottom="1644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D5A1C7"/>
    <w:multiLevelType w:val="singleLevel"/>
    <w:tmpl w:val="D5D5A1C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273C8"/>
    <w:rsid w:val="000273C8"/>
    <w:rsid w:val="00141F02"/>
    <w:rsid w:val="00763E53"/>
    <w:rsid w:val="00F454BF"/>
    <w:rsid w:val="01437CF9"/>
    <w:rsid w:val="01534228"/>
    <w:rsid w:val="018F40C2"/>
    <w:rsid w:val="026003FF"/>
    <w:rsid w:val="02CA3D97"/>
    <w:rsid w:val="02D16120"/>
    <w:rsid w:val="03B55C9D"/>
    <w:rsid w:val="05AC45A3"/>
    <w:rsid w:val="087A4D08"/>
    <w:rsid w:val="08BD359A"/>
    <w:rsid w:val="092977D4"/>
    <w:rsid w:val="09E153A7"/>
    <w:rsid w:val="0AA94F36"/>
    <w:rsid w:val="0C4639EC"/>
    <w:rsid w:val="0D0849F4"/>
    <w:rsid w:val="0D7F3669"/>
    <w:rsid w:val="0DF515B1"/>
    <w:rsid w:val="0E4B3351"/>
    <w:rsid w:val="0EC33946"/>
    <w:rsid w:val="0F8B628E"/>
    <w:rsid w:val="10915FAD"/>
    <w:rsid w:val="10DF755A"/>
    <w:rsid w:val="12CD3CC0"/>
    <w:rsid w:val="13A96EF6"/>
    <w:rsid w:val="13E443CC"/>
    <w:rsid w:val="1497479B"/>
    <w:rsid w:val="14C92B6D"/>
    <w:rsid w:val="159A136D"/>
    <w:rsid w:val="164A36B7"/>
    <w:rsid w:val="18B00412"/>
    <w:rsid w:val="1A5B56F8"/>
    <w:rsid w:val="1A7E59BF"/>
    <w:rsid w:val="1A99773C"/>
    <w:rsid w:val="1C42210B"/>
    <w:rsid w:val="1C980744"/>
    <w:rsid w:val="1DC70436"/>
    <w:rsid w:val="1F992441"/>
    <w:rsid w:val="20877454"/>
    <w:rsid w:val="210A27BB"/>
    <w:rsid w:val="22066A47"/>
    <w:rsid w:val="23026928"/>
    <w:rsid w:val="24A82BE4"/>
    <w:rsid w:val="26171092"/>
    <w:rsid w:val="263E487A"/>
    <w:rsid w:val="287E0379"/>
    <w:rsid w:val="29343B39"/>
    <w:rsid w:val="29D97AA6"/>
    <w:rsid w:val="2B6010F1"/>
    <w:rsid w:val="2C8F7E6D"/>
    <w:rsid w:val="2DCC6DC4"/>
    <w:rsid w:val="2F6D7D39"/>
    <w:rsid w:val="2F9A05A2"/>
    <w:rsid w:val="34175B0B"/>
    <w:rsid w:val="34CC0FFA"/>
    <w:rsid w:val="36DC16DA"/>
    <w:rsid w:val="37AD1FE0"/>
    <w:rsid w:val="38551ED3"/>
    <w:rsid w:val="3921673E"/>
    <w:rsid w:val="39D54CD2"/>
    <w:rsid w:val="3BF24CC5"/>
    <w:rsid w:val="3C310A8B"/>
    <w:rsid w:val="3D4D461F"/>
    <w:rsid w:val="467A6444"/>
    <w:rsid w:val="46A55866"/>
    <w:rsid w:val="46F24B63"/>
    <w:rsid w:val="471D0452"/>
    <w:rsid w:val="47D053C7"/>
    <w:rsid w:val="48F04479"/>
    <w:rsid w:val="49FC094C"/>
    <w:rsid w:val="4C2C546D"/>
    <w:rsid w:val="4EB37A2C"/>
    <w:rsid w:val="504931D1"/>
    <w:rsid w:val="50CF1FCB"/>
    <w:rsid w:val="52C111AF"/>
    <w:rsid w:val="534209B9"/>
    <w:rsid w:val="535A02E9"/>
    <w:rsid w:val="542B0A90"/>
    <w:rsid w:val="542D4B33"/>
    <w:rsid w:val="557E1C8A"/>
    <w:rsid w:val="57E03BD4"/>
    <w:rsid w:val="58E700D5"/>
    <w:rsid w:val="593823AC"/>
    <w:rsid w:val="5A5B4CA4"/>
    <w:rsid w:val="5A5C11C5"/>
    <w:rsid w:val="5A8F353F"/>
    <w:rsid w:val="5B1A6901"/>
    <w:rsid w:val="5C190A52"/>
    <w:rsid w:val="5C4E3B74"/>
    <w:rsid w:val="5F947CC7"/>
    <w:rsid w:val="5FA30699"/>
    <w:rsid w:val="608022F9"/>
    <w:rsid w:val="629E377A"/>
    <w:rsid w:val="67F04362"/>
    <w:rsid w:val="6BD63AC6"/>
    <w:rsid w:val="6F0A7EEB"/>
    <w:rsid w:val="733951B3"/>
    <w:rsid w:val="75C861B5"/>
    <w:rsid w:val="75F228E8"/>
    <w:rsid w:val="76DA5479"/>
    <w:rsid w:val="782368C1"/>
    <w:rsid w:val="78F67068"/>
    <w:rsid w:val="791926D6"/>
    <w:rsid w:val="7AA05E7F"/>
    <w:rsid w:val="7B9D5554"/>
    <w:rsid w:val="7C0538A9"/>
    <w:rsid w:val="7DAA76B6"/>
    <w:rsid w:val="7EF76C6B"/>
    <w:rsid w:val="7FC17ACF"/>
    <w:rsid w:val="7FC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jc w:val="center"/>
      <w:outlineLvl w:val="2"/>
    </w:pPr>
    <w:rPr>
      <w:b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4"/>
      <w:szCs w:val="24"/>
      <w:lang w:val="zh-CN" w:eastAsia="zh-CN" w:bidi="zh-CN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列表段落1"/>
    <w:basedOn w:val="1"/>
    <w:qFormat/>
    <w:uiPriority w:val="0"/>
    <w:pPr>
      <w:spacing w:before="100" w:beforeAutospacing="1"/>
      <w:ind w:firstLine="420" w:firstLineChars="200"/>
    </w:pPr>
    <w:rPr>
      <w:szCs w:val="21"/>
    </w:rPr>
  </w:style>
  <w:style w:type="character" w:customStyle="1" w:styleId="11">
    <w:name w:val="font6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2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7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4">
    <w:name w:val="font121"/>
    <w:basedOn w:val="8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4"/>
      <w:szCs w:val="24"/>
      <w:u w:val="none"/>
    </w:rPr>
  </w:style>
  <w:style w:type="character" w:customStyle="1" w:styleId="15">
    <w:name w:val="font8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6">
    <w:name w:val="font1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7">
    <w:name w:val="font141"/>
    <w:basedOn w:val="8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4"/>
      <w:szCs w:val="24"/>
      <w:u w:val="none"/>
    </w:rPr>
  </w:style>
  <w:style w:type="character" w:customStyle="1" w:styleId="18">
    <w:name w:val="font91"/>
    <w:basedOn w:val="8"/>
    <w:qFormat/>
    <w:uiPriority w:val="0"/>
    <w:rPr>
      <w:rFonts w:ascii="方正仿宋_GBK" w:hAnsi="方正仿宋_GBK" w:eastAsia="方正仿宋_GBK" w:cs="方正仿宋_GBK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1208</Words>
  <Characters>6890</Characters>
  <Lines>57</Lines>
  <Paragraphs>16</Paragraphs>
  <TotalTime>1</TotalTime>
  <ScaleCrop>false</ScaleCrop>
  <LinksUpToDate>false</LinksUpToDate>
  <CharactersWithSpaces>8082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2021-04-14T06:32:00Z</dcterms:created>
  <dc:creator>Microsoft</dc:creator>
  <cp:lastModifiedBy>Administrator</cp:lastModifiedBy>
  <cp:lastPrinted>2021-05-20T04:27:00Z</cp:lastPrinted>
  <dcterms:modified xsi:type="dcterms:W3CDTF">2021-09-18T01:13:09Z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0_btnclosed</vt:lpwstr>
  </property>
  <property fmtid="{D5CDD505-2E9C-101B-9397-08002B2CF9AE}" pid="3" name="KSOProductBuildVer">
    <vt:lpwstr>2052-11.1.0.10938</vt:lpwstr>
  </property>
  <property fmtid="{D5CDD505-2E9C-101B-9397-08002B2CF9AE}" pid="4" name="ICV">
    <vt:lpwstr>54E035D9322443BC9B77D1FA8D9850B1</vt:lpwstr>
  </property>
</Properties>
</file>