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Times" w:eastAsia="方正小标宋_GBK" w:cs="宋体"/>
          <w:bCs/>
          <w:kern w:val="0"/>
          <w:sz w:val="44"/>
          <w:szCs w:val="44"/>
        </w:rPr>
      </w:pPr>
      <w:r>
        <w:rPr>
          <w:rFonts w:hint="eastAsia" w:ascii="方正小标宋_GBK" w:hAnsi="Times" w:eastAsia="方正小标宋_GBK" w:cs="宋体"/>
          <w:bCs/>
          <w:kern w:val="0"/>
          <w:sz w:val="44"/>
          <w:szCs w:val="44"/>
        </w:rPr>
        <w:t>重庆市渝北区统计局</w:t>
      </w:r>
    </w:p>
    <w:p>
      <w:pPr>
        <w:spacing w:line="560" w:lineRule="exact"/>
        <w:jc w:val="center"/>
        <w:rPr>
          <w:rFonts w:ascii="方正小标宋_GBK" w:hAnsi="Times New Roman" w:eastAsia="方正小标宋_GBK" w:cs="宋体"/>
          <w:kern w:val="0"/>
          <w:sz w:val="44"/>
          <w:szCs w:val="44"/>
        </w:rPr>
      </w:pPr>
      <w:r>
        <w:rPr>
          <w:rFonts w:hint="eastAsia" w:ascii="方正小标宋_GBK" w:eastAsia="方正小标宋_GBK" w:cs="宋体"/>
          <w:bCs/>
          <w:kern w:val="0"/>
          <w:sz w:val="44"/>
          <w:szCs w:val="44"/>
        </w:rPr>
        <w:t>202</w:t>
      </w:r>
      <w:r>
        <w:rPr>
          <w:rFonts w:ascii="方正小标宋_GBK" w:eastAsia="方正小标宋_GBK" w:cs="宋体"/>
          <w:bCs/>
          <w:kern w:val="0"/>
          <w:sz w:val="44"/>
          <w:szCs w:val="44"/>
        </w:rPr>
        <w:t>1</w:t>
      </w:r>
      <w:r>
        <w:rPr>
          <w:rFonts w:hint="eastAsia" w:ascii="方正小标宋_GBK" w:eastAsia="方正小标宋_GBK" w:cs="宋体"/>
          <w:bCs/>
          <w:kern w:val="0"/>
          <w:sz w:val="44"/>
          <w:szCs w:val="44"/>
        </w:rPr>
        <w:t>年政府信息公开工作年度报告</w:t>
      </w:r>
    </w:p>
    <w:p>
      <w:pPr>
        <w:widowControl/>
        <w:shd w:val="clear" w:color="auto" w:fill="FFFFFF"/>
        <w:autoSpaceDN w:val="0"/>
        <w:spacing w:line="560" w:lineRule="exact"/>
        <w:jc w:val="center"/>
        <w:rPr>
          <w:rFonts w:ascii="方正小标宋_GBK" w:hAnsi="Times New Roman" w:eastAsia="方正小标宋_GBK" w:cs="宋体"/>
          <w:kern w:val="0"/>
          <w:sz w:val="44"/>
          <w:szCs w:val="44"/>
        </w:rPr>
      </w:pPr>
    </w:p>
    <w:p>
      <w:pPr>
        <w:pStyle w:val="2"/>
        <w:shd w:val="clear" w:color="auto" w:fill="FFFFFF"/>
        <w:spacing w:before="0" w:beforeAutospacing="0" w:after="0" w:afterAutospacing="0" w:line="560" w:lineRule="exact"/>
        <w:ind w:firstLine="640" w:firstLineChars="200"/>
        <w:jc w:val="both"/>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本年度报告根据《中华人民共和国政府信息公开条例》（国务院令第711号）（以下简称《条例》）和《国务院办公厅政府信息与政务公开办公室关于政府信息公开年度报告有关项目填报问题的解释》（国办公开办函〔2016〕201号）要求编制，本年度报告所列数据的统计期限从202</w:t>
      </w:r>
      <w:r>
        <w:rPr>
          <w:rFonts w:ascii="方正仿宋_GBK" w:hAnsi="方正仿宋_GBK" w:eastAsia="方正仿宋_GBK" w:cs="方正仿宋_GBK"/>
          <w:kern w:val="2"/>
          <w:sz w:val="32"/>
          <w:szCs w:val="32"/>
        </w:rPr>
        <w:t>1</w:t>
      </w:r>
      <w:r>
        <w:rPr>
          <w:rFonts w:hint="eastAsia" w:ascii="方正仿宋_GBK" w:hAnsi="方正仿宋_GBK" w:eastAsia="方正仿宋_GBK" w:cs="方正仿宋_GBK"/>
          <w:kern w:val="2"/>
          <w:sz w:val="32"/>
          <w:szCs w:val="32"/>
        </w:rPr>
        <w:t>年1月1日起至202</w:t>
      </w:r>
      <w:r>
        <w:rPr>
          <w:rFonts w:ascii="方正仿宋_GBK" w:hAnsi="方正仿宋_GBK" w:eastAsia="方正仿宋_GBK" w:cs="方正仿宋_GBK"/>
          <w:kern w:val="2"/>
          <w:sz w:val="32"/>
          <w:szCs w:val="32"/>
        </w:rPr>
        <w:t>1</w:t>
      </w:r>
      <w:r>
        <w:rPr>
          <w:rFonts w:hint="eastAsia" w:ascii="方正仿宋_GBK" w:hAnsi="方正仿宋_GBK" w:eastAsia="方正仿宋_GBK" w:cs="方正仿宋_GBK"/>
          <w:kern w:val="2"/>
          <w:sz w:val="32"/>
          <w:szCs w:val="32"/>
        </w:rPr>
        <w:t>年12月31日止。</w:t>
      </w:r>
    </w:p>
    <w:p>
      <w:pPr>
        <w:widowControl/>
        <w:shd w:val="clear" w:color="auto" w:fill="FFFFFF"/>
        <w:autoSpaceDN w:val="0"/>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bCs/>
          <w:kern w:val="0"/>
          <w:sz w:val="32"/>
          <w:szCs w:val="32"/>
        </w:rPr>
        <w:t>一、总体情况</w:t>
      </w:r>
    </w:p>
    <w:p>
      <w:pPr>
        <w:pStyle w:val="2"/>
        <w:shd w:val="clear" w:color="auto" w:fill="FFFFFF"/>
        <w:overflowPunct w:val="0"/>
        <w:spacing w:before="0" w:beforeAutospacing="0" w:after="0" w:afterAutospacing="0" w:line="560" w:lineRule="exact"/>
        <w:ind w:firstLine="640" w:firstLineChars="200"/>
        <w:jc w:val="both"/>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202</w:t>
      </w:r>
      <w:r>
        <w:rPr>
          <w:rFonts w:ascii="方正仿宋_GBK" w:hAnsi="方正仿宋_GBK" w:eastAsia="方正仿宋_GBK" w:cs="方正仿宋_GBK"/>
          <w:kern w:val="2"/>
          <w:sz w:val="32"/>
          <w:szCs w:val="32"/>
        </w:rPr>
        <w:t>1</w:t>
      </w:r>
      <w:r>
        <w:rPr>
          <w:rFonts w:hint="eastAsia" w:ascii="方正仿宋_GBK" w:hAnsi="方正仿宋_GBK" w:eastAsia="方正仿宋_GBK" w:cs="方正仿宋_GBK"/>
          <w:kern w:val="2"/>
          <w:sz w:val="32"/>
          <w:szCs w:val="32"/>
        </w:rPr>
        <w:t>年，渝北区统计局坚持以习近平新时代中国特色社会主义思想为指导，认真贯彻党的十九大和十九届二中、三中、四中、五中、六中全会精神，</w:t>
      </w:r>
      <w:r>
        <w:rPr>
          <w:rFonts w:hint="eastAsia" w:ascii="方正仿宋_GBK" w:hAnsi="方正仿宋_GBK" w:eastAsia="方正仿宋_GBK" w:cs="方正仿宋_GBK"/>
          <w:sz w:val="32"/>
          <w:szCs w:val="32"/>
        </w:rPr>
        <w:t>严格落实党中央、国务院和市委、市政府以及区委、区政府工作部署，</w:t>
      </w:r>
      <w:r>
        <w:rPr>
          <w:rFonts w:hint="eastAsia" w:ascii="方正仿宋_GBK" w:hAnsi="方正仿宋_GBK" w:eastAsia="方正仿宋_GBK" w:cs="方正仿宋_GBK"/>
          <w:kern w:val="2"/>
          <w:sz w:val="32"/>
          <w:szCs w:val="32"/>
        </w:rPr>
        <w:t>扎实有序推进政府信息公开工作，取得了较好成效。</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（一）全面落实</w:t>
      </w:r>
      <w:r>
        <w:rPr>
          <w:rFonts w:hint="eastAsia" w:ascii="方正楷体_GBK" w:hAnsi="方正楷体_GBK" w:eastAsia="方正楷体_GBK" w:cs="方正楷体_GBK"/>
          <w:sz w:val="32"/>
          <w:szCs w:val="32"/>
        </w:rPr>
        <w:t>主动公开</w:t>
      </w:r>
      <w:r>
        <w:rPr>
          <w:rFonts w:hint="eastAsia" w:ascii="方正仿宋_GBK" w:hAnsi="方正仿宋_GBK" w:eastAsia="方正仿宋_GBK" w:cs="方正仿宋_GBK"/>
          <w:sz w:val="32"/>
          <w:szCs w:val="32"/>
        </w:rPr>
        <w:t>。</w:t>
      </w:r>
      <w:r>
        <w:rPr>
          <w:rFonts w:hint="default"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lang w:val="en-US" w:eastAsia="zh-CN"/>
        </w:rPr>
        <w:t>年，区统计局主动公开政府信息375条。其中，通过政府门户网站公开</w:t>
      </w:r>
      <w:r>
        <w:rPr>
          <w:rFonts w:hint="default" w:ascii="方正仿宋_GBK" w:hAnsi="方正仿宋_GBK" w:eastAsia="方正仿宋_GBK" w:cs="方正仿宋_GBK"/>
          <w:sz w:val="32"/>
          <w:szCs w:val="32"/>
          <w:lang w:val="en-US" w:eastAsia="zh-CN"/>
        </w:rPr>
        <w:t>196</w:t>
      </w:r>
      <w:r>
        <w:rPr>
          <w:rFonts w:hint="eastAsia" w:ascii="方正仿宋_GBK" w:hAnsi="方正仿宋_GBK" w:eastAsia="方正仿宋_GBK" w:cs="方正仿宋_GBK"/>
          <w:sz w:val="32"/>
          <w:szCs w:val="32"/>
          <w:lang w:val="en-US" w:eastAsia="zh-CN"/>
        </w:rPr>
        <w:t>条，通过微信公开</w:t>
      </w:r>
      <w:r>
        <w:rPr>
          <w:rFonts w:hint="default" w:ascii="方正仿宋_GBK" w:hAnsi="方正仿宋_GBK" w:eastAsia="方正仿宋_GBK" w:cs="方正仿宋_GBK"/>
          <w:sz w:val="32"/>
          <w:szCs w:val="32"/>
          <w:lang w:val="en-US" w:eastAsia="zh-CN"/>
        </w:rPr>
        <w:t>45</w:t>
      </w:r>
      <w:r>
        <w:rPr>
          <w:rFonts w:hint="eastAsia" w:ascii="方正仿宋_GBK" w:hAnsi="方正仿宋_GBK" w:eastAsia="方正仿宋_GBK" w:cs="方正仿宋_GBK"/>
          <w:sz w:val="32"/>
          <w:szCs w:val="32"/>
          <w:lang w:val="en-US" w:eastAsia="zh-CN"/>
        </w:rPr>
        <w:t>条，通过微博公开</w:t>
      </w:r>
      <w:r>
        <w:rPr>
          <w:rFonts w:hint="default" w:ascii="方正仿宋_GBK" w:hAnsi="方正仿宋_GBK" w:eastAsia="方正仿宋_GBK" w:cs="方正仿宋_GBK"/>
          <w:sz w:val="32"/>
          <w:szCs w:val="32"/>
          <w:lang w:val="en-US" w:eastAsia="zh-CN"/>
        </w:rPr>
        <w:t>134</w:t>
      </w:r>
      <w:r>
        <w:rPr>
          <w:rFonts w:hint="eastAsia" w:ascii="方正仿宋_GBK" w:hAnsi="方正仿宋_GBK" w:eastAsia="方正仿宋_GBK" w:cs="方正仿宋_GBK"/>
          <w:sz w:val="32"/>
          <w:szCs w:val="32"/>
          <w:lang w:val="en-US" w:eastAsia="zh-CN"/>
        </w:rPr>
        <w:t>条。主</w:t>
      </w:r>
      <w:r>
        <w:rPr>
          <w:rFonts w:hint="eastAsia" w:ascii="方正仿宋_GBK" w:hAnsi="方正仿宋_GBK" w:eastAsia="方正仿宋_GBK" w:cs="方正仿宋_GBK"/>
          <w:sz w:val="32"/>
          <w:szCs w:val="32"/>
        </w:rPr>
        <w:t>动公开全区经济运行和社会发展类统计数据，在《渝北时报》和政府门户网站刊登了</w:t>
      </w:r>
      <w:r>
        <w:rPr>
          <w:rFonts w:hint="default" w:ascii="方正仿宋_GBK" w:hAnsi="方正仿宋_GBK" w:eastAsia="方正仿宋_GBK" w:cs="方正仿宋_GBK"/>
          <w:sz w:val="32"/>
          <w:szCs w:val="32"/>
        </w:rPr>
        <w:t>2020</w:t>
      </w:r>
      <w:r>
        <w:rPr>
          <w:rFonts w:hint="eastAsia" w:ascii="方正仿宋_GBK" w:hAnsi="方正仿宋_GBK" w:eastAsia="方正仿宋_GBK" w:cs="方正仿宋_GBK"/>
          <w:sz w:val="32"/>
          <w:szCs w:val="32"/>
        </w:rPr>
        <w:t>年渝北区国民经济和社会发展统计公报、渝北区第七次全国人口普查公报等数据。</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（二）规范做好依申请公开。</w:t>
      </w:r>
      <w:r>
        <w:rPr>
          <w:rFonts w:hint="eastAsia" w:ascii="Times New Roman" w:hAnsi="Times New Roman" w:eastAsia="方正仿宋_GBK" w:cs="方正仿宋_GBK"/>
          <w:sz w:val="32"/>
          <w:szCs w:val="32"/>
        </w:rPr>
        <w:t>202</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年，区统计局未收到依申请公开的事项。</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（三）持续加强信息管理。</w:t>
      </w:r>
      <w:r>
        <w:rPr>
          <w:rFonts w:hint="eastAsia" w:ascii="方正仿宋_GBK" w:hAnsi="方正仿宋_GBK" w:eastAsia="方正仿宋_GBK" w:cs="方正仿宋_GBK"/>
          <w:sz w:val="32"/>
          <w:szCs w:val="32"/>
        </w:rPr>
        <w:t>认真落实“三审三校”机制，严格执行政府信息公开申请登记、审核、办理、答复、归档等内部工作制度，坚持每月更新部门动态不少于两次，切实加强政府信息公开工作的监督管理，全年未出现不按时发布、发布内容不准确不全面或者内容雷同、敷衍塞责等问题。</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（四）扎实推进</w:t>
      </w:r>
      <w:r>
        <w:rPr>
          <w:rFonts w:hint="eastAsia" w:ascii="方正楷体_GBK" w:hAnsi="方正仿宋_GBK" w:eastAsia="方正楷体_GBK" w:cs="方正仿宋_GBK"/>
          <w:sz w:val="32"/>
          <w:szCs w:val="32"/>
        </w:rPr>
        <w:t>平台建设。</w:t>
      </w:r>
      <w:r>
        <w:rPr>
          <w:rFonts w:hint="eastAsia" w:ascii="方正仿宋_GBK" w:hAnsi="方正仿宋_GBK" w:eastAsia="方正仿宋_GBK" w:cs="方正仿宋_GBK"/>
          <w:sz w:val="32"/>
          <w:szCs w:val="32"/>
        </w:rPr>
        <w:t>在门户网站开设法定主动公开内容，重新调整统计信息栏目，新增统计月报、统计年鉴、统计公报、其他统计信息等4个子目，重点公示全区经济运行和社会发展类统计数据。开设统计行政处罚信息公示、统计失信企业信息公示和统计从业人员严重失信行为信息公示等专栏，公示违反统计法的失信企业和人员。同时切实加强</w:t>
      </w:r>
      <w:r>
        <w:rPr>
          <w:rFonts w:ascii="方正仿宋_GBK" w:hAnsi="方正仿宋_GBK" w:eastAsia="方正仿宋_GBK" w:cs="方正仿宋_GBK"/>
          <w:sz w:val="32"/>
          <w:szCs w:val="32"/>
        </w:rPr>
        <w:t>微信公众号、微博的</w:t>
      </w:r>
      <w:r>
        <w:rPr>
          <w:rFonts w:hint="eastAsia" w:ascii="方正仿宋_GBK" w:hAnsi="方正仿宋_GBK" w:eastAsia="方正仿宋_GBK" w:cs="方正仿宋_GBK"/>
          <w:sz w:val="32"/>
          <w:szCs w:val="32"/>
        </w:rPr>
        <w:t>后台维护，夯实政务信息公开基础。</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（五）切实</w:t>
      </w:r>
      <w:r>
        <w:rPr>
          <w:rFonts w:ascii="方正楷体_GBK" w:hAnsi="方正仿宋_GBK" w:eastAsia="方正楷体_GBK" w:cs="方正仿宋_GBK"/>
          <w:sz w:val="32"/>
          <w:szCs w:val="32"/>
        </w:rPr>
        <w:t>强化</w:t>
      </w:r>
      <w:r>
        <w:rPr>
          <w:rFonts w:hint="eastAsia" w:ascii="方正楷体_GBK" w:hAnsi="方正仿宋_GBK" w:eastAsia="方正楷体_GBK" w:cs="方正仿宋_GBK"/>
          <w:sz w:val="32"/>
          <w:szCs w:val="32"/>
          <w:lang w:val="en-US" w:eastAsia="zh-CN"/>
        </w:rPr>
        <w:t>监督</w:t>
      </w:r>
      <w:r>
        <w:rPr>
          <w:rFonts w:hint="eastAsia" w:ascii="方正楷体_GBK" w:hAnsi="方正仿宋_GBK" w:eastAsia="方正楷体_GBK" w:cs="方正仿宋_GBK"/>
          <w:sz w:val="32"/>
          <w:szCs w:val="32"/>
        </w:rPr>
        <w:t>保障。</w:t>
      </w:r>
      <w:r>
        <w:rPr>
          <w:rFonts w:hint="eastAsia" w:ascii="方正仿宋_GBK" w:hAnsi="方正仿宋_GBK" w:eastAsia="方正仿宋_GBK" w:cs="方正仿宋_GBK"/>
          <w:sz w:val="32"/>
          <w:szCs w:val="32"/>
        </w:rPr>
        <w:t>坚持由主要领导牵头负总责，明确分管领导、责任科室及具体工作人员分工，明确政府信息的收集、汇总、送审、公开等日常工作环节，确保政务公开内容的及时更新和信息的准确无误。</w:t>
      </w:r>
    </w:p>
    <w:p>
      <w:pPr>
        <w:spacing w:line="600" w:lineRule="exact"/>
        <w:ind w:firstLine="640" w:firstLineChars="20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二、主动公开政府信息情况</w:t>
      </w:r>
    </w:p>
    <w:tbl>
      <w:tblPr>
        <w:tblStyle w:val="3"/>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FFFFFF"/>
            <w:tcMar>
              <w:left w:w="57" w:type="dxa"/>
              <w:right w:w="57" w:type="dxa"/>
            </w:tcMar>
            <w:vAlign w:val="center"/>
          </w:tcPr>
          <w:p>
            <w:pPr>
              <w:jc w:val="center"/>
            </w:pPr>
            <w:r>
              <w:rPr>
                <w:rFonts w:hint="eastAsia" w:cs="宋体"/>
                <w:kern w:val="0"/>
                <w:sz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jc w:val="center"/>
            </w:pPr>
            <w:r>
              <w:rPr>
                <w:rFonts w:hint="eastAsia" w:cs="宋体"/>
                <w:kern w:val="0"/>
                <w:sz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jc w:val="center"/>
            </w:pPr>
            <w:r>
              <w:rPr>
                <w:rFonts w:hint="eastAsia" w:cs="宋体"/>
                <w:kern w:val="0"/>
                <w:sz w:val="20"/>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jc w:val="center"/>
            </w:pPr>
            <w:r>
              <w:rPr>
                <w:rFonts w:hint="eastAsia" w:cs="宋体"/>
                <w:kern w:val="0"/>
                <w:sz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jc w:val="center"/>
            </w:pPr>
            <w:r>
              <w:rPr>
                <w:rFonts w:hint="eastAsia" w:cs="宋体"/>
                <w:kern w:val="0"/>
                <w:sz w:val="20"/>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jc w:val="left"/>
            </w:pPr>
            <w:r>
              <w:rPr>
                <w:rFonts w:hint="eastAsia" w:cs="宋体"/>
                <w:kern w:val="0"/>
                <w:sz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jc w:val="center"/>
              <w:rPr>
                <w:rFonts w:eastAsia="宋体"/>
              </w:rPr>
            </w:pPr>
            <w:r>
              <w:rPr>
                <w:rFonts w:hint="eastAsia" w:cs="宋体"/>
                <w:kern w:val="0"/>
                <w:sz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jc w:val="center"/>
              <w:rPr>
                <w:rFonts w:eastAsia="宋体"/>
              </w:rPr>
            </w:pPr>
            <w:r>
              <w:rPr>
                <w:rFonts w:hint="eastAsia" w:cs="宋体"/>
                <w:kern w:val="0"/>
                <w:sz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jc w:val="center"/>
              <w:rPr>
                <w:rFonts w:eastAsia="等线"/>
              </w:rPr>
            </w:pPr>
            <w:r>
              <w:rPr>
                <w:rFonts w:hint="eastAsia" w:eastAsia="等线" w:cs="Calibri"/>
                <w:kern w:val="0"/>
                <w:szCs w:val="21"/>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jc w:val="left"/>
            </w:pPr>
            <w:r>
              <w:rPr>
                <w:rFonts w:hint="eastAsia" w:cs="宋体"/>
                <w:kern w:val="0"/>
                <w:sz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jc w:val="center"/>
              <w:rPr>
                <w:rFonts w:eastAsia="宋体"/>
              </w:rPr>
            </w:pPr>
            <w:r>
              <w:rPr>
                <w:rFonts w:hint="eastAsia" w:cs="宋体"/>
                <w:kern w:val="0"/>
                <w:sz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jc w:val="center"/>
              <w:rPr>
                <w:rFonts w:eastAsia="宋体"/>
              </w:rPr>
            </w:pPr>
            <w:r>
              <w:rPr>
                <w:rFonts w:hint="eastAsia" w:cs="宋体"/>
                <w:kern w:val="0"/>
                <w:sz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jc w:val="center"/>
              <w:rPr>
                <w:rFonts w:eastAsia="等线"/>
              </w:rPr>
            </w:pPr>
            <w:r>
              <w:rPr>
                <w:rFonts w:hint="eastAsia" w:eastAsia="等线" w:cs="Calibri"/>
                <w:kern w:val="0"/>
                <w:szCs w:val="21"/>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jc w:val="center"/>
            </w:pPr>
            <w:r>
              <w:rPr>
                <w:rFonts w:hint="eastAsia" w:cs="宋体"/>
                <w:kern w:val="0"/>
                <w:sz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jc w:val="center"/>
            </w:pPr>
            <w:r>
              <w:rPr>
                <w:rFonts w:hint="eastAsia" w:cs="宋体"/>
                <w:kern w:val="0"/>
                <w:sz w:val="20"/>
              </w:rPr>
              <w:t>信息内容</w:t>
            </w:r>
          </w:p>
        </w:tc>
        <w:tc>
          <w:tcPr>
            <w:tcW w:w="7305"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jc w:val="center"/>
            </w:pPr>
            <w:r>
              <w:rPr>
                <w:rFonts w:hint="eastAsia" w:cs="宋体"/>
                <w:kern w:val="0"/>
                <w:sz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jc w:val="left"/>
            </w:pPr>
            <w:r>
              <w:rPr>
                <w:rFonts w:hint="eastAsia" w:cs="宋体"/>
                <w:kern w:val="0"/>
                <w:sz w:val="20"/>
              </w:rPr>
              <w:t>行政许可</w:t>
            </w:r>
          </w:p>
        </w:tc>
        <w:tc>
          <w:tcPr>
            <w:tcW w:w="7305"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jc w:val="center"/>
              <w:rPr>
                <w:rFonts w:eastAsia="等线"/>
              </w:rPr>
            </w:pPr>
            <w:r>
              <w:rPr>
                <w:rFonts w:hint="eastAsia" w:eastAsia="等线" w:cs="Calibri"/>
                <w:kern w:val="0"/>
                <w:szCs w:val="21"/>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jc w:val="center"/>
            </w:pPr>
            <w:r>
              <w:rPr>
                <w:rFonts w:hint="eastAsia" w:cs="宋体"/>
                <w:kern w:val="0"/>
                <w:sz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jc w:val="center"/>
            </w:pPr>
            <w:r>
              <w:rPr>
                <w:rFonts w:hint="eastAsia" w:cs="宋体"/>
                <w:kern w:val="0"/>
                <w:sz w:val="20"/>
              </w:rPr>
              <w:t>信息内容</w:t>
            </w:r>
          </w:p>
        </w:tc>
        <w:tc>
          <w:tcPr>
            <w:tcW w:w="7305" w:type="dxa"/>
            <w:gridSpan w:val="3"/>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jc w:val="center"/>
            </w:pPr>
            <w:r>
              <w:rPr>
                <w:rFonts w:hint="eastAsia" w:cs="宋体"/>
                <w:kern w:val="0"/>
                <w:sz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jc w:val="left"/>
            </w:pPr>
            <w:r>
              <w:rPr>
                <w:rFonts w:hint="eastAsia" w:cs="宋体"/>
                <w:kern w:val="0"/>
                <w:sz w:val="20"/>
              </w:rPr>
              <w:t>行政处罚</w:t>
            </w:r>
          </w:p>
        </w:tc>
        <w:tc>
          <w:tcPr>
            <w:tcW w:w="7305"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jc w:val="center"/>
              <w:rPr>
                <w:rFonts w:eastAsia="宋体"/>
              </w:rPr>
            </w:pPr>
            <w:r>
              <w:rPr>
                <w:rFonts w:hint="eastAsia" w:cs="宋体"/>
                <w:kern w:val="0"/>
                <w:sz w:val="20"/>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jc w:val="left"/>
            </w:pPr>
            <w:r>
              <w:rPr>
                <w:rFonts w:hint="eastAsia" w:cs="宋体"/>
                <w:kern w:val="0"/>
                <w:sz w:val="20"/>
              </w:rPr>
              <w:t>行政强制</w:t>
            </w:r>
          </w:p>
        </w:tc>
        <w:tc>
          <w:tcPr>
            <w:tcW w:w="7305"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jc w:val="center"/>
              <w:rPr>
                <w:rFonts w:eastAsia="宋体"/>
              </w:rPr>
            </w:pPr>
            <w:r>
              <w:rPr>
                <w:rFonts w:hint="eastAsia" w:cs="宋体"/>
                <w:kern w:val="0"/>
                <w:sz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jc w:val="center"/>
            </w:pPr>
            <w:r>
              <w:rPr>
                <w:rFonts w:hint="eastAsia" w:cs="宋体"/>
                <w:kern w:val="0"/>
                <w:sz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jc w:val="center"/>
            </w:pPr>
            <w:r>
              <w:rPr>
                <w:rFonts w:hint="eastAsia" w:cs="宋体"/>
                <w:kern w:val="0"/>
                <w:sz w:val="20"/>
              </w:rPr>
              <w:t>信息内容</w:t>
            </w:r>
          </w:p>
        </w:tc>
        <w:tc>
          <w:tcPr>
            <w:tcW w:w="7305" w:type="dxa"/>
            <w:gridSpan w:val="3"/>
            <w:tcBorders>
              <w:top w:val="nil"/>
              <w:left w:val="nil"/>
              <w:bottom w:val="single" w:color="auto" w:sz="8" w:space="0"/>
              <w:right w:val="single" w:color="000000" w:sz="8" w:space="0"/>
            </w:tcBorders>
            <w:shd w:val="clear" w:color="auto" w:fill="FFFFFF"/>
            <w:tcMar>
              <w:left w:w="57" w:type="dxa"/>
              <w:right w:w="57" w:type="dxa"/>
            </w:tcMar>
            <w:vAlign w:val="center"/>
          </w:tcPr>
          <w:p>
            <w:pPr>
              <w:jc w:val="center"/>
            </w:pPr>
            <w:r>
              <w:rPr>
                <w:rFonts w:hint="eastAsia" w:cs="宋体"/>
                <w:kern w:val="0"/>
                <w:sz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jc w:val="left"/>
            </w:pPr>
            <w:r>
              <w:rPr>
                <w:rFonts w:hint="eastAsia" w:cs="宋体"/>
                <w:kern w:val="0"/>
                <w:sz w:val="20"/>
              </w:rPr>
              <w:t>行政事业性收费</w:t>
            </w:r>
          </w:p>
        </w:tc>
        <w:tc>
          <w:tcPr>
            <w:tcW w:w="7305" w:type="dxa"/>
            <w:gridSpan w:val="3"/>
            <w:tcBorders>
              <w:top w:val="nil"/>
              <w:left w:val="nil"/>
              <w:bottom w:val="single" w:color="auto" w:sz="8" w:space="0"/>
              <w:right w:val="single" w:color="000000" w:sz="8" w:space="0"/>
            </w:tcBorders>
            <w:shd w:val="clear" w:color="auto" w:fill="FFFFFF"/>
            <w:tcMar>
              <w:left w:w="57" w:type="dxa"/>
              <w:right w:w="57" w:type="dxa"/>
            </w:tcMar>
            <w:vAlign w:val="center"/>
          </w:tcPr>
          <w:p>
            <w:pPr>
              <w:jc w:val="center"/>
              <w:rPr>
                <w:rFonts w:eastAsia="宋体"/>
                <w:sz w:val="24"/>
              </w:rPr>
            </w:pPr>
            <w:r>
              <w:rPr>
                <w:rFonts w:hint="eastAsia"/>
                <w:sz w:val="24"/>
              </w:rPr>
              <w:t>0</w:t>
            </w:r>
          </w:p>
        </w:tc>
      </w:tr>
    </w:tbl>
    <w:p>
      <w:pPr>
        <w:spacing w:line="600" w:lineRule="exact"/>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三、收到和处理政府信息公开申请情况</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21"/>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jc w:val="left"/>
              <w:rPr>
                <w:color w:val="000000"/>
              </w:rPr>
            </w:pPr>
            <w:r>
              <w:rPr>
                <w:rFonts w:eastAsia="楷体" w:cs="楷体"/>
                <w:color w:val="000000"/>
                <w:kern w:val="0"/>
                <w:sz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left w:w="57" w:type="dxa"/>
              <w:right w:w="57" w:type="dxa"/>
            </w:tcMar>
            <w:vAlign w:val="center"/>
          </w:tcPr>
          <w:p>
            <w:pPr>
              <w:jc w:val="center"/>
              <w:rPr>
                <w:color w:val="000000"/>
              </w:rPr>
            </w:pPr>
            <w:r>
              <w:rPr>
                <w:rFonts w:hint="eastAsia" w:cs="宋体"/>
                <w:color w:val="000000"/>
                <w:kern w:val="0"/>
                <w:sz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color w:val="000000"/>
                <w:sz w:val="24"/>
              </w:rPr>
            </w:pPr>
          </w:p>
        </w:tc>
        <w:tc>
          <w:tcPr>
            <w:tcW w:w="688" w:type="dxa"/>
            <w:vMerge w:val="restart"/>
            <w:tcBorders>
              <w:top w:val="single" w:color="auto" w:sz="0" w:space="0"/>
              <w:left w:val="single" w:color="auto" w:sz="0" w:space="0"/>
              <w:bottom w:val="single" w:color="auto" w:sz="8" w:space="0"/>
              <w:right w:val="single" w:color="auto" w:sz="8" w:space="0"/>
            </w:tcBorders>
            <w:tcMar>
              <w:left w:w="57" w:type="dxa"/>
              <w:right w:w="57" w:type="dxa"/>
            </w:tcMar>
            <w:vAlign w:val="center"/>
          </w:tcPr>
          <w:p>
            <w:pPr>
              <w:jc w:val="center"/>
              <w:rPr>
                <w:color w:val="000000"/>
              </w:rPr>
            </w:pPr>
            <w:r>
              <w:rPr>
                <w:rFonts w:hint="eastAsia" w:cs="宋体"/>
                <w:color w:val="000000"/>
                <w:kern w:val="0"/>
                <w:sz w:val="20"/>
              </w:rPr>
              <w:t>自然人</w:t>
            </w:r>
          </w:p>
        </w:tc>
        <w:tc>
          <w:tcPr>
            <w:tcW w:w="3440" w:type="dxa"/>
            <w:gridSpan w:val="5"/>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法人或其他组织</w:t>
            </w:r>
          </w:p>
        </w:tc>
        <w:tc>
          <w:tcPr>
            <w:tcW w:w="689" w:type="dxa"/>
            <w:vMerge w:val="restart"/>
            <w:tcBorders>
              <w:top w:val="single" w:color="auto" w:sz="8" w:space="0"/>
              <w:left w:val="single" w:color="auto" w:sz="0" w:space="0"/>
              <w:bottom w:val="outset"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color w:val="000000"/>
                <w:sz w:val="24"/>
              </w:rPr>
            </w:pPr>
          </w:p>
        </w:tc>
        <w:tc>
          <w:tcPr>
            <w:tcW w:w="688" w:type="dxa"/>
            <w:vMerge w:val="continue"/>
            <w:tcBorders>
              <w:top w:val="single" w:color="auto" w:sz="0" w:space="0"/>
              <w:left w:val="single" w:color="auto" w:sz="0" w:space="0"/>
              <w:bottom w:val="single" w:color="auto" w:sz="8" w:space="0"/>
              <w:right w:val="single" w:color="auto" w:sz="8" w:space="0"/>
            </w:tcBorders>
            <w:tcMar>
              <w:left w:w="57" w:type="dxa"/>
              <w:right w:w="57" w:type="dxa"/>
            </w:tcMar>
            <w:vAlign w:val="center"/>
          </w:tcPr>
          <w:p>
            <w:pPr>
              <w:rPr>
                <w:color w:val="000000"/>
                <w:sz w:val="24"/>
              </w:rPr>
            </w:pPr>
          </w:p>
        </w:tc>
        <w:tc>
          <w:tcPr>
            <w:tcW w:w="688" w:type="dxa"/>
            <w:tcBorders>
              <w:top w:val="single" w:color="auto" w:sz="0" w:space="0"/>
              <w:left w:val="single" w:color="auto" w:sz="0"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商业</w:t>
            </w:r>
          </w:p>
          <w:p>
            <w:pPr>
              <w:jc w:val="center"/>
              <w:rPr>
                <w:color w:val="000000"/>
              </w:rPr>
            </w:pPr>
            <w:r>
              <w:rPr>
                <w:rFonts w:hint="eastAsia" w:cs="宋体"/>
                <w:color w:val="000000"/>
                <w:kern w:val="0"/>
                <w:sz w:val="20"/>
              </w:rPr>
              <w:t>企业</w:t>
            </w:r>
          </w:p>
        </w:tc>
        <w:tc>
          <w:tcPr>
            <w:tcW w:w="688" w:type="dxa"/>
            <w:tcBorders>
              <w:top w:val="single" w:color="auto" w:sz="0" w:space="0"/>
              <w:left w:val="single" w:color="auto" w:sz="0"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科研</w:t>
            </w:r>
          </w:p>
          <w:p>
            <w:pPr>
              <w:jc w:val="center"/>
              <w:rPr>
                <w:color w:val="000000"/>
              </w:rPr>
            </w:pPr>
            <w:r>
              <w:rPr>
                <w:rFonts w:hint="eastAsia" w:cs="宋体"/>
                <w:color w:val="000000"/>
                <w:kern w:val="0"/>
                <w:sz w:val="20"/>
              </w:rPr>
              <w:t>机构</w:t>
            </w:r>
          </w:p>
        </w:tc>
        <w:tc>
          <w:tcPr>
            <w:tcW w:w="688" w:type="dxa"/>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社会公益组织</w:t>
            </w:r>
          </w:p>
        </w:tc>
        <w:tc>
          <w:tcPr>
            <w:tcW w:w="688" w:type="dxa"/>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法律服务机构</w:t>
            </w:r>
          </w:p>
        </w:tc>
        <w:tc>
          <w:tcPr>
            <w:tcW w:w="688" w:type="dxa"/>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其他</w:t>
            </w:r>
          </w:p>
        </w:tc>
        <w:tc>
          <w:tcPr>
            <w:tcW w:w="689" w:type="dxa"/>
            <w:vMerge w:val="continue"/>
            <w:tcBorders>
              <w:top w:val="single" w:color="auto" w:sz="8" w:space="0"/>
              <w:left w:val="single" w:color="auto" w:sz="0" w:space="0"/>
              <w:bottom w:val="outset" w:color="auto" w:sz="8" w:space="0"/>
              <w:right w:val="single" w:color="auto" w:sz="8" w:space="0"/>
            </w:tcBorders>
            <w:tcMar>
              <w:left w:w="108" w:type="dxa"/>
              <w:right w:w="108" w:type="dxa"/>
            </w:tcMar>
            <w:vAlign w:val="center"/>
          </w:tcPr>
          <w:p>
            <w:pPr>
              <w:rPr>
                <w:color w:val="000000"/>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jc w:val="left"/>
              <w:rPr>
                <w:color w:val="000000"/>
              </w:rPr>
            </w:pPr>
            <w:r>
              <w:rPr>
                <w:rFonts w:hint="eastAsia" w:cs="宋体"/>
                <w:color w:val="000000"/>
                <w:kern w:val="0"/>
                <w:sz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jc w:val="left"/>
              <w:rPr>
                <w:color w:val="000000"/>
              </w:rPr>
            </w:pPr>
            <w:r>
              <w:rPr>
                <w:rFonts w:hint="eastAsia" w:cs="宋体"/>
                <w:color w:val="000000"/>
                <w:kern w:val="0"/>
                <w:sz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single" w:color="auto" w:sz="0" w:space="0"/>
              <w:left w:val="single" w:color="auto" w:sz="8" w:space="0"/>
              <w:bottom w:val="outset" w:color="auto" w:sz="8" w:space="0"/>
              <w:right w:val="single" w:color="auto" w:sz="8" w:space="0"/>
            </w:tcBorders>
            <w:tcMar>
              <w:left w:w="57" w:type="dxa"/>
              <w:right w:w="57" w:type="dxa"/>
            </w:tcMar>
            <w:vAlign w:val="center"/>
          </w:tcPr>
          <w:p>
            <w:pPr>
              <w:jc w:val="left"/>
              <w:rPr>
                <w:color w:val="000000"/>
              </w:rPr>
            </w:pPr>
            <w:r>
              <w:rPr>
                <w:rFonts w:hint="eastAsia" w:cs="宋体"/>
                <w:color w:val="000000"/>
                <w:kern w:val="0"/>
                <w:sz w:val="20"/>
              </w:rPr>
              <w:t>三、本年度办理结果</w:t>
            </w:r>
          </w:p>
        </w:tc>
        <w:tc>
          <w:tcPr>
            <w:tcW w:w="4164" w:type="dxa"/>
            <w:gridSpan w:val="2"/>
            <w:tcBorders>
              <w:top w:val="nil"/>
              <w:left w:val="nil"/>
              <w:bottom w:val="single" w:color="auto" w:sz="8" w:space="0"/>
              <w:right w:val="single" w:color="auto" w:sz="8" w:space="0"/>
            </w:tcBorders>
            <w:tcMar>
              <w:left w:w="57" w:type="dxa"/>
              <w:right w:w="57" w:type="dxa"/>
            </w:tcMar>
            <w:vAlign w:val="center"/>
          </w:tcPr>
          <w:p>
            <w:pPr>
              <w:jc w:val="left"/>
              <w:rPr>
                <w:color w:val="000000"/>
              </w:rPr>
            </w:pPr>
            <w:r>
              <w:rPr>
                <w:rFonts w:hint="eastAsia" w:cs="宋体"/>
                <w:color w:val="000000"/>
                <w:kern w:val="0"/>
                <w:sz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color w:val="000000"/>
                <w:sz w:val="24"/>
              </w:rPr>
            </w:pPr>
          </w:p>
        </w:tc>
        <w:tc>
          <w:tcPr>
            <w:tcW w:w="4164" w:type="dxa"/>
            <w:gridSpan w:val="2"/>
            <w:tcBorders>
              <w:top w:val="nil"/>
              <w:left w:val="nil"/>
              <w:bottom w:val="single" w:color="auto" w:sz="8" w:space="0"/>
              <w:right w:val="single" w:color="auto" w:sz="8" w:space="0"/>
            </w:tcBorders>
            <w:tcMar>
              <w:left w:w="57" w:type="dxa"/>
              <w:right w:w="57" w:type="dxa"/>
            </w:tcMar>
            <w:vAlign w:val="center"/>
          </w:tcPr>
          <w:p>
            <w:pPr>
              <w:jc w:val="left"/>
              <w:rPr>
                <w:color w:val="000000"/>
              </w:rPr>
            </w:pPr>
            <w:r>
              <w:rPr>
                <w:rFonts w:hint="eastAsia" w:cs="宋体"/>
                <w:color w:val="000000"/>
                <w:kern w:val="0"/>
                <w:sz w:val="20"/>
              </w:rPr>
              <w:t>（二）部分公开</w:t>
            </w:r>
            <w:r>
              <w:rPr>
                <w:rFonts w:eastAsia="楷体" w:cs="楷体"/>
                <w:color w:val="000000"/>
                <w:kern w:val="0"/>
                <w:sz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color w:val="000000"/>
                <w:sz w:val="24"/>
              </w:rPr>
            </w:pPr>
          </w:p>
        </w:tc>
        <w:tc>
          <w:tcPr>
            <w:tcW w:w="943" w:type="dxa"/>
            <w:vMerge w:val="restart"/>
            <w:tcBorders>
              <w:top w:val="single" w:color="auto" w:sz="0" w:space="0"/>
              <w:left w:val="single" w:color="auto" w:sz="0" w:space="0"/>
              <w:bottom w:val="outset" w:color="auto" w:sz="8" w:space="0"/>
              <w:right w:val="single" w:color="auto" w:sz="8" w:space="0"/>
            </w:tcBorders>
            <w:tcMar>
              <w:left w:w="57" w:type="dxa"/>
              <w:right w:w="57" w:type="dxa"/>
            </w:tcMar>
            <w:vAlign w:val="center"/>
          </w:tcPr>
          <w:p>
            <w:pPr>
              <w:jc w:val="left"/>
              <w:rPr>
                <w:color w:val="000000"/>
              </w:rPr>
            </w:pPr>
            <w:r>
              <w:rPr>
                <w:rFonts w:hint="eastAsia" w:cs="宋体"/>
                <w:color w:val="000000"/>
                <w:kern w:val="0"/>
                <w:sz w:val="20"/>
              </w:rPr>
              <w:t>（三）不予公开</w:t>
            </w:r>
          </w:p>
        </w:tc>
        <w:tc>
          <w:tcPr>
            <w:tcW w:w="3221" w:type="dxa"/>
            <w:tcBorders>
              <w:top w:val="nil"/>
              <w:left w:val="nil"/>
              <w:bottom w:val="single" w:color="auto" w:sz="8" w:space="0"/>
              <w:right w:val="single" w:color="auto" w:sz="8" w:space="0"/>
            </w:tcBorders>
            <w:tcMar>
              <w:left w:w="57" w:type="dxa"/>
              <w:right w:w="57" w:type="dxa"/>
            </w:tcMar>
          </w:tcPr>
          <w:p>
            <w:pPr>
              <w:jc w:val="left"/>
              <w:rPr>
                <w:color w:val="000000"/>
              </w:rPr>
            </w:pPr>
            <w:r>
              <w:rPr>
                <w:rFonts w:hint="eastAsia" w:cs="宋体"/>
                <w:color w:val="000000"/>
                <w:kern w:val="0"/>
                <w:sz w:val="20"/>
              </w:rPr>
              <w:t>1.属于国家秘密</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jc w:val="left"/>
              <w:rPr>
                <w:color w:val="000000"/>
              </w:rPr>
            </w:pPr>
            <w:r>
              <w:rPr>
                <w:rFonts w:hint="eastAsia" w:cs="宋体"/>
                <w:color w:val="000000"/>
                <w:kern w:val="0"/>
                <w:sz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jc w:val="left"/>
              <w:rPr>
                <w:color w:val="000000"/>
              </w:rPr>
            </w:pPr>
            <w:r>
              <w:rPr>
                <w:rFonts w:hint="eastAsia" w:cs="宋体"/>
                <w:color w:val="000000"/>
                <w:kern w:val="0"/>
                <w:sz w:val="20"/>
              </w:rPr>
              <w:t>3.危及“三安全一稳定”</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jc w:val="left"/>
              <w:rPr>
                <w:color w:val="000000"/>
              </w:rPr>
            </w:pPr>
            <w:r>
              <w:rPr>
                <w:rFonts w:hint="eastAsia" w:cs="宋体"/>
                <w:color w:val="000000"/>
                <w:kern w:val="0"/>
                <w:sz w:val="20"/>
              </w:rPr>
              <w:t>4.保护第三方合法权益</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jc w:val="left"/>
              <w:rPr>
                <w:color w:val="000000"/>
              </w:rPr>
            </w:pPr>
            <w:r>
              <w:rPr>
                <w:rFonts w:hint="eastAsia" w:cs="宋体"/>
                <w:color w:val="000000"/>
                <w:kern w:val="0"/>
                <w:sz w:val="20"/>
              </w:rPr>
              <w:t>5.属于三类内部事务信息</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jc w:val="left"/>
              <w:rPr>
                <w:color w:val="000000"/>
              </w:rPr>
            </w:pPr>
            <w:r>
              <w:rPr>
                <w:rFonts w:hint="eastAsia" w:cs="宋体"/>
                <w:color w:val="000000"/>
                <w:kern w:val="0"/>
                <w:sz w:val="20"/>
              </w:rPr>
              <w:t>6.属于四类过程性信息</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jc w:val="left"/>
              <w:rPr>
                <w:color w:val="000000"/>
              </w:rPr>
            </w:pPr>
            <w:r>
              <w:rPr>
                <w:rFonts w:hint="eastAsia" w:cs="宋体"/>
                <w:color w:val="000000"/>
                <w:kern w:val="0"/>
                <w:sz w:val="20"/>
              </w:rPr>
              <w:t>7.属于行政执法案卷</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jc w:val="left"/>
              <w:rPr>
                <w:color w:val="000000"/>
              </w:rPr>
            </w:pPr>
            <w:r>
              <w:rPr>
                <w:rFonts w:hint="eastAsia" w:cs="宋体"/>
                <w:color w:val="000000"/>
                <w:kern w:val="0"/>
                <w:sz w:val="20"/>
              </w:rPr>
              <w:t>8.属于行政查询事项</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color w:val="000000"/>
                <w:sz w:val="24"/>
              </w:rPr>
            </w:pPr>
          </w:p>
        </w:tc>
        <w:tc>
          <w:tcPr>
            <w:tcW w:w="943" w:type="dxa"/>
            <w:vMerge w:val="restart"/>
            <w:tcBorders>
              <w:top w:val="single" w:color="auto" w:sz="0" w:space="0"/>
              <w:left w:val="single" w:color="auto" w:sz="0" w:space="0"/>
              <w:bottom w:val="outset" w:color="auto" w:sz="8" w:space="0"/>
              <w:right w:val="single" w:color="auto" w:sz="8" w:space="0"/>
            </w:tcBorders>
            <w:tcMar>
              <w:left w:w="57" w:type="dxa"/>
              <w:right w:w="57" w:type="dxa"/>
            </w:tcMar>
            <w:vAlign w:val="center"/>
          </w:tcPr>
          <w:p>
            <w:pPr>
              <w:jc w:val="left"/>
              <w:rPr>
                <w:color w:val="000000"/>
              </w:rPr>
            </w:pPr>
            <w:r>
              <w:rPr>
                <w:rFonts w:hint="eastAsia" w:cs="宋体"/>
                <w:color w:val="000000"/>
                <w:kern w:val="0"/>
                <w:sz w:val="20"/>
              </w:rPr>
              <w:t>（四）无法提供</w:t>
            </w:r>
          </w:p>
        </w:tc>
        <w:tc>
          <w:tcPr>
            <w:tcW w:w="3221" w:type="dxa"/>
            <w:tcBorders>
              <w:top w:val="nil"/>
              <w:left w:val="nil"/>
              <w:bottom w:val="single" w:color="auto" w:sz="8" w:space="0"/>
              <w:right w:val="single" w:color="auto" w:sz="8" w:space="0"/>
            </w:tcBorders>
            <w:tcMar>
              <w:left w:w="57" w:type="dxa"/>
              <w:right w:w="57" w:type="dxa"/>
            </w:tcMar>
          </w:tcPr>
          <w:p>
            <w:pPr>
              <w:jc w:val="left"/>
              <w:rPr>
                <w:color w:val="000000"/>
              </w:rPr>
            </w:pPr>
            <w:r>
              <w:rPr>
                <w:rFonts w:hint="eastAsia" w:cs="宋体"/>
                <w:color w:val="000000"/>
                <w:kern w:val="0"/>
                <w:sz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jc w:val="left"/>
              <w:rPr>
                <w:color w:val="000000"/>
              </w:rPr>
            </w:pPr>
            <w:r>
              <w:rPr>
                <w:rFonts w:hint="eastAsia" w:cs="宋体"/>
                <w:color w:val="000000"/>
                <w:kern w:val="0"/>
                <w:sz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jc w:val="left"/>
              <w:rPr>
                <w:color w:val="000000"/>
              </w:rPr>
            </w:pPr>
            <w:r>
              <w:rPr>
                <w:rFonts w:hint="eastAsia" w:cs="宋体"/>
                <w:color w:val="000000"/>
                <w:kern w:val="0"/>
                <w:sz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color w:val="000000"/>
                <w:sz w:val="24"/>
              </w:rPr>
            </w:pPr>
          </w:p>
        </w:tc>
        <w:tc>
          <w:tcPr>
            <w:tcW w:w="943" w:type="dxa"/>
            <w:vMerge w:val="restart"/>
            <w:tcBorders>
              <w:top w:val="single" w:color="auto" w:sz="0" w:space="0"/>
              <w:left w:val="single" w:color="auto" w:sz="0" w:space="0"/>
              <w:bottom w:val="outset" w:color="auto" w:sz="8" w:space="0"/>
              <w:right w:val="single" w:color="auto" w:sz="8" w:space="0"/>
            </w:tcBorders>
            <w:tcMar>
              <w:left w:w="57" w:type="dxa"/>
              <w:right w:w="57" w:type="dxa"/>
            </w:tcMar>
            <w:vAlign w:val="center"/>
          </w:tcPr>
          <w:p>
            <w:pPr>
              <w:jc w:val="left"/>
              <w:rPr>
                <w:color w:val="000000"/>
              </w:rPr>
            </w:pPr>
            <w:r>
              <w:rPr>
                <w:rFonts w:hint="eastAsia" w:cs="宋体"/>
                <w:color w:val="000000"/>
                <w:kern w:val="0"/>
                <w:sz w:val="20"/>
              </w:rPr>
              <w:t>（五）不予处理</w:t>
            </w:r>
          </w:p>
        </w:tc>
        <w:tc>
          <w:tcPr>
            <w:tcW w:w="3221" w:type="dxa"/>
            <w:tcBorders>
              <w:top w:val="nil"/>
              <w:left w:val="nil"/>
              <w:bottom w:val="single" w:color="auto" w:sz="8" w:space="0"/>
              <w:right w:val="single" w:color="auto" w:sz="8" w:space="0"/>
            </w:tcBorders>
            <w:tcMar>
              <w:left w:w="57" w:type="dxa"/>
              <w:right w:w="57" w:type="dxa"/>
            </w:tcMar>
          </w:tcPr>
          <w:p>
            <w:pPr>
              <w:jc w:val="left"/>
              <w:rPr>
                <w:color w:val="000000"/>
              </w:rPr>
            </w:pPr>
            <w:r>
              <w:rPr>
                <w:rFonts w:hint="eastAsia" w:cs="宋体"/>
                <w:color w:val="000000"/>
                <w:kern w:val="0"/>
                <w:sz w:val="20"/>
              </w:rPr>
              <w:t>1.信访举报投诉类申请</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jc w:val="left"/>
              <w:rPr>
                <w:color w:val="000000"/>
              </w:rPr>
            </w:pPr>
            <w:r>
              <w:rPr>
                <w:rFonts w:hint="eastAsia" w:cs="宋体"/>
                <w:color w:val="000000"/>
                <w:kern w:val="0"/>
                <w:sz w:val="20"/>
              </w:rPr>
              <w:t>2.重复申请</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jc w:val="left"/>
              <w:rPr>
                <w:color w:val="000000"/>
              </w:rPr>
            </w:pPr>
            <w:r>
              <w:rPr>
                <w:rFonts w:hint="eastAsia" w:cs="宋体"/>
                <w:color w:val="000000"/>
                <w:kern w:val="0"/>
                <w:sz w:val="20"/>
              </w:rPr>
              <w:t>3.要求提供公开出版物</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jc w:val="left"/>
              <w:rPr>
                <w:color w:val="000000"/>
              </w:rPr>
            </w:pPr>
            <w:r>
              <w:rPr>
                <w:rFonts w:hint="eastAsia" w:cs="宋体"/>
                <w:color w:val="000000"/>
                <w:kern w:val="0"/>
                <w:sz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color w:val="000000"/>
                <w:sz w:val="24"/>
              </w:rPr>
            </w:pPr>
          </w:p>
        </w:tc>
        <w:tc>
          <w:tcPr>
            <w:tcW w:w="3221"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color w:val="000000"/>
              </w:rPr>
            </w:pPr>
            <w:r>
              <w:rPr>
                <w:rFonts w:hint="eastAsia" w:cs="宋体"/>
                <w:color w:val="000000"/>
                <w:kern w:val="0"/>
                <w:sz w:val="20"/>
              </w:rPr>
              <w:t>5.要求行政机关确认或重新出具已获取信息</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tcPr>
          <w:p>
            <w:pPr>
              <w:jc w:val="center"/>
              <w:rPr>
                <w:rFonts w:eastAsia="等线"/>
                <w:color w:val="000000"/>
              </w:rPr>
            </w:pPr>
            <w:r>
              <w:rPr>
                <w:rFonts w:hint="eastAsia" w:eastAsia="等线" w:cs="Calibri"/>
                <w:color w:val="000000"/>
                <w:kern w:val="0"/>
                <w:sz w:val="20"/>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c>
          <w:tcPr>
            <w:tcW w:w="689" w:type="dxa"/>
            <w:tcBorders>
              <w:top w:val="single" w:color="auto" w:sz="0" w:space="0"/>
              <w:left w:val="single" w:color="auto" w:sz="0" w:space="0"/>
              <w:bottom w:val="outset"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color w:val="000000"/>
                <w:sz w:val="24"/>
              </w:rPr>
            </w:pPr>
          </w:p>
        </w:tc>
        <w:tc>
          <w:tcPr>
            <w:tcW w:w="943" w:type="dxa"/>
            <w:vMerge w:val="restart"/>
            <w:tcBorders>
              <w:top w:val="outset" w:color="auto" w:sz="8" w:space="0"/>
              <w:left w:val="single" w:color="auto" w:sz="0" w:space="0"/>
              <w:bottom w:val="outset" w:color="auto" w:sz="8" w:space="0"/>
              <w:right w:val="single" w:color="auto" w:sz="8" w:space="0"/>
            </w:tcBorders>
            <w:tcMar>
              <w:left w:w="57" w:type="dxa"/>
              <w:right w:w="57" w:type="dxa"/>
            </w:tcMar>
            <w:vAlign w:val="center"/>
          </w:tcPr>
          <w:p>
            <w:pPr>
              <w:jc w:val="left"/>
              <w:rPr>
                <w:color w:val="000000"/>
              </w:rPr>
            </w:pPr>
            <w:r>
              <w:rPr>
                <w:rFonts w:hint="eastAsia" w:cs="宋体"/>
                <w:color w:val="000000"/>
                <w:kern w:val="0"/>
                <w:sz w:val="20"/>
              </w:rPr>
              <w:t>（六）其他处理</w:t>
            </w:r>
          </w:p>
        </w:tc>
        <w:tc>
          <w:tcPr>
            <w:tcW w:w="3221" w:type="dxa"/>
            <w:tcBorders>
              <w:top w:val="nil"/>
              <w:left w:val="nil"/>
              <w:bottom w:val="single" w:color="auto" w:sz="8" w:space="0"/>
              <w:right w:val="single" w:color="auto" w:sz="8" w:space="0"/>
            </w:tcBorders>
            <w:tcMar>
              <w:left w:w="57" w:type="dxa"/>
              <w:right w:w="57" w:type="dxa"/>
            </w:tcMar>
            <w:vAlign w:val="center"/>
          </w:tcPr>
          <w:p>
            <w:pPr>
              <w:rPr>
                <w:color w:val="000000"/>
              </w:rPr>
            </w:pPr>
            <w:r>
              <w:rPr>
                <w:rFonts w:hint="eastAsia" w:cs="宋体"/>
                <w:color w:val="000000"/>
                <w:kern w:val="0"/>
                <w:sz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jc w:val="center"/>
              <w:rPr>
                <w:rFonts w:hint="eastAsia" w:eastAsia="等线" w:cs="Calibri"/>
                <w:color w:val="000000"/>
                <w:kern w:val="0"/>
                <w:sz w:val="20"/>
                <w:lang w:val="en-US" w:eastAsia="zh-CN"/>
              </w:rPr>
            </w:pPr>
            <w:r>
              <w:rPr>
                <w:rFonts w:hint="eastAsia" w:eastAsia="等线" w:cs="Calibri"/>
                <w:color w:val="000000"/>
                <w:kern w:val="0"/>
                <w:sz w:val="20"/>
                <w:lang w:val="en-US" w:eastAsia="zh-CN"/>
              </w:rPr>
              <w:t>0</w:t>
            </w:r>
          </w:p>
          <w:p>
            <w:pPr>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color w:val="000000"/>
                <w:sz w:val="24"/>
              </w:rPr>
            </w:pPr>
          </w:p>
        </w:tc>
        <w:tc>
          <w:tcPr>
            <w:tcW w:w="943" w:type="dxa"/>
            <w:vMerge w:val="continue"/>
            <w:tcBorders>
              <w:top w:val="outset" w:color="auto" w:sz="8" w:space="0"/>
              <w:left w:val="single" w:color="auto" w:sz="0" w:space="0"/>
              <w:bottom w:val="outset" w:color="auto" w:sz="8" w:space="0"/>
              <w:right w:val="single" w:color="auto" w:sz="8" w:space="0"/>
            </w:tcBorders>
            <w:tcMar>
              <w:left w:w="57" w:type="dxa"/>
              <w:right w:w="57" w:type="dxa"/>
            </w:tcMar>
            <w:vAlign w:val="center"/>
          </w:tcPr>
          <w:p>
            <w:pPr>
              <w:rPr>
                <w:color w:val="000000"/>
                <w:sz w:val="24"/>
              </w:rPr>
            </w:pPr>
          </w:p>
        </w:tc>
        <w:tc>
          <w:tcPr>
            <w:tcW w:w="3221" w:type="dxa"/>
            <w:tcBorders>
              <w:top w:val="nil"/>
              <w:left w:val="nil"/>
              <w:bottom w:val="single" w:color="auto" w:sz="8" w:space="0"/>
              <w:right w:val="single" w:color="auto" w:sz="8" w:space="0"/>
            </w:tcBorders>
            <w:tcMar>
              <w:left w:w="57" w:type="dxa"/>
              <w:right w:w="57" w:type="dxa"/>
            </w:tcMar>
            <w:vAlign w:val="center"/>
          </w:tcPr>
          <w:p>
            <w:pPr>
              <w:rPr>
                <w:color w:val="000000"/>
              </w:rPr>
            </w:pPr>
            <w:r>
              <w:rPr>
                <w:rFonts w:hint="eastAsia" w:cs="宋体"/>
                <w:color w:val="000000"/>
                <w:kern w:val="0"/>
                <w:sz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jc w:val="center"/>
              <w:rPr>
                <w:rFonts w:eastAsia="等线" w:cs="Calibri"/>
                <w:color w:val="000000"/>
                <w:kern w:val="0"/>
                <w:sz w:val="20"/>
              </w:rPr>
            </w:pPr>
          </w:p>
          <w:p>
            <w:pPr>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color w:val="000000"/>
                <w:sz w:val="24"/>
              </w:rPr>
            </w:pPr>
          </w:p>
        </w:tc>
        <w:tc>
          <w:tcPr>
            <w:tcW w:w="943" w:type="dxa"/>
            <w:vMerge w:val="continue"/>
            <w:tcBorders>
              <w:top w:val="outset" w:color="auto" w:sz="8" w:space="0"/>
              <w:left w:val="single" w:color="auto" w:sz="0" w:space="0"/>
              <w:bottom w:val="outset" w:color="auto" w:sz="8" w:space="0"/>
              <w:right w:val="single" w:color="auto" w:sz="8" w:space="0"/>
            </w:tcBorders>
            <w:tcMar>
              <w:left w:w="57" w:type="dxa"/>
              <w:right w:w="57" w:type="dxa"/>
            </w:tcMar>
            <w:vAlign w:val="center"/>
          </w:tcPr>
          <w:p>
            <w:pPr>
              <w:rPr>
                <w:color w:val="000000"/>
                <w:sz w:val="24"/>
              </w:rPr>
            </w:pPr>
          </w:p>
        </w:tc>
        <w:tc>
          <w:tcPr>
            <w:tcW w:w="3221" w:type="dxa"/>
            <w:tcBorders>
              <w:top w:val="nil"/>
              <w:left w:val="nil"/>
              <w:bottom w:val="single" w:color="auto" w:sz="8" w:space="0"/>
              <w:right w:val="single" w:color="auto" w:sz="8" w:space="0"/>
            </w:tcBorders>
            <w:tcMar>
              <w:left w:w="57" w:type="dxa"/>
              <w:right w:w="57" w:type="dxa"/>
            </w:tcMar>
            <w:vAlign w:val="center"/>
          </w:tcPr>
          <w:p>
            <w:pPr>
              <w:jc w:val="left"/>
              <w:rPr>
                <w:color w:val="000000"/>
              </w:rPr>
            </w:pPr>
            <w:r>
              <w:rPr>
                <w:rFonts w:hint="eastAsia" w:cs="宋体"/>
                <w:color w:val="000000"/>
                <w:kern w:val="0"/>
                <w:sz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color w:val="000000"/>
                <w:sz w:val="24"/>
              </w:rPr>
            </w:pPr>
          </w:p>
        </w:tc>
        <w:tc>
          <w:tcPr>
            <w:tcW w:w="4164" w:type="dxa"/>
            <w:gridSpan w:val="2"/>
            <w:tcBorders>
              <w:top w:val="nil"/>
              <w:left w:val="nil"/>
              <w:bottom w:val="single" w:color="auto" w:sz="8" w:space="0"/>
              <w:right w:val="single" w:color="auto" w:sz="8" w:space="0"/>
            </w:tcBorders>
            <w:tcMar>
              <w:left w:w="57" w:type="dxa"/>
              <w:right w:w="57" w:type="dxa"/>
            </w:tcMar>
            <w:vAlign w:val="center"/>
          </w:tcPr>
          <w:p>
            <w:pPr>
              <w:jc w:val="left"/>
              <w:rPr>
                <w:color w:val="000000"/>
              </w:rPr>
            </w:pPr>
            <w:r>
              <w:rPr>
                <w:rFonts w:hint="eastAsia" w:cs="宋体"/>
                <w:color w:val="000000"/>
                <w:kern w:val="0"/>
                <w:sz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jc w:val="left"/>
              <w:rPr>
                <w:color w:val="000000"/>
              </w:rPr>
            </w:pPr>
            <w:r>
              <w:rPr>
                <w:rFonts w:hint="eastAsia" w:cs="宋体"/>
                <w:color w:val="000000"/>
                <w:kern w:val="0"/>
                <w:sz w:val="20"/>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jc w:val="center"/>
              <w:rPr>
                <w:rFonts w:eastAsia="宋体"/>
                <w:color w:val="000000"/>
                <w:sz w:val="24"/>
              </w:rPr>
            </w:pPr>
            <w:r>
              <w:rPr>
                <w:rFonts w:hint="eastAsia"/>
                <w:color w:val="000000"/>
                <w:sz w:val="24"/>
              </w:rPr>
              <w:t>0</w:t>
            </w:r>
          </w:p>
        </w:tc>
      </w:tr>
    </w:tbl>
    <w:p>
      <w:pPr>
        <w:spacing w:line="600" w:lineRule="exact"/>
        <w:ind w:firstLine="640" w:firstLineChars="20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四、政府信息公开行政复议、行政诉讼情况</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结果</w:t>
            </w:r>
            <w:r>
              <w:rPr>
                <w:rFonts w:hint="eastAsia" w:cs="宋体"/>
                <w:color w:val="000000"/>
                <w:kern w:val="0"/>
                <w:sz w:val="20"/>
              </w:rPr>
              <w:br w:type="textWrapping"/>
            </w:r>
            <w:r>
              <w:rPr>
                <w:rFonts w:hint="eastAsia" w:cs="宋体"/>
                <w:color w:val="000000"/>
                <w:kern w:val="0"/>
                <w:sz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其他</w:t>
            </w:r>
            <w:r>
              <w:rPr>
                <w:rFonts w:hint="eastAsia" w:cs="宋体"/>
                <w:color w:val="000000"/>
                <w:kern w:val="0"/>
                <w:sz w:val="20"/>
              </w:rPr>
              <w:br w:type="textWrapping"/>
            </w:r>
            <w:r>
              <w:rPr>
                <w:rFonts w:hint="eastAsia" w:cs="宋体"/>
                <w:color w:val="000000"/>
                <w:kern w:val="0"/>
                <w:sz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尚未</w:t>
            </w:r>
            <w:r>
              <w:rPr>
                <w:rFonts w:hint="eastAsia" w:cs="宋体"/>
                <w:color w:val="000000"/>
                <w:kern w:val="0"/>
                <w:sz w:val="20"/>
              </w:rPr>
              <w:br w:type="textWrapping"/>
            </w:r>
            <w:r>
              <w:rPr>
                <w:rFonts w:hint="eastAsia" w:cs="宋体"/>
                <w:color w:val="000000"/>
                <w:kern w:val="0"/>
                <w:sz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color w:val="000000"/>
                <w:sz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color w:val="000000"/>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color w:val="000000"/>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color w:val="000000"/>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color w:val="000000"/>
                <w:sz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结果</w:t>
            </w:r>
            <w:r>
              <w:rPr>
                <w:rFonts w:hint="eastAsia" w:cs="宋体"/>
                <w:color w:val="000000"/>
                <w:kern w:val="0"/>
                <w:sz w:val="20"/>
              </w:rPr>
              <w:br w:type="textWrapping"/>
            </w:r>
            <w:r>
              <w:rPr>
                <w:rFonts w:hint="eastAsia" w:cs="宋体"/>
                <w:color w:val="000000"/>
                <w:kern w:val="0"/>
                <w:sz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结果</w:t>
            </w:r>
            <w:r>
              <w:rPr>
                <w:rFonts w:hint="eastAsia" w:cs="宋体"/>
                <w:color w:val="000000"/>
                <w:kern w:val="0"/>
                <w:sz w:val="20"/>
              </w:rPr>
              <w:br w:type="textWrapping"/>
            </w:r>
            <w:r>
              <w:rPr>
                <w:rFonts w:hint="eastAsia" w:cs="宋体"/>
                <w:color w:val="000000"/>
                <w:kern w:val="0"/>
                <w:sz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其他</w:t>
            </w:r>
            <w:r>
              <w:rPr>
                <w:rFonts w:hint="eastAsia" w:cs="宋体"/>
                <w:color w:val="000000"/>
                <w:kern w:val="0"/>
                <w:sz w:val="20"/>
              </w:rPr>
              <w:br w:type="textWrapping"/>
            </w:r>
            <w:r>
              <w:rPr>
                <w:rFonts w:hint="eastAsia" w:cs="宋体"/>
                <w:color w:val="000000"/>
                <w:kern w:val="0"/>
                <w:sz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尚未</w:t>
            </w:r>
            <w:r>
              <w:rPr>
                <w:rFonts w:hint="eastAsia" w:cs="宋体"/>
                <w:color w:val="000000"/>
                <w:kern w:val="0"/>
                <w:sz w:val="20"/>
              </w:rPr>
              <w:br w:type="textWrapping"/>
            </w:r>
            <w:r>
              <w:rPr>
                <w:rFonts w:hint="eastAsia" w:cs="宋体"/>
                <w:color w:val="000000"/>
                <w:kern w:val="0"/>
                <w:sz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结果</w:t>
            </w:r>
            <w:r>
              <w:rPr>
                <w:rFonts w:hint="eastAsia" w:cs="宋体"/>
                <w:color w:val="000000"/>
                <w:kern w:val="0"/>
                <w:sz w:val="20"/>
              </w:rPr>
              <w:br w:type="textWrapping"/>
            </w:r>
            <w:r>
              <w:rPr>
                <w:rFonts w:hint="eastAsia" w:cs="宋体"/>
                <w:color w:val="000000"/>
                <w:kern w:val="0"/>
                <w:sz w:val="20"/>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结果</w:t>
            </w:r>
            <w:r>
              <w:rPr>
                <w:rFonts w:hint="eastAsia" w:cs="宋体"/>
                <w:color w:val="000000"/>
                <w:kern w:val="0"/>
                <w:sz w:val="20"/>
              </w:rPr>
              <w:br w:type="textWrapping"/>
            </w:r>
            <w:r>
              <w:rPr>
                <w:rFonts w:hint="eastAsia" w:cs="宋体"/>
                <w:color w:val="000000"/>
                <w:kern w:val="0"/>
                <w:sz w:val="20"/>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其他</w:t>
            </w:r>
            <w:r>
              <w:rPr>
                <w:rFonts w:hint="eastAsia" w:cs="宋体"/>
                <w:color w:val="000000"/>
                <w:kern w:val="0"/>
                <w:sz w:val="20"/>
              </w:rPr>
              <w:br w:type="textWrapping"/>
            </w:r>
            <w:r>
              <w:rPr>
                <w:rFonts w:hint="eastAsia" w:cs="宋体"/>
                <w:color w:val="000000"/>
                <w:kern w:val="0"/>
                <w:sz w:val="20"/>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尚未</w:t>
            </w:r>
            <w:r>
              <w:rPr>
                <w:rFonts w:hint="eastAsia" w:cs="宋体"/>
                <w:color w:val="000000"/>
                <w:kern w:val="0"/>
                <w:sz w:val="20"/>
              </w:rPr>
              <w:br w:type="textWrapping"/>
            </w:r>
            <w:r>
              <w:rPr>
                <w:rFonts w:hint="eastAsia" w:cs="宋体"/>
                <w:color w:val="000000"/>
                <w:kern w:val="0"/>
                <w:sz w:val="20"/>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cs="宋体"/>
                <w:color w:val="000000"/>
                <w:kern w:val="0"/>
                <w:sz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eastAsia="黑体"/>
                <w:color w:val="000000"/>
              </w:rPr>
            </w:pPr>
            <w:r>
              <w:rPr>
                <w:rFonts w:eastAsia="黑体" w:cs="黑体"/>
                <w:color w:val="000000"/>
                <w:kern w:val="0"/>
                <w:sz w:val="20"/>
              </w:rPr>
              <w:t> </w:t>
            </w:r>
            <w:r>
              <w:rPr>
                <w:rFonts w:hint="eastAsia" w:eastAsia="黑体" w:cs="黑体"/>
                <w:color w:val="000000"/>
                <w:kern w:val="0"/>
                <w:sz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eastAsia="黑体" w:cs="黑体"/>
                <w:color w:val="000000"/>
                <w:kern w:val="0"/>
                <w:sz w:val="20"/>
              </w:rPr>
              <w:t>0 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eastAsia="黑体" w:cs="黑体"/>
                <w:color w:val="000000"/>
                <w:kern w:val="0"/>
                <w:sz w:val="20"/>
              </w:rPr>
              <w:t>0 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eastAsia="黑体"/>
                <w:color w:val="000000"/>
              </w:rPr>
            </w:pPr>
            <w:r>
              <w:rPr>
                <w:rFonts w:hint="eastAsia" w:eastAsia="黑体" w:cs="黑体"/>
                <w:color w:val="000000"/>
                <w:kern w:val="0"/>
                <w:sz w:val="20"/>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eastAsia="黑体"/>
                <w:color w:val="000000"/>
              </w:rPr>
            </w:pPr>
            <w:r>
              <w:rPr>
                <w:rFonts w:hint="eastAsia" w:eastAsia="黑体" w:cs="黑体"/>
                <w:color w:val="000000"/>
                <w:kern w:val="0"/>
                <w:sz w:val="20"/>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eastAsia="黑体" w:cs="黑体"/>
                <w:color w:val="000000"/>
                <w:kern w:val="0"/>
                <w:sz w:val="20"/>
              </w:rPr>
              <w:t>0 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eastAsia="黑体" w:cs="黑体"/>
                <w:color w:val="000000"/>
                <w:kern w:val="0"/>
                <w:sz w:val="20"/>
              </w:rPr>
              <w:t>0 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eastAsia="黑体"/>
                <w:color w:val="000000"/>
              </w:rPr>
            </w:pPr>
            <w:r>
              <w:rPr>
                <w:rFonts w:hint="eastAsia" w:eastAsia="黑体" w:cs="黑体"/>
                <w:color w:val="000000"/>
                <w:kern w:val="0"/>
                <w:sz w:val="20"/>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eastAsia="黑体"/>
                <w:color w:val="000000"/>
              </w:rPr>
            </w:pPr>
            <w:r>
              <w:rPr>
                <w:rFonts w:hint="eastAsia" w:eastAsia="黑体" w:cs="黑体"/>
                <w:color w:val="000000"/>
                <w:kern w:val="0"/>
                <w:sz w:val="20"/>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eastAsia="黑体"/>
                <w:color w:val="000000"/>
              </w:rPr>
            </w:pPr>
            <w:r>
              <w:rPr>
                <w:rFonts w:hint="eastAsia" w:eastAsia="黑体" w:cs="黑体"/>
                <w:color w:val="000000"/>
                <w:kern w:val="0"/>
                <w:sz w:val="20"/>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eastAsia="黑体" w:cs="黑体"/>
                <w:color w:val="000000"/>
                <w:kern w:val="0"/>
                <w:sz w:val="20"/>
              </w:rPr>
              <w:t>0 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eastAsia="黑体"/>
                <w:color w:val="000000"/>
              </w:rPr>
            </w:pPr>
            <w:r>
              <w:rPr>
                <w:rFonts w:hint="eastAsia" w:eastAsia="黑体" w:cs="黑体"/>
                <w:color w:val="000000"/>
                <w:kern w:val="0"/>
                <w:sz w:val="20"/>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hint="eastAsia" w:eastAsia="黑体" w:cs="黑体"/>
                <w:color w:val="000000"/>
                <w:kern w:val="0"/>
                <w:sz w:val="20"/>
              </w:rPr>
              <w:t>0 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eastAsia="黑体"/>
                <w:color w:val="000000"/>
              </w:rPr>
            </w:pPr>
            <w:r>
              <w:rPr>
                <w:rFonts w:hint="eastAsia" w:eastAsia="黑体" w:cs="黑体"/>
                <w:color w:val="000000"/>
                <w:kern w:val="0"/>
                <w:sz w:val="20"/>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rPr>
                <w:rFonts w:eastAsia="宋体"/>
                <w:color w:val="000000"/>
                <w:sz w:val="24"/>
              </w:rPr>
            </w:pPr>
            <w:r>
              <w:rPr>
                <w:rFonts w:hint="eastAsia"/>
                <w:color w:val="000000"/>
                <w:sz w:val="24"/>
              </w:rPr>
              <w:t xml:space="preserve"> 0</w:t>
            </w:r>
          </w:p>
        </w:tc>
      </w:tr>
    </w:tbl>
    <w:p>
      <w:pPr>
        <w:widowControl/>
        <w:shd w:val="clear" w:color="auto" w:fill="FFFFFF"/>
        <w:autoSpaceDN w:val="0"/>
        <w:spacing w:line="560" w:lineRule="exact"/>
        <w:ind w:firstLine="640" w:firstLineChars="200"/>
        <w:rPr>
          <w:rFonts w:hint="eastAsia" w:ascii="Times New Roman" w:hAnsi="Times New Roman" w:eastAsia="方正黑体_GBK"/>
          <w:kern w:val="0"/>
          <w:sz w:val="32"/>
          <w:szCs w:val="32"/>
          <w:lang w:val="en-US" w:eastAsia="zh-CN"/>
        </w:rPr>
      </w:pPr>
      <w:r>
        <w:rPr>
          <w:rFonts w:ascii="Times New Roman" w:hAnsi="Times New Roman" w:eastAsia="方正黑体_GBK"/>
          <w:bCs/>
          <w:kern w:val="0"/>
          <w:sz w:val="32"/>
          <w:szCs w:val="32"/>
        </w:rPr>
        <w:t>五、</w:t>
      </w:r>
      <w:r>
        <w:rPr>
          <w:rFonts w:hint="eastAsia" w:ascii="Times New Roman" w:hAnsi="Times New Roman" w:eastAsia="方正黑体_GBK"/>
          <w:bCs/>
          <w:kern w:val="0"/>
          <w:sz w:val="32"/>
          <w:szCs w:val="32"/>
          <w:lang w:val="en-US" w:eastAsia="zh-CN"/>
        </w:rPr>
        <w:t>当前</w:t>
      </w:r>
      <w:r>
        <w:rPr>
          <w:rFonts w:ascii="Times New Roman" w:hAnsi="Times New Roman" w:eastAsia="方正黑体_GBK"/>
          <w:bCs/>
          <w:kern w:val="0"/>
          <w:sz w:val="32"/>
          <w:szCs w:val="32"/>
        </w:rPr>
        <w:t>存在的主要问题及</w:t>
      </w:r>
      <w:r>
        <w:rPr>
          <w:rFonts w:hint="eastAsia" w:ascii="Times New Roman" w:hAnsi="Times New Roman" w:eastAsia="方正黑体_GBK"/>
          <w:bCs/>
          <w:kern w:val="0"/>
          <w:sz w:val="32"/>
          <w:szCs w:val="32"/>
          <w:lang w:val="en-US" w:eastAsia="zh-CN"/>
        </w:rPr>
        <w:t>下步</w:t>
      </w:r>
      <w:r>
        <w:rPr>
          <w:rFonts w:ascii="Times New Roman" w:hAnsi="Times New Roman" w:eastAsia="方正黑体_GBK"/>
          <w:bCs/>
          <w:kern w:val="0"/>
          <w:sz w:val="32"/>
          <w:szCs w:val="32"/>
        </w:rPr>
        <w:t>改进</w:t>
      </w:r>
      <w:r>
        <w:rPr>
          <w:rFonts w:hint="eastAsia" w:ascii="Times New Roman" w:hAnsi="Times New Roman" w:eastAsia="方正黑体_GBK"/>
          <w:bCs/>
          <w:kern w:val="0"/>
          <w:sz w:val="32"/>
          <w:szCs w:val="32"/>
          <w:lang w:val="en-US" w:eastAsia="zh-CN"/>
        </w:rPr>
        <w:t>措施</w:t>
      </w:r>
    </w:p>
    <w:p>
      <w:pPr>
        <w:widowControl/>
        <w:shd w:val="clear" w:color="auto" w:fill="FFFFFF"/>
        <w:autoSpaceDN w:val="0"/>
        <w:spacing w:line="560" w:lineRule="exact"/>
        <w:ind w:firstLine="640" w:firstLineChars="200"/>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（一）</w:t>
      </w:r>
      <w:r>
        <w:rPr>
          <w:rFonts w:hint="eastAsia" w:ascii="方正楷体_GBK" w:hAnsi="方正楷体_GBK" w:eastAsia="方正楷体_GBK" w:cs="方正楷体_GBK"/>
          <w:kern w:val="0"/>
          <w:sz w:val="32"/>
          <w:szCs w:val="32"/>
          <w:lang w:val="en-US" w:eastAsia="zh-CN"/>
        </w:rPr>
        <w:t>2021年</w:t>
      </w:r>
      <w:r>
        <w:rPr>
          <w:rFonts w:hint="eastAsia" w:ascii="方正楷体_GBK" w:hAnsi="方正楷体_GBK" w:eastAsia="方正楷体_GBK" w:cs="方正楷体_GBK"/>
          <w:kern w:val="0"/>
          <w:sz w:val="32"/>
          <w:szCs w:val="32"/>
        </w:rPr>
        <w:t>存在的问题</w:t>
      </w:r>
    </w:p>
    <w:p>
      <w:pPr>
        <w:widowControl/>
        <w:shd w:val="clear" w:color="auto" w:fill="FFFFFF"/>
        <w:autoSpaceDN w:val="0"/>
        <w:spacing w:line="56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一是</w:t>
      </w:r>
      <w:r>
        <w:rPr>
          <w:rFonts w:hint="eastAsia" w:ascii="方正仿宋_GBK" w:hAnsi="方正仿宋_GBK" w:eastAsia="方正仿宋_GBK" w:cs="方正仿宋_GBK"/>
          <w:sz w:val="32"/>
          <w:szCs w:val="32"/>
        </w:rPr>
        <w:t>经济社会发展类统计数据</w:t>
      </w:r>
      <w:r>
        <w:rPr>
          <w:rFonts w:hint="eastAsia" w:ascii="Times New Roman" w:hAnsi="Times New Roman" w:eastAsia="方正仿宋_GBK"/>
          <w:kern w:val="0"/>
          <w:sz w:val="32"/>
          <w:szCs w:val="32"/>
        </w:rPr>
        <w:t>公开力度有待进一步加强；二是统计信息社会知晓度有待进一步提高。</w:t>
      </w:r>
    </w:p>
    <w:p>
      <w:pPr>
        <w:widowControl/>
        <w:numPr>
          <w:ilvl w:val="0"/>
          <w:numId w:val="1"/>
        </w:numPr>
        <w:shd w:val="clear" w:color="auto" w:fill="FFFFFF"/>
        <w:autoSpaceDN w:val="0"/>
        <w:spacing w:line="560" w:lineRule="exact"/>
        <w:ind w:firstLine="640" w:firstLineChars="200"/>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lang w:val="en-US" w:eastAsia="zh-CN"/>
        </w:rPr>
        <w:t>2022年</w:t>
      </w:r>
      <w:r>
        <w:rPr>
          <w:rFonts w:hint="eastAsia" w:ascii="方正楷体_GBK" w:hAnsi="方正楷体_GBK" w:eastAsia="方正楷体_GBK" w:cs="方正楷体_GBK"/>
          <w:kern w:val="0"/>
          <w:sz w:val="32"/>
          <w:szCs w:val="32"/>
        </w:rPr>
        <w:t>改进</w:t>
      </w:r>
      <w:r>
        <w:rPr>
          <w:rFonts w:hint="eastAsia" w:ascii="方正楷体_GBK" w:hAnsi="方正楷体_GBK" w:eastAsia="方正楷体_GBK" w:cs="方正楷体_GBK"/>
          <w:kern w:val="0"/>
          <w:sz w:val="32"/>
          <w:szCs w:val="32"/>
          <w:lang w:val="en-US" w:eastAsia="zh-CN"/>
        </w:rPr>
        <w:t>工作</w:t>
      </w:r>
      <w:r>
        <w:rPr>
          <w:rFonts w:hint="eastAsia" w:ascii="方正楷体_GBK" w:hAnsi="方正楷体_GBK" w:eastAsia="方正楷体_GBK" w:cs="方正楷体_GBK"/>
          <w:kern w:val="0"/>
          <w:sz w:val="32"/>
          <w:szCs w:val="32"/>
        </w:rPr>
        <w:t>措施</w:t>
      </w:r>
    </w:p>
    <w:p>
      <w:pPr>
        <w:widowControl/>
        <w:shd w:val="clear" w:color="auto" w:fill="FFFFFF"/>
        <w:autoSpaceDN w:val="0"/>
        <w:spacing w:line="56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一是精准把握区委、区政府关注的热点、难点、重点，多角度加强经济运行监测类、分析类、综合类的信息撰写和发布，跟踪反映全区经济社会状况。二是及时公布渝北统计年鉴、统计公报等相关数据，开展季度数据公布工作，让人民群众及时了解全区的经济社会发展情况。</w:t>
      </w:r>
    </w:p>
    <w:p>
      <w:pPr>
        <w:widowControl/>
        <w:shd w:val="clear" w:color="auto" w:fill="FFFFFF"/>
        <w:autoSpaceDN w:val="0"/>
        <w:spacing w:line="560" w:lineRule="exact"/>
        <w:ind w:firstLine="640" w:firstLineChars="200"/>
        <w:rPr>
          <w:rFonts w:ascii="Times New Roman" w:hAnsi="Times New Roman" w:eastAsia="方正黑体_GBK"/>
          <w:kern w:val="0"/>
          <w:sz w:val="32"/>
          <w:szCs w:val="32"/>
        </w:rPr>
      </w:pPr>
      <w:r>
        <w:rPr>
          <w:rFonts w:ascii="Times New Roman" w:hAnsi="Times New Roman" w:eastAsia="方正黑体_GBK"/>
          <w:bCs/>
          <w:kern w:val="0"/>
          <w:sz w:val="32"/>
          <w:szCs w:val="32"/>
        </w:rPr>
        <w:t>六、其他需要报告的事项</w:t>
      </w:r>
    </w:p>
    <w:p>
      <w:r>
        <w:rPr>
          <w:rFonts w:hint="eastAsia" w:ascii="Times New Roman" w:hAnsi="Times New Roman" w:eastAsia="方正仿宋_GBK"/>
          <w:kern w:val="0"/>
          <w:sz w:val="32"/>
          <w:szCs w:val="32"/>
        </w:rPr>
        <w:t>本单位严格落实《政府信息公开条例》和《国务院办公厅关于印发2021年政务公开工作要点的通知》（国办发〔2021〕12号）、《重庆市人民政府办公厅关于印发贯彻落实国务院办公厅2021年政务</w:t>
      </w:r>
      <w:bookmarkStart w:id="0" w:name="_GoBack"/>
      <w:bookmarkEnd w:id="0"/>
      <w:r>
        <w:rPr>
          <w:rFonts w:hint="eastAsia" w:ascii="Times New Roman" w:hAnsi="Times New Roman" w:eastAsia="方正仿宋_GBK"/>
          <w:kern w:val="0"/>
          <w:sz w:val="32"/>
          <w:szCs w:val="32"/>
        </w:rPr>
        <w:t>公开工作要点任务分工的通知》（渝府办发〔2021〕50号）、《重庆市渝北区人民政府办公室关于印发渝北区2021年政务公开重点工作任务分工的通知》（渝北府办〔2021〕30号）要求，完成政务公开各项工作。本机关未收取信息处理费。</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8F8F75"/>
    <w:multiLevelType w:val="singleLevel"/>
    <w:tmpl w:val="7C8F8F7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357D0"/>
    <w:rsid w:val="1B3B3683"/>
    <w:rsid w:val="50727D08"/>
    <w:rsid w:val="65B84C21"/>
    <w:rsid w:val="72835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2022-01-25T03:02:00Z</dcterms:created>
  <dc:creator>Administrator</dc:creator>
  <cp:lastModifiedBy>Administrator</cp:lastModifiedBy>
  <dcterms:modified xsi:type="dcterms:W3CDTF">2022-01-27T05:09:25Z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430ADE609225403F9B087180F21CCFA2</vt:lpwstr>
  </property>
</Properties>
</file>