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0" w:lineRule="exact"/>
        <w:jc w:val="both"/>
        <w:textAlignment w:val="auto"/>
        <w:rPr>
          <w:rFonts w:eastAsia="方正仿宋_GBK"/>
          <w:sz w:val="32"/>
          <w:szCs w:val="32"/>
        </w:rPr>
      </w:pPr>
    </w:p>
    <w:p>
      <w:pPr>
        <w:spacing w:line="600" w:lineRule="exact"/>
        <w:jc w:val="center"/>
        <w:rPr>
          <w:rFonts w:hint="eastAsia" w:eastAsia="方正小标宋_GBK"/>
          <w:sz w:val="44"/>
          <w:szCs w:val="44"/>
        </w:rPr>
      </w:pPr>
      <w:r>
        <w:rPr>
          <w:rFonts w:hint="eastAsia" w:ascii="方正楷体_GBK" w:hAnsi="Calibri" w:eastAsia="方正楷体_GBK" w:cs="Times New Roman"/>
          <w:sz w:val="32"/>
          <w:szCs w:val="32"/>
        </w:rPr>
        <w:t>渝北商〔20</w:t>
      </w:r>
      <w:r>
        <w:rPr>
          <w:rFonts w:hint="eastAsia" w:ascii="方正楷体_GBK" w:hAnsi="Calibri" w:eastAsia="方正楷体_GBK" w:cs="Times New Roman"/>
          <w:sz w:val="32"/>
          <w:szCs w:val="32"/>
          <w:lang w:val="en-US" w:eastAsia="zh-CN"/>
        </w:rPr>
        <w:t>20</w:t>
      </w:r>
      <w:r>
        <w:rPr>
          <w:rFonts w:hint="eastAsia" w:ascii="方正楷体_GBK" w:hAnsi="Calibri" w:eastAsia="方正楷体_GBK" w:cs="Times New Roman"/>
          <w:sz w:val="32"/>
          <w:szCs w:val="32"/>
        </w:rPr>
        <w:t>〕</w:t>
      </w:r>
      <w:r>
        <w:rPr>
          <w:rFonts w:hint="eastAsia" w:ascii="方正楷体_GBK" w:eastAsia="方正楷体_GBK" w:cs="Times New Roman"/>
          <w:sz w:val="32"/>
          <w:szCs w:val="32"/>
          <w:lang w:val="en-US" w:eastAsia="zh-CN"/>
        </w:rPr>
        <w:t>92</w:t>
      </w:r>
      <w:r>
        <w:rPr>
          <w:rFonts w:hint="eastAsia" w:ascii="方正楷体_GBK" w:hAnsi="Calibri" w:eastAsia="方正楷体_GBK" w:cs="Times New Roman"/>
          <w:sz w:val="32"/>
          <w:szCs w:val="32"/>
        </w:rPr>
        <w:t>号</w:t>
      </w:r>
    </w:p>
    <w:p>
      <w:pPr>
        <w:spacing w:line="600" w:lineRule="exact"/>
        <w:jc w:val="center"/>
        <w:rPr>
          <w:rFonts w:hint="eastAsia" w:eastAsia="方正小标宋_GBK"/>
          <w:sz w:val="44"/>
          <w:szCs w:val="44"/>
        </w:rPr>
      </w:pPr>
    </w:p>
    <w:p>
      <w:pPr>
        <w:spacing w:line="600" w:lineRule="exact"/>
        <w:jc w:val="center"/>
        <w:rPr>
          <w:rFonts w:hint="eastAsia" w:eastAsia="方正小标宋_GBK"/>
          <w:sz w:val="44"/>
          <w:szCs w:val="44"/>
        </w:rPr>
      </w:pPr>
      <w:r>
        <w:rPr>
          <w:rFonts w:hint="eastAsia" w:eastAsia="方正小标宋_GBK"/>
          <w:sz w:val="44"/>
          <w:szCs w:val="44"/>
        </w:rPr>
        <w:t>重庆市渝北区商务委员会</w:t>
      </w:r>
    </w:p>
    <w:p>
      <w:pPr>
        <w:spacing w:line="600" w:lineRule="exact"/>
        <w:jc w:val="center"/>
        <w:rPr>
          <w:rFonts w:hint="eastAsia" w:eastAsia="方正小标宋_GBK"/>
          <w:sz w:val="44"/>
          <w:szCs w:val="44"/>
        </w:rPr>
      </w:pPr>
      <w:r>
        <w:rPr>
          <w:rFonts w:hint="eastAsia" w:eastAsia="方正小标宋_GBK"/>
          <w:sz w:val="44"/>
          <w:szCs w:val="44"/>
        </w:rPr>
        <w:t>关于印发渝北区商贸行业生活垃圾分类工作</w:t>
      </w:r>
    </w:p>
    <w:p>
      <w:pPr>
        <w:spacing w:line="600" w:lineRule="exact"/>
        <w:jc w:val="center"/>
        <w:rPr>
          <w:rFonts w:eastAsia="方正小标宋_GBK"/>
          <w:sz w:val="44"/>
          <w:szCs w:val="44"/>
        </w:rPr>
      </w:pPr>
      <w:r>
        <w:rPr>
          <w:rFonts w:hint="eastAsia" w:eastAsia="方正小标宋_GBK"/>
          <w:sz w:val="44"/>
          <w:szCs w:val="44"/>
        </w:rPr>
        <w:t>实施方案的通知</w:t>
      </w:r>
    </w:p>
    <w:p>
      <w:pPr>
        <w:spacing w:line="600" w:lineRule="exact"/>
        <w:jc w:val="center"/>
        <w:rPr>
          <w:rFonts w:eastAsia="方正小标宋_GBK"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商贸企业，有关科室，下属事业单位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《渝北区商贸行业生活垃圾分类工作实施方案》已经</w:t>
      </w:r>
      <w:r>
        <w:rPr>
          <w:rFonts w:hint="eastAsia" w:ascii="方正仿宋_GBK" w:hAnsi="方正仿宋_GBK" w:eastAsia="方正仿宋_GBK" w:cs="方正仿宋_GBK"/>
          <w:sz w:val="32"/>
          <w:szCs w:val="32"/>
          <w:lang w:eastAsia="zh-CN"/>
        </w:rPr>
        <w:t>委党委会审议通过</w:t>
      </w:r>
      <w:r>
        <w:rPr>
          <w:rFonts w:hint="eastAsia" w:ascii="方正仿宋_GBK" w:hAnsi="方正仿宋_GBK" w:eastAsia="方正仿宋_GBK" w:cs="方正仿宋_GBK"/>
          <w:sz w:val="32"/>
          <w:szCs w:val="32"/>
        </w:rPr>
        <w:t>，现印发给你们，请</w:t>
      </w:r>
      <w:r>
        <w:rPr>
          <w:rFonts w:hint="eastAsia" w:ascii="方正仿宋_GBK" w:hAnsi="方正仿宋_GBK" w:eastAsia="方正仿宋_GBK" w:cs="方正仿宋_GBK"/>
          <w:sz w:val="32"/>
          <w:szCs w:val="32"/>
          <w:lang w:eastAsia="zh-CN"/>
        </w:rPr>
        <w:t>认真贯彻落实</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95" w:firstLineChars="1436"/>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95" w:firstLineChars="143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重庆市渝北区商务委员会</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pPr>
        <w:spacing w:line="560" w:lineRule="exact"/>
        <w:ind w:firstLine="645"/>
        <w:jc w:val="left"/>
        <w:rPr>
          <w:rFonts w:eastAsia="方正仿宋_GBK"/>
          <w:color w:val="2B2B2B"/>
          <w:sz w:val="32"/>
          <w:szCs w:val="32"/>
          <w:shd w:val="clear" w:color="auto" w:fill="FFFFFF"/>
        </w:rPr>
      </w:pPr>
    </w:p>
    <w:p>
      <w:pPr>
        <w:tabs>
          <w:tab w:val="left" w:pos="5697"/>
        </w:tabs>
        <w:spacing w:line="560" w:lineRule="exact"/>
        <w:jc w:val="left"/>
        <w:rPr>
          <w:rFonts w:hint="eastAsia" w:hAnsi="方正小标宋_GBK" w:eastAsia="方正小标宋_GBK"/>
          <w:sz w:val="44"/>
          <w:szCs w:val="44"/>
        </w:rPr>
      </w:pPr>
    </w:p>
    <w:p>
      <w:pPr>
        <w:pageBreakBefore w:val="0"/>
        <w:kinsoku/>
        <w:wordWrap/>
        <w:overflowPunct/>
        <w:topLinePunct w:val="0"/>
        <w:autoSpaceDE/>
        <w:autoSpaceDN/>
        <w:bidi w:val="0"/>
        <w:adjustRightInd/>
        <w:snapToGrid w:val="0"/>
        <w:spacing w:line="560" w:lineRule="exact"/>
        <w:jc w:val="center"/>
        <w:textAlignment w:val="auto"/>
        <w:rPr>
          <w:rFonts w:eastAsia="方正小标宋_GBK"/>
          <w:sz w:val="44"/>
          <w:szCs w:val="44"/>
        </w:rPr>
      </w:pPr>
      <w:r>
        <w:rPr>
          <w:rFonts w:hint="eastAsia" w:hAnsi="方正小标宋_GBK" w:eastAsia="方正小标宋_GBK"/>
          <w:sz w:val="44"/>
          <w:szCs w:val="44"/>
        </w:rPr>
        <w:t>渝北区商贸行业生活垃圾分类</w:t>
      </w:r>
      <w:r>
        <w:rPr>
          <w:rFonts w:hint="eastAsia" w:hAnsi="方正小标宋_GBK" w:eastAsia="方正小标宋_GBK"/>
          <w:sz w:val="44"/>
          <w:szCs w:val="44"/>
          <w:lang w:eastAsia="zh-CN"/>
        </w:rPr>
        <w:t>工作实施</w:t>
      </w:r>
      <w:r>
        <w:rPr>
          <w:rFonts w:hint="eastAsia" w:hAnsi="方正小标宋_GBK" w:eastAsia="方正小标宋_GBK"/>
          <w:sz w:val="44"/>
          <w:szCs w:val="44"/>
        </w:rPr>
        <w:t>方案</w:t>
      </w:r>
    </w:p>
    <w:p>
      <w:pPr>
        <w:pageBreakBefore w:val="0"/>
        <w:kinsoku/>
        <w:wordWrap/>
        <w:overflowPunct/>
        <w:topLinePunct w:val="0"/>
        <w:autoSpaceDE/>
        <w:autoSpaceDN/>
        <w:bidi w:val="0"/>
        <w:adjustRightInd/>
        <w:spacing w:line="560" w:lineRule="exact"/>
        <w:textAlignment w:val="auto"/>
        <w:rPr>
          <w:rFonts w:eastAsia="方正仿宋_GBK"/>
          <w:sz w:val="32"/>
          <w:szCs w:val="32"/>
        </w:rPr>
      </w:pPr>
      <w:r>
        <w:rPr>
          <w:rFonts w:eastAsia="方正仿宋_GBK"/>
          <w:sz w:val="32"/>
          <w:szCs w:val="32"/>
        </w:rPr>
        <w:t xml:space="preserve">    </w:t>
      </w:r>
    </w:p>
    <w:p>
      <w:pPr>
        <w:pageBreakBefore w:val="0"/>
        <w:kinsoku/>
        <w:wordWrap/>
        <w:overflowPunct/>
        <w:topLinePunct w:val="0"/>
        <w:autoSpaceDE/>
        <w:autoSpaceDN/>
        <w:bidi w:val="0"/>
        <w:adjustRightInd/>
        <w:spacing w:line="560" w:lineRule="exact"/>
        <w:ind w:firstLine="640" w:firstLineChars="200"/>
        <w:textAlignment w:val="auto"/>
        <w:rPr>
          <w:rFonts w:eastAsia="方正仿宋_GBK"/>
          <w:sz w:val="32"/>
          <w:szCs w:val="32"/>
        </w:rPr>
      </w:pPr>
      <w:r>
        <w:rPr>
          <w:rFonts w:hint="eastAsia" w:eastAsia="方正仿宋_GBK"/>
          <w:sz w:val="32"/>
          <w:szCs w:val="32"/>
        </w:rPr>
        <w:t>以习近平新时代中国特色社会主义思想为指导，全面学习贯彻习近平生态文明思想和关于垃圾分类工作的系列重要指示精神，以“减量化、资源化、无害化”为目标，坚持“全生命周期管理、全过程综合治理、全区域统筹实施、全社会普遍参与”，按照加强科学管理、形成长效机制、推动习惯养成的要求，全面深化生活垃圾分类体系建设，形成党建引领、政府推动、全民参与、市场运作、城乡统筹、因地制宜的生活垃圾分类管理体系，为</w:t>
      </w:r>
      <w:r>
        <w:rPr>
          <w:rFonts w:hint="eastAsia" w:eastAsia="方正仿宋_GBK"/>
          <w:sz w:val="32"/>
          <w:szCs w:val="32"/>
          <w:lang w:eastAsia="zh-CN"/>
        </w:rPr>
        <w:t>助力</w:t>
      </w:r>
      <w:r>
        <w:rPr>
          <w:rFonts w:hint="eastAsia" w:eastAsia="方正仿宋_GBK"/>
          <w:sz w:val="32"/>
          <w:szCs w:val="32"/>
        </w:rPr>
        <w:t>我区生活垃圾分类工作走在全市前列，为把渝北区建设为临空都市美丽之地提供有力支撑。</w:t>
      </w:r>
      <w:r>
        <w:rPr>
          <w:rFonts w:hint="eastAsia" w:eastAsia="方正仿宋_GBK"/>
          <w:sz w:val="32"/>
          <w:szCs w:val="32"/>
          <w:lang w:eastAsia="zh-CN"/>
        </w:rPr>
        <w:t>根据区生活垃圾分类领导小组办公室关于印发《渝北区城镇生活垃圾分类考评方案（试行）》的通知（渝北分类办</w:t>
      </w:r>
      <w:r>
        <w:rPr>
          <w:rFonts w:hint="eastAsia" w:ascii="方正楷体_GBK" w:hAnsi="Calibri" w:eastAsia="方正楷体_GBK" w:cs="Times New Roman"/>
          <w:sz w:val="32"/>
          <w:szCs w:val="32"/>
        </w:rPr>
        <w:t>〔20</w:t>
      </w:r>
      <w:r>
        <w:rPr>
          <w:rFonts w:hint="eastAsia" w:ascii="方正楷体_GBK" w:hAnsi="Calibri" w:eastAsia="方正楷体_GBK" w:cs="Times New Roman"/>
          <w:sz w:val="32"/>
          <w:szCs w:val="32"/>
          <w:lang w:val="en-US" w:eastAsia="zh-CN"/>
        </w:rPr>
        <w:t>20</w:t>
      </w:r>
      <w:r>
        <w:rPr>
          <w:rFonts w:hint="eastAsia" w:ascii="方正楷体_GBK" w:hAnsi="Calibri" w:eastAsia="方正楷体_GBK" w:cs="Times New Roman"/>
          <w:sz w:val="32"/>
          <w:szCs w:val="32"/>
        </w:rPr>
        <w:t>〕</w:t>
      </w:r>
      <w:r>
        <w:rPr>
          <w:rFonts w:hint="eastAsia" w:eastAsia="方正仿宋_GBK"/>
          <w:sz w:val="32"/>
          <w:szCs w:val="32"/>
          <w:lang w:eastAsia="zh-CN"/>
        </w:rPr>
        <w:t>2号）文件要求，结合我区商贸行业实际，</w:t>
      </w:r>
      <w:r>
        <w:rPr>
          <w:rFonts w:eastAsia="方正仿宋_GBK"/>
          <w:sz w:val="32"/>
          <w:szCs w:val="32"/>
        </w:rPr>
        <w:t>制定本方案。</w:t>
      </w:r>
    </w:p>
    <w:p>
      <w:pPr>
        <w:pStyle w:val="8"/>
        <w:pageBreakBefore w:val="0"/>
        <w:widowControl/>
        <w:kinsoku/>
        <w:wordWrap/>
        <w:overflowPunct/>
        <w:topLinePunct w:val="0"/>
        <w:autoSpaceDE/>
        <w:autoSpaceDN/>
        <w:bidi w:val="0"/>
        <w:adjustRightInd/>
        <w:spacing w:line="560" w:lineRule="exact"/>
        <w:ind w:firstLine="720"/>
        <w:jc w:val="both"/>
        <w:textAlignment w:val="auto"/>
        <w:rPr>
          <w:rFonts w:hint="eastAsia" w:ascii="Times New Roman" w:hAnsi="Times New Roman" w:eastAsia="方正黑体_GBK"/>
          <w:sz w:val="32"/>
          <w:szCs w:val="32"/>
          <w:lang w:eastAsia="zh-CN"/>
        </w:rPr>
      </w:pPr>
      <w:r>
        <w:rPr>
          <w:rFonts w:ascii="Times New Roman" w:hAnsi="Times New Roman" w:eastAsia="方正黑体_GBK"/>
          <w:sz w:val="32"/>
          <w:szCs w:val="32"/>
          <w:shd w:val="clear" w:color="auto" w:fill="FFFFFF"/>
        </w:rPr>
        <w:t>一、组织</w:t>
      </w:r>
      <w:r>
        <w:rPr>
          <w:rFonts w:hint="eastAsia" w:ascii="Times New Roman" w:hAnsi="Times New Roman" w:eastAsia="方正黑体_GBK"/>
          <w:sz w:val="32"/>
          <w:szCs w:val="32"/>
          <w:shd w:val="clear" w:color="auto" w:fill="FFFFFF"/>
          <w:lang w:eastAsia="zh-CN"/>
        </w:rPr>
        <w:t>机构</w:t>
      </w:r>
    </w:p>
    <w:p>
      <w:pPr>
        <w:pStyle w:val="8"/>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方正黑体_GBK"/>
          <w:sz w:val="32"/>
          <w:szCs w:val="32"/>
          <w:lang w:eastAsia="zh-CN"/>
        </w:rPr>
      </w:pPr>
      <w:r>
        <w:rPr>
          <w:rFonts w:ascii="Times New Roman" w:hAnsi="Times New Roman" w:eastAsia="方正仿宋_GBK"/>
          <w:sz w:val="32"/>
          <w:szCs w:val="32"/>
          <w:shd w:val="clear" w:color="auto" w:fill="FFFFFF"/>
        </w:rPr>
        <w:t>成立</w:t>
      </w:r>
      <w:r>
        <w:rPr>
          <w:rFonts w:hint="eastAsia" w:ascii="Times New Roman" w:hAnsi="Times New Roman" w:eastAsia="方正仿宋_GBK"/>
          <w:sz w:val="32"/>
          <w:szCs w:val="32"/>
          <w:shd w:val="clear" w:color="auto" w:fill="FFFFFF"/>
        </w:rPr>
        <w:t>渝北区商贸行业生活垃圾分类工作</w:t>
      </w:r>
      <w:r>
        <w:rPr>
          <w:rFonts w:ascii="Times New Roman" w:hAnsi="Times New Roman" w:eastAsia="方正仿宋_GBK"/>
          <w:sz w:val="32"/>
          <w:szCs w:val="32"/>
          <w:shd w:val="clear" w:color="auto" w:fill="FFFFFF"/>
        </w:rPr>
        <w:t>领导小组</w:t>
      </w:r>
      <w:r>
        <w:rPr>
          <w:rFonts w:hint="eastAsia" w:ascii="Times New Roman" w:hAnsi="Times New Roman" w:eastAsia="方正仿宋_GBK"/>
          <w:sz w:val="32"/>
          <w:szCs w:val="32"/>
          <w:shd w:val="clear" w:color="auto" w:fill="FFFFFF"/>
          <w:lang w:eastAsia="zh-CN"/>
        </w:rPr>
        <w:t>：曹兴建同志任组长，王艳莲、周远、刘小燕</w:t>
      </w:r>
      <w:bookmarkStart w:id="0" w:name="_GoBack"/>
      <w:bookmarkEnd w:id="0"/>
      <w:r>
        <w:rPr>
          <w:rFonts w:hint="eastAsia" w:ascii="Times New Roman" w:hAnsi="Times New Roman" w:eastAsia="方正仿宋_GBK"/>
          <w:sz w:val="32"/>
          <w:szCs w:val="32"/>
          <w:shd w:val="clear" w:color="auto" w:fill="FFFFFF"/>
          <w:lang w:eastAsia="zh-CN"/>
        </w:rPr>
        <w:t>同志任副组长，综合科、</w:t>
      </w:r>
      <w:r>
        <w:rPr>
          <w:rFonts w:hint="eastAsia" w:ascii="Times New Roman" w:hAnsi="Times New Roman" w:eastAsia="方正仿宋_GBK"/>
          <w:sz w:val="32"/>
          <w:szCs w:val="32"/>
          <w:shd w:val="clear" w:color="auto" w:fill="FFFFFF"/>
          <w:lang w:val="en-US" w:eastAsia="zh-CN"/>
        </w:rPr>
        <w:t>规划财务科、流通会展科、市场运行科、市场秩序科、市场物业管理所科长（所长）为成员。</w:t>
      </w:r>
      <w:r>
        <w:rPr>
          <w:rFonts w:hint="eastAsia" w:ascii="Times New Roman" w:hAnsi="Times New Roman" w:eastAsia="方正仿宋_GBK"/>
          <w:sz w:val="32"/>
          <w:szCs w:val="32"/>
          <w:shd w:val="clear" w:color="auto" w:fill="FFFFFF"/>
        </w:rPr>
        <w:t>领导小组</w:t>
      </w:r>
      <w:r>
        <w:rPr>
          <w:rFonts w:hint="eastAsia" w:ascii="Times New Roman" w:hAnsi="Times New Roman" w:eastAsia="方正仿宋_GBK"/>
          <w:sz w:val="32"/>
          <w:szCs w:val="32"/>
          <w:shd w:val="clear" w:color="auto" w:fill="FFFFFF"/>
          <w:lang w:val="en-US" w:eastAsia="zh-CN"/>
        </w:rPr>
        <w:t>办公室设在市场秩序科，周远同志兼任办公室主任。</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方正黑体_GBK"/>
          <w:sz w:val="32"/>
          <w:szCs w:val="32"/>
          <w:lang w:eastAsia="zh-CN"/>
        </w:rPr>
      </w:pPr>
      <w:r>
        <w:rPr>
          <w:rFonts w:hint="eastAsia" w:eastAsia="方正黑体_GBK"/>
          <w:sz w:val="32"/>
          <w:szCs w:val="32"/>
          <w:lang w:eastAsia="zh-CN"/>
        </w:rPr>
        <w:t>二、责任分工</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根据重庆市渝北区人民政府关于印发《渝北区城镇生活垃圾分类工作方案（2019-2022年）》的通知（渝北府发</w:t>
      </w:r>
      <w:r>
        <w:rPr>
          <w:rFonts w:hint="eastAsia" w:ascii="方正楷体_GBK" w:hAnsi="Calibri" w:eastAsia="方正楷体_GBK" w:cs="Times New Roman"/>
          <w:b w:val="0"/>
          <w:bCs w:val="0"/>
          <w:sz w:val="32"/>
          <w:szCs w:val="32"/>
        </w:rPr>
        <w:t>〔20</w:t>
      </w:r>
      <w:r>
        <w:rPr>
          <w:rFonts w:hint="eastAsia" w:ascii="方正楷体_GBK" w:hAnsi="Calibri" w:eastAsia="方正楷体_GBK" w:cs="Times New Roman"/>
          <w:b w:val="0"/>
          <w:bCs w:val="0"/>
          <w:sz w:val="32"/>
          <w:szCs w:val="32"/>
          <w:lang w:val="en-US" w:eastAsia="zh-CN"/>
        </w:rPr>
        <w:t>19</w:t>
      </w:r>
      <w:r>
        <w:rPr>
          <w:rFonts w:hint="eastAsia" w:ascii="方正楷体_GBK" w:hAnsi="Calibri" w:eastAsia="方正楷体_GBK" w:cs="Times New Roman"/>
          <w:b w:val="0"/>
          <w:bCs w:val="0"/>
          <w:sz w:val="32"/>
          <w:szCs w:val="32"/>
        </w:rPr>
        <w:t>〕</w:t>
      </w:r>
      <w:r>
        <w:rPr>
          <w:rFonts w:hint="eastAsia" w:ascii="方正仿宋_GBK" w:hAnsi="方正仿宋_GBK" w:eastAsia="方正仿宋_GBK" w:cs="方正仿宋_GBK"/>
          <w:b w:val="0"/>
          <w:bCs w:val="0"/>
          <w:kern w:val="2"/>
          <w:sz w:val="32"/>
          <w:szCs w:val="32"/>
          <w:lang w:val="en-US" w:eastAsia="zh-CN" w:bidi="ar-SA"/>
        </w:rPr>
        <w:t>24号）文件规定，我委生活垃圾分类工作任务为：负责督促和检查指导可回收物的回收管理工作，加强再生资源回收企业的管理，推进与生活垃圾分类收运体系的“两网融合”；负责督促、指导、协调商贸流通企业（包括宾馆、购物中心、超市、专业市场、农贸市场、农产品批发市场、商铺、商用写字楼等）开展垃圾分类工作。</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市场秩序科</w:t>
      </w:r>
      <w:r>
        <w:rPr>
          <w:rFonts w:hint="eastAsia" w:ascii="方正仿宋_GBK" w:hAnsi="方正仿宋_GBK" w:eastAsia="方正仿宋_GBK" w:cs="方正仿宋_GBK"/>
          <w:b w:val="0"/>
          <w:bCs w:val="0"/>
          <w:kern w:val="2"/>
          <w:sz w:val="32"/>
          <w:szCs w:val="32"/>
          <w:lang w:val="en-US" w:eastAsia="zh-CN" w:bidi="ar-SA"/>
        </w:rPr>
        <w:t>：负责统筹协调全区商贸行业垃圾分类工作；负责学习、宣传全区商贸行业垃圾分类工作有关方针政策、经验做法；负责制定全区商贸行业生活垃圾分类实施方案；负责每季度末收集汇总分类工作开展情况，形成自查报告并上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综  合  科</w:t>
      </w:r>
      <w:r>
        <w:rPr>
          <w:rFonts w:hint="eastAsia" w:ascii="方正仿宋_GBK" w:hAnsi="方正仿宋_GBK" w:eastAsia="方正仿宋_GBK" w:cs="方正仿宋_GBK"/>
          <w:b w:val="0"/>
          <w:bCs w:val="0"/>
          <w:kern w:val="2"/>
          <w:sz w:val="32"/>
          <w:szCs w:val="32"/>
          <w:lang w:val="en-US" w:eastAsia="zh-CN" w:bidi="ar-SA"/>
        </w:rPr>
        <w:t>：负责将垃圾分类工作纳入基层党建工作；负责组织机关党员领导干部带头实施垃圾分类和机关内部垃圾分类工作。</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规划财务科</w:t>
      </w:r>
      <w:r>
        <w:rPr>
          <w:rFonts w:hint="eastAsia" w:ascii="方正仿宋_GBK" w:hAnsi="方正仿宋_GBK" w:eastAsia="方正仿宋_GBK" w:cs="方正仿宋_GBK"/>
          <w:b w:val="0"/>
          <w:bCs w:val="0"/>
          <w:kern w:val="2"/>
          <w:sz w:val="32"/>
          <w:szCs w:val="32"/>
          <w:lang w:val="en-US" w:eastAsia="zh-CN" w:bidi="ar-SA"/>
        </w:rPr>
        <w:t>：负责督促、指导全区商圈的垃圾分类工作；负责督促建立商圈的垃圾分类管理员专业队伍；负责组织开展商圈的生活垃圾分类培训，并建立基础台账，按时报送相关信息。</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流通会展科</w:t>
      </w:r>
      <w:r>
        <w:rPr>
          <w:rFonts w:hint="eastAsia" w:ascii="方正仿宋_GBK" w:hAnsi="方正仿宋_GBK" w:eastAsia="方正仿宋_GBK" w:cs="方正仿宋_GBK"/>
          <w:b w:val="0"/>
          <w:bCs w:val="0"/>
          <w:kern w:val="2"/>
          <w:sz w:val="32"/>
          <w:szCs w:val="32"/>
          <w:lang w:val="en-US" w:eastAsia="zh-CN" w:bidi="ar-SA"/>
        </w:rPr>
        <w:t>：负责督促、指导全区商场、酒店、超市的垃圾分类工作；负责督促建立商场、酒店、超市的垃圾分类管理员专业队伍；负责组织开展商场、酒店、超市的生活垃圾分类培训，收集培训资料并建立基础台账，按时报送相关信息。</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市场运行科</w:t>
      </w:r>
      <w:r>
        <w:rPr>
          <w:rFonts w:hint="eastAsia" w:ascii="方正仿宋_GBK" w:hAnsi="方正仿宋_GBK" w:eastAsia="方正仿宋_GBK" w:cs="方正仿宋_GBK"/>
          <w:b w:val="0"/>
          <w:bCs w:val="0"/>
          <w:kern w:val="2"/>
          <w:sz w:val="32"/>
          <w:szCs w:val="32"/>
          <w:lang w:val="en-US" w:eastAsia="zh-CN" w:bidi="ar-SA"/>
        </w:rPr>
        <w:t>：负责督促、指导全区汽车销售企业的垃圾分类工作；负责督促建立汽车销售企业的垃圾分类管理员专业队伍；负责组织开展汽车销售企业的生活垃圾分类培训，并建立基础台账，按时报送相关信息。</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市场管理所</w:t>
      </w:r>
      <w:r>
        <w:rPr>
          <w:rFonts w:hint="eastAsia" w:ascii="方正仿宋_GBK" w:hAnsi="方正仿宋_GBK" w:eastAsia="方正仿宋_GBK" w:cs="方正仿宋_GBK"/>
          <w:b w:val="0"/>
          <w:bCs w:val="0"/>
          <w:kern w:val="2"/>
          <w:sz w:val="32"/>
          <w:szCs w:val="32"/>
          <w:lang w:val="en-US" w:eastAsia="zh-CN" w:bidi="ar-SA"/>
        </w:rPr>
        <w:t>：负责督促、指导全区农贸市场的垃圾分类工作；负责督促建立农贸市场的垃圾分类管理员专业队伍；负责组织开展农贸市场的生活垃圾分类培训，并建立基础台账，按时报送相关信息。</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黑体_GBK"/>
          <w:sz w:val="32"/>
          <w:szCs w:val="32"/>
          <w:lang w:val="en-US" w:eastAsia="zh-CN"/>
        </w:rPr>
      </w:pPr>
      <w:r>
        <w:rPr>
          <w:rFonts w:hint="eastAsia" w:eastAsia="方正黑体_GBK"/>
          <w:sz w:val="32"/>
          <w:szCs w:val="32"/>
          <w:lang w:val="en-US" w:eastAsia="zh-CN"/>
        </w:rPr>
        <w:t>三、保障措施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（一）加强组织领导</w:t>
      </w:r>
      <w:r>
        <w:rPr>
          <w:rFonts w:hint="eastAsia" w:ascii="方正仿宋_GBK" w:hAnsi="方正仿宋_GBK" w:eastAsia="方正仿宋_GBK" w:cs="方正仿宋_GBK"/>
          <w:b w:val="0"/>
          <w:bCs w:val="0"/>
          <w:kern w:val="2"/>
          <w:sz w:val="32"/>
          <w:szCs w:val="32"/>
          <w:lang w:val="en-US" w:eastAsia="zh-CN" w:bidi="ar-SA"/>
        </w:rPr>
        <w:t>。要加强对生活垃圾分类工作的领导，建立以委党委书记为生活垃圾分类工作第一责任人的领导机制，系统谋划、强力推进，层层压实责任。各责任科室要结合职能职责，积极主动作为，发挥各领域推进垃圾分类的作用。</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（二）加大资金投入。</w:t>
      </w:r>
      <w:r>
        <w:rPr>
          <w:rFonts w:hint="eastAsia" w:ascii="方正仿宋_GBK" w:hAnsi="方正仿宋_GBK" w:eastAsia="方正仿宋_GBK" w:cs="方正仿宋_GBK"/>
          <w:b w:val="0"/>
          <w:bCs w:val="0"/>
          <w:kern w:val="2"/>
          <w:sz w:val="32"/>
          <w:szCs w:val="32"/>
          <w:lang w:val="en-US" w:eastAsia="zh-CN" w:bidi="ar-SA"/>
        </w:rPr>
        <w:t>落实生活垃圾分类资金长效投入机制，将垃圾分类经费纳入年度财政预算保障，重点保障支持垃圾分类示范创建、设施设备采购、社会宣传发动等。</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（三）强化监督考评。</w:t>
      </w:r>
      <w:r>
        <w:rPr>
          <w:rFonts w:hint="eastAsia" w:ascii="方正仿宋_GBK" w:hAnsi="方正仿宋_GBK" w:eastAsia="方正仿宋_GBK" w:cs="方正仿宋_GBK"/>
          <w:b w:val="0"/>
          <w:bCs w:val="0"/>
          <w:kern w:val="2"/>
          <w:sz w:val="32"/>
          <w:szCs w:val="32"/>
          <w:lang w:val="en-US" w:eastAsia="zh-CN" w:bidi="ar-SA"/>
        </w:rPr>
        <w:t>各责任科室要以渝北区城镇生活垃圾分类工作考核指标为导向，严格对标对表，认真落实每一项考评内容，保质、保量按时完成考核任务。</w:t>
      </w: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lang w:val="en-US" w:eastAsia="zh-CN"/>
        </w:rPr>
        <w:t xml:space="preserve">    </w:t>
      </w:r>
      <w:r>
        <w:rPr>
          <w:rFonts w:hint="eastAsia" w:ascii="方正仿宋_GBK" w:hAnsi="方正仿宋_GBK" w:eastAsia="方正仿宋_GBK" w:cs="方正仿宋_GBK"/>
          <w:b w:val="0"/>
          <w:bCs w:val="0"/>
          <w:kern w:val="2"/>
          <w:sz w:val="32"/>
          <w:szCs w:val="32"/>
          <w:lang w:val="en-US" w:eastAsia="zh-CN" w:bidi="ar-SA"/>
        </w:rPr>
        <w:t xml:space="preserve"> </w:t>
      </w:r>
    </w:p>
    <w:p>
      <w:pPr>
        <w:pStyle w:val="4"/>
        <w:pageBreakBefore w:val="0"/>
        <w:widowControl w:val="0"/>
        <w:kinsoku/>
        <w:wordWrap/>
        <w:overflowPunct/>
        <w:topLinePunct w:val="0"/>
        <w:autoSpaceDE/>
        <w:autoSpaceDN/>
        <w:bidi w:val="0"/>
        <w:adjustRightInd/>
        <w:snapToGrid/>
        <w:spacing w:before="0" w:after="0" w:line="560" w:lineRule="exact"/>
        <w:ind w:firstLine="960" w:firstLineChars="3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附件：渝北区商贸企业垃圾分类工作责任清单</w:t>
      </w:r>
    </w:p>
    <w:p>
      <w:pPr>
        <w:rPr>
          <w:rFonts w:hint="eastAsia" w:ascii="方正仿宋_GBK" w:hAnsi="方正仿宋_GBK" w:eastAsia="方正仿宋_GBK" w:cs="方正仿宋_GBK"/>
          <w:b w:val="0"/>
          <w:bCs w:val="0"/>
          <w:kern w:val="2"/>
          <w:sz w:val="32"/>
          <w:szCs w:val="32"/>
          <w:lang w:val="en-US" w:eastAsia="zh-CN" w:bidi="ar-SA"/>
        </w:rPr>
        <w:sectPr>
          <w:headerReference r:id="rId3" w:type="default"/>
          <w:footerReference r:id="rId5" w:type="default"/>
          <w:headerReference r:id="rId4" w:type="even"/>
          <w:footerReference r:id="rId6" w:type="even"/>
          <w:pgSz w:w="11906" w:h="16838"/>
          <w:pgMar w:top="2098" w:right="1474" w:bottom="1985" w:left="1587" w:header="851" w:footer="1474" w:gutter="0"/>
          <w:cols w:space="720" w:num="1"/>
          <w:docGrid w:type="linesAndChars" w:linePitch="579" w:charSpace="117"/>
        </w:sectPr>
      </w:pPr>
    </w:p>
    <w:tbl>
      <w:tblPr>
        <w:tblStyle w:val="9"/>
        <w:tblW w:w="13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59"/>
        <w:gridCol w:w="7380"/>
        <w:gridCol w:w="2559"/>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38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渝北区商贸企业垃圾分类工作责任清单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企业名称</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黑体_GBK" w:hAnsi="方正黑体_GBK" w:eastAsia="方正黑体_GBK" w:cs="方正黑体_GBK"/>
                <w:b w:val="0"/>
                <w:bCs/>
                <w:i w:val="0"/>
                <w:color w:val="000000"/>
                <w:sz w:val="32"/>
                <w:szCs w:val="32"/>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联系人</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黑体_GBK" w:hAnsi="方正黑体_GBK" w:eastAsia="方正黑体_GBK" w:cs="方正黑体_GBK"/>
                <w:b w:val="0"/>
                <w:bCs/>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企业地址</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黑体_GBK" w:hAnsi="方正黑体_GBK" w:eastAsia="方正黑体_GBK" w:cs="方正黑体_GBK"/>
                <w:b w:val="0"/>
                <w:bCs/>
                <w:i w:val="0"/>
                <w:color w:val="000000"/>
                <w:sz w:val="32"/>
                <w:szCs w:val="32"/>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联系电话</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黑体_GBK" w:hAnsi="方正黑体_GBK" w:eastAsia="方正黑体_GBK" w:cs="方正黑体_GBK"/>
                <w:b w:val="0"/>
                <w:bCs/>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序号</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检查内容</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完成情况</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4"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厨余垃圾、有害垃圾、可回收物和其他垃圾投放设施设备完备，布置合理，标识规范、清楚、统一（接纳人数50——100人设置一组：厨余垃圾、有害垃圾、可回收物、其他垃圾 投放设施）</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有害垃圾、可回收物、厨余垃圾、其他垃圾投放收运及时规范，投放点、箱、桶等，干净整洁</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企业内部及周边环境干净整洁</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其他垃圾中不得混入可回收物、厨余垃圾、有害垃圾</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5</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生活垃圾分类奖惩榜、公示榜等激励制度上墙，并有效执行</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6</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有宣传栏、广告牌等宣传设施设备</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7</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制定生活垃圾分类实施方案并组织实施</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8</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明确企业一把手负责制，责任部门和人员推进的工作机制</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9</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建立管理员及垃圾分类工作队伍，制定管理制度、工作职责、奖惩制度等，并开展相关工作</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10</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企业内部组织开展生活垃圾分类培训</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5"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11</w:t>
            </w:r>
          </w:p>
        </w:tc>
        <w:tc>
          <w:tcPr>
            <w:tcW w:w="7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建立基础台账，内容包括：分类投放、分类收集、分类运输、分类处理责任主体，作业形式，作业时间；厨余垃圾、有害垃圾、可回收物、其他垃圾的数量，分类准确率等</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auto"/>
              <w:rPr>
                <w:rFonts w:hint="eastAsia" w:ascii="宋体" w:hAnsi="宋体" w:eastAsia="宋体" w:cs="宋体"/>
                <w:i w:val="0"/>
                <w:color w:val="000000"/>
                <w:sz w:val="24"/>
                <w:szCs w:val="24"/>
                <w:u w:val="none"/>
              </w:rPr>
            </w:pPr>
          </w:p>
        </w:tc>
      </w:tr>
    </w:tbl>
    <w:p>
      <w:pPr>
        <w:pStyle w:val="4"/>
        <w:spacing w:line="240" w:lineRule="auto"/>
        <w:rPr>
          <w:rFonts w:hint="eastAsia"/>
          <w:lang w:val="en-US" w:eastAsia="zh-CN"/>
        </w:rPr>
      </w:pPr>
    </w:p>
    <w:p>
      <w:pPr>
        <w:pStyle w:val="4"/>
        <w:rPr>
          <w:rFonts w:hint="default"/>
          <w:lang w:val="en-US" w:eastAsia="zh-CN"/>
        </w:rPr>
      </w:pPr>
    </w:p>
    <w:p>
      <w:pPr>
        <w:rPr>
          <w:rFonts w:hint="default"/>
          <w:lang w:val="en-US" w:eastAsia="zh-CN"/>
        </w:rPr>
        <w:sectPr>
          <w:pgSz w:w="16838" w:h="11906" w:orient="landscape"/>
          <w:pgMar w:top="1587" w:right="2098" w:bottom="1474" w:left="1985" w:header="851" w:footer="1474" w:gutter="0"/>
          <w:cols w:space="0" w:num="1"/>
          <w:rtlGutter w:val="0"/>
          <w:docGrid w:type="linesAndChars" w:linePitch="579" w:charSpace="117"/>
        </w:sectPr>
      </w:pPr>
    </w:p>
    <w:p>
      <w:pPr>
        <w:pStyle w:val="4"/>
        <w:rPr>
          <w:rFonts w:hint="default"/>
          <w:lang w:val="en-US" w:eastAsia="zh-CN"/>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ascii="方正仿宋_GBK" w:hAnsi="方正仿宋_GBK" w:cs="方正仿宋_GBK"/>
          <w:szCs w:val="32"/>
          <w:u w:val="single"/>
        </w:rPr>
      </w:pPr>
    </w:p>
    <w:p>
      <w:pPr>
        <w:spacing w:line="56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pict>
          <v:shape id="_x0000_s2052" o:spid="_x0000_s2052" o:spt="32" type="#_x0000_t32" style="position:absolute;left:0pt;margin-left:1.5pt;margin-top:62pt;height:0pt;width:414.7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">
            <v:path arrowok="t"/>
            <v:fill on="f" focussize="0,0"/>
            <v:stroke/>
            <v:imagedata o:title=""/>
            <o:lock v:ext="edit"/>
          </v:shape>
        </w:pict>
      </w:r>
      <w:r>
        <w:rPr>
          <w:rFonts w:hint="eastAsia" w:ascii="方正仿宋_GBK" w:hAnsi="方正仿宋_GBK" w:eastAsia="方正仿宋_GBK" w:cs="方正仿宋_GBK"/>
          <w:sz w:val="28"/>
          <w:szCs w:val="28"/>
        </w:rPr>
        <w:pict>
          <v:shape id="_x0000_s2053" o:spid="_x0000_s2053" o:spt="32" type="#_x0000_t32" style="position:absolute;left:0pt;margin-left:1.5pt;margin-top:31.25pt;height:0pt;width:414.7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">
            <v:path arrowok="t"/>
            <v:fill on="f" focussize="0,0"/>
            <v:stroke/>
            <v:imagedata o:title=""/>
            <o:lock v:ext="edit"/>
          </v:shape>
        </w:pict>
      </w:r>
      <w:r>
        <w:rPr>
          <w:rFonts w:hint="eastAsia" w:ascii="方正仿宋_GBK" w:hAnsi="方正仿宋_GBK" w:eastAsia="方正仿宋_GBK" w:cs="方正仿宋_GBK"/>
          <w:sz w:val="28"/>
          <w:szCs w:val="28"/>
        </w:rPr>
        <w:pict>
          <v:shape id="直接箭头连接符 4" o:spid="_x0000_s2054" o:spt="32" type="#_x0000_t32" style="position:absolute;left:0pt;margin-left:1.5pt;margin-top:2pt;height:0pt;width:414.75pt;z-index:2516582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">
            <v:path arrowok="t"/>
            <v:fill on="f" focussize="0,0"/>
            <v:stroke/>
            <v:imagedata o:title=""/>
            <o:lock v:ext="edit"/>
          </v:shape>
        </w:pict>
      </w:r>
      <w:r>
        <w:rPr>
          <w:rFonts w:hint="eastAsia" w:ascii="方正仿宋_GBK" w:hAnsi="方正仿宋_GBK" w:eastAsia="方正仿宋_GBK" w:cs="方正仿宋_GBK"/>
          <w:sz w:val="28"/>
          <w:szCs w:val="28"/>
        </w:rPr>
        <w:t xml:space="preserve"> 抄送：</w:t>
      </w:r>
      <w:r>
        <w:rPr>
          <w:rFonts w:hint="eastAsia" w:ascii="方正仿宋_GBK" w:hAnsi="方正仿宋_GBK" w:eastAsia="方正仿宋_GBK" w:cs="方正仿宋_GBK"/>
          <w:sz w:val="28"/>
          <w:szCs w:val="28"/>
          <w:lang w:eastAsia="zh-CN"/>
        </w:rPr>
        <w:t>区城市管理局</w:t>
      </w:r>
    </w:p>
    <w:p>
      <w:pPr>
        <w:spacing w:line="560" w:lineRule="exact"/>
        <w:rPr>
          <w:rFonts w:hint="default"/>
          <w:lang w:val="en-US" w:eastAsia="zh-CN"/>
        </w:rPr>
      </w:pPr>
      <w:r>
        <w:rPr>
          <w:rFonts w:hint="eastAsia" w:ascii="方正仿宋_GBK" w:hAnsi="方正仿宋_GBK" w:eastAsia="方正仿宋_GBK" w:cs="方正仿宋_GBK"/>
          <w:sz w:val="28"/>
          <w:szCs w:val="28"/>
        </w:rPr>
        <w:t xml:space="preserve"> 重庆市渝北区商务委员会综合科          20</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日印发</w:t>
      </w:r>
    </w:p>
    <w:sectPr>
      <w:pgSz w:w="11906" w:h="16838"/>
      <w:pgMar w:top="2098" w:right="1474" w:bottom="1984" w:left="1587" w:header="851" w:footer="1474" w:gutter="0"/>
      <w:cols w:space="0" w:num="1"/>
      <w:rtlGutter w:val="0"/>
      <w:docGrid w:type="linesAndChars" w:linePitch="57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panose1 w:val="03000509000000000000"/>
    <w:charset w:val="86"/>
    <w:family w:val="auto"/>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10</w:t>
    </w:r>
    <w:r>
      <w:rPr>
        <w:rFonts w:ascii="宋体" w:hAnsi="宋体"/>
        <w:sz w:val="28"/>
        <w:szCs w:val="28"/>
      </w:rPr>
      <w:fldChar w:fldCharType="end"/>
    </w:r>
    <w:r>
      <w:rPr>
        <w:rStyle w:val="12"/>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6</w:t>
    </w:r>
    <w:r>
      <w:rPr>
        <w:rFonts w:ascii="宋体" w:hAnsi="宋体"/>
        <w:sz w:val="28"/>
        <w:szCs w:val="28"/>
      </w:rPr>
      <w:fldChar w:fldCharType="end"/>
    </w:r>
    <w:r>
      <w:rPr>
        <w:rStyle w:val="12"/>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579"/>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482F"/>
    <w:rsid w:val="00065471"/>
    <w:rsid w:val="000925C8"/>
    <w:rsid w:val="00095C4A"/>
    <w:rsid w:val="000B1409"/>
    <w:rsid w:val="000B309A"/>
    <w:rsid w:val="000B6362"/>
    <w:rsid w:val="000D76E2"/>
    <w:rsid w:val="001E7997"/>
    <w:rsid w:val="00205F20"/>
    <w:rsid w:val="00322A6E"/>
    <w:rsid w:val="00343B1B"/>
    <w:rsid w:val="00350661"/>
    <w:rsid w:val="00357AC0"/>
    <w:rsid w:val="003A2755"/>
    <w:rsid w:val="003C4973"/>
    <w:rsid w:val="00443FD2"/>
    <w:rsid w:val="00504D14"/>
    <w:rsid w:val="00557458"/>
    <w:rsid w:val="00577992"/>
    <w:rsid w:val="005C08E9"/>
    <w:rsid w:val="00612AC8"/>
    <w:rsid w:val="006401CD"/>
    <w:rsid w:val="006607BE"/>
    <w:rsid w:val="006B5294"/>
    <w:rsid w:val="00754C7D"/>
    <w:rsid w:val="00764F2F"/>
    <w:rsid w:val="007E2240"/>
    <w:rsid w:val="00811636"/>
    <w:rsid w:val="00826B2C"/>
    <w:rsid w:val="00855045"/>
    <w:rsid w:val="00880866"/>
    <w:rsid w:val="00A8052E"/>
    <w:rsid w:val="00AB12D4"/>
    <w:rsid w:val="00BB21A3"/>
    <w:rsid w:val="00BE482F"/>
    <w:rsid w:val="00BF2B30"/>
    <w:rsid w:val="024B7523"/>
    <w:rsid w:val="02756576"/>
    <w:rsid w:val="02DC2F5E"/>
    <w:rsid w:val="0B3C6914"/>
    <w:rsid w:val="0BA31EDF"/>
    <w:rsid w:val="0BA732D4"/>
    <w:rsid w:val="13E17D88"/>
    <w:rsid w:val="167B215F"/>
    <w:rsid w:val="18644A7B"/>
    <w:rsid w:val="1ED25D89"/>
    <w:rsid w:val="222512BE"/>
    <w:rsid w:val="229F6BDA"/>
    <w:rsid w:val="28BC5E73"/>
    <w:rsid w:val="2DA74BA7"/>
    <w:rsid w:val="36665E60"/>
    <w:rsid w:val="3D0C2AFD"/>
    <w:rsid w:val="3D407997"/>
    <w:rsid w:val="453D72E4"/>
    <w:rsid w:val="4B930209"/>
    <w:rsid w:val="4F36732E"/>
    <w:rsid w:val="4F543A57"/>
    <w:rsid w:val="512B566F"/>
    <w:rsid w:val="567B1FCE"/>
    <w:rsid w:val="5B9C192E"/>
    <w:rsid w:val="688E1A73"/>
    <w:rsid w:val="702E1D6F"/>
    <w:rsid w:val="70895B78"/>
    <w:rsid w:val="711214D7"/>
    <w:rsid w:val="73DA0C38"/>
    <w:rsid w:val="7FEE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 id="V:Rule3"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jc w:val="left"/>
      <w:outlineLvl w:val="1"/>
    </w:pPr>
    <w:rPr>
      <w:rFonts w:ascii="宋体" w:hAnsi="宋体" w:cs="宋体"/>
      <w:b/>
      <w:kern w:val="0"/>
      <w:sz w:val="36"/>
      <w:szCs w:val="36"/>
    </w:rPr>
  </w:style>
  <w:style w:type="paragraph" w:styleId="4">
    <w:name w:val="heading 4"/>
    <w:basedOn w:val="3"/>
    <w:next w:val="1"/>
    <w:link w:val="16"/>
    <w:qFormat/>
    <w:uiPriority w:val="0"/>
    <w:pPr>
      <w:keepNext/>
      <w:keepLines/>
      <w:spacing w:before="280" w:after="290" w:line="376" w:lineRule="auto"/>
      <w:outlineLvl w:val="3"/>
    </w:pPr>
    <w:rPr>
      <w:rFonts w:ascii="Cambria" w:hAnsi="Cambria"/>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大标宋简体" w:hAnsi="宋体" w:eastAsia="方正大标宋简体" w:cs="Times New Roman"/>
      <w:sz w:val="36"/>
      <w:szCs w:val="36"/>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3"/>
    <w:qFormat/>
    <w:uiPriority w:val="0"/>
    <w:rPr>
      <w:rFonts w:ascii="宋体" w:hAnsi="宋体" w:eastAsia="宋体" w:cs="宋体"/>
      <w:b/>
      <w:kern w:val="0"/>
      <w:sz w:val="36"/>
      <w:szCs w:val="36"/>
    </w:rPr>
  </w:style>
  <w:style w:type="character" w:customStyle="1" w:styleId="16">
    <w:name w:val="标题 4 Char"/>
    <w:basedOn w:val="11"/>
    <w:link w:val="4"/>
    <w:qFormat/>
    <w:uiPriority w:val="0"/>
    <w:rPr>
      <w:rFonts w:ascii="Cambria" w:hAnsi="Cambria" w:eastAsia="宋体" w:cs="Times New Roman"/>
      <w:b/>
      <w:bCs/>
      <w:sz w:val="28"/>
      <w:szCs w:val="2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621</Words>
  <Characters>3543</Characters>
  <Lines>29</Lines>
  <Paragraphs>8</Paragraphs>
  <TotalTime>22</TotalTime>
  <ScaleCrop>false</ScaleCrop>
  <LinksUpToDate>false</LinksUpToDate>
  <CharactersWithSpaces>4156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2019-10-08T01:19:00Z</dcterms:created>
  <dc:creator>a</dc:creator>
  <cp:lastModifiedBy>Admin</cp:lastModifiedBy>
  <cp:lastPrinted>2020-08-06T02:17:45Z</cp:lastPrinted>
  <dcterms:modified xsi:type="dcterms:W3CDTF">2020-08-06T02:20:57Z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