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0" w:lineRule="exact"/>
        <w:jc w:val="both"/>
        <w:textAlignment w:val="auto"/>
        <w:rPr>
          <w:rFonts w:ascii="Times New Roman" w:hAnsi="Times New Roman" w:eastAsia="方正小标宋_GBK" w:cs="Times New Roman"/>
          <w:sz w:val="44"/>
          <w:szCs w:val="44"/>
        </w:rPr>
      </w:pPr>
      <w:r>
        <w:rPr>
          <w:rFonts w:hint="eastAsia"/>
        </w:rPr>
        <w:pict>
          <v:shape id="_x0000_s2053" o:spid="_x0000_s2053" o:spt="136" type="#_x0000_t136" style="position:absolute;left:0pt;margin-left:12.95pt;margin-top:219.1pt;height:56.7pt;width:416.7pt;mso-position-horizontal-relative:margin;mso-position-vertical-relative:page;z-index:251667456;mso-width-relative:page;mso-height-relative:page;" fillcolor="#ED1C24" filled="t" stroked="t" coordsize="21600,21600">
            <v:path/>
            <v:fill on="t" focussize="0,0"/>
            <v:stroke color="#ED1C24"/>
            <v:imagedata o:title=""/>
            <o:lock v:ext="edit"/>
            <v:textpath on="t" fitshape="t" fitpath="t" trim="t" xscale="f" string="重庆市渝北区商务委员会文件" style="font-family:方正小标宋_GBK;font-size:36pt;v-rotate-letters:f;v-same-letter-heights:f;v-text-align:center;"/>
          </v:shape>
        </w:pic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Times New Roman" w:hAnsi="Times New Roman" w:eastAsia="方正小标宋_GBK" w:cs="Times New Roman"/>
          <w:sz w:val="44"/>
          <w:szCs w:val="44"/>
        </w:rPr>
      </w:pPr>
      <w:r>
        <w:rPr>
          <w:rFonts w:hint="eastAsia" w:ascii="方正楷体_GBK" w:hAnsi="Calibri" w:eastAsia="方正楷体_GBK"/>
          <w:sz w:val="32"/>
          <w:szCs w:val="32"/>
        </w:rPr>
        <w:t>渝北商〔202</w:t>
      </w:r>
      <w:r>
        <w:rPr>
          <w:rFonts w:hint="eastAsia" w:ascii="方正楷体_GBK" w:hAnsi="Calibri" w:eastAsia="方正楷体_GBK"/>
          <w:sz w:val="32"/>
          <w:szCs w:val="32"/>
          <w:lang w:val="en-US" w:eastAsia="zh-CN"/>
        </w:rPr>
        <w:t>2</w:t>
      </w:r>
      <w:r>
        <w:rPr>
          <w:rFonts w:hint="eastAsia" w:ascii="方正楷体_GBK" w:hAnsi="Calibri" w:eastAsia="方正楷体_GBK"/>
          <w:sz w:val="32"/>
          <w:szCs w:val="32"/>
        </w:rPr>
        <w:t>〕</w:t>
      </w:r>
      <w:r>
        <w:rPr>
          <w:rFonts w:hint="eastAsia" w:ascii="方正楷体_GBK" w:eastAsia="方正楷体_GBK" w:cs="Times New Roman"/>
          <w:sz w:val="32"/>
          <w:szCs w:val="32"/>
          <w:lang w:val="en-US" w:eastAsia="zh-CN"/>
        </w:rPr>
        <w:t>46</w:t>
      </w:r>
      <w:r>
        <w:rPr>
          <w:rFonts w:hint="eastAsia" w:ascii="方正楷体_GBK" w:hAnsi="Calibri" w:eastAsia="方正楷体_GBK"/>
          <w:sz w:val="32"/>
          <w:szCs w:val="32"/>
        </w:rPr>
        <w:t>号</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ascii="Times New Roman" w:hAnsi="Times New Roman" w:eastAsia="方正小标宋_GBK" w:cs="Times New Roman"/>
          <w:sz w:val="44"/>
          <w:szCs w:val="44"/>
        </w:rPr>
      </w:pPr>
      <w:bookmarkStart w:id="2" w:name="_GoBack"/>
      <w:r>
        <w:rPr>
          <w:rFonts w:hint="eastAsia"/>
        </w:rPr>
        <w:pict>
          <v:shape id="直接箭头连接符 3" o:spid="_x0000_s2055" o:spt="32" type="#_x0000_t32" style="position:absolute;left:0pt;margin-left:-2pt;margin-top:10.6pt;height:0pt;width:454.5pt;z-index:251679744;mso-width-relative:page;mso-height-relative:page;" filled="f" stroked="t" coordsize="21600,21600" o:gfxdata="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98hvVAAAACAEAAA8AAAAAAAAAAQAgAAAAIgAAAGRycy9kb3ducmV2LnhtbFBL&#10;AQIUABQAAAAIAIdO4kDTXesG+QEAALgDAAAOAAAAAAAAAAEAIAAAACQBAABkcnMvZTJvRG9jLnht&#10;bFBLBQYAAAAABgAGAFkBAACPBQAAAAA=&#10;">
            <v:path arrowok="t"/>
            <v:fill on="f" focussize="0,0"/>
            <v:stroke weight="1.5pt" color="#ED1C24" joinstyle="round"/>
            <v:imagedata o:title=""/>
            <o:lock v:ext="edit" aspectratio="f"/>
          </v:shape>
        </w:pict>
      </w:r>
      <w:bookmarkEnd w:id="2"/>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rPr>
        <w:t>重庆市渝北区</w:t>
      </w:r>
      <w:r>
        <w:rPr>
          <w:rFonts w:hint="eastAsia" w:ascii="Times New Roman" w:hAnsi="Times New Roman" w:eastAsia="方正小标宋_GBK" w:cs="Times New Roman"/>
          <w:sz w:val="44"/>
          <w:szCs w:val="44"/>
          <w:lang w:val="en-US" w:eastAsia="zh-CN"/>
        </w:rPr>
        <w:t>商务委员会</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关于印发</w:t>
      </w:r>
      <w:r>
        <w:rPr>
          <w:rFonts w:hint="eastAsia" w:ascii="Times New Roman" w:hAnsi="Times New Roman" w:eastAsia="方正小标宋_GBK" w:cs="Times New Roman"/>
          <w:bCs/>
          <w:sz w:val="44"/>
          <w:szCs w:val="44"/>
          <w:lang w:val="en-US" w:eastAsia="zh-CN"/>
        </w:rPr>
        <w:t>2022</w:t>
      </w:r>
      <w:r>
        <w:rPr>
          <w:rFonts w:hint="eastAsia" w:ascii="Times New Roman" w:hAnsi="Times New Roman" w:eastAsia="方正小标宋_GBK" w:cs="Times New Roman"/>
          <w:bCs/>
          <w:sz w:val="44"/>
          <w:szCs w:val="44"/>
        </w:rPr>
        <w:t>年渝北区商务工作要点的通知</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Times New Roman" w:hAnsi="Times New Roman" w:eastAsia="方正楷体_GBK" w:cs="方正楷体_GBK"/>
          <w:sz w:val="32"/>
          <w:szCs w:val="32"/>
        </w:rPr>
      </w:pP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各镇人民政府，区政府各部门，各街道办事处，区属各国有公司，有关单位：</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Times New Roman" w:hAnsi="Times New Roman" w:eastAsia="宋体" w:cs="Times New Roman"/>
          <w:sz w:val="21"/>
          <w:szCs w:val="21"/>
        </w:rPr>
      </w:pPr>
      <w:r>
        <w:rPr>
          <w:rFonts w:hint="eastAsia" w:ascii="Times New Roman" w:hAnsi="Times New Roman" w:eastAsia="方正仿宋_GBK" w:cs="宋体"/>
          <w:color w:val="000000"/>
          <w:kern w:val="0"/>
          <w:sz w:val="32"/>
          <w:szCs w:val="32"/>
        </w:rPr>
        <w:t>经区政府同意，现将《20</w:t>
      </w:r>
      <w:r>
        <w:rPr>
          <w:rFonts w:hint="eastAsia" w:ascii="Times New Roman" w:hAnsi="Times New Roman" w:eastAsia="方正仿宋_GBK" w:cs="宋体"/>
          <w:color w:val="000000"/>
          <w:kern w:val="0"/>
          <w:sz w:val="32"/>
          <w:szCs w:val="32"/>
          <w:lang w:val="en-US" w:eastAsia="zh-CN"/>
        </w:rPr>
        <w:t>22</w:t>
      </w:r>
      <w:r>
        <w:rPr>
          <w:rFonts w:hint="eastAsia" w:ascii="Times New Roman" w:hAnsi="Times New Roman" w:eastAsia="方正仿宋_GBK" w:cs="宋体"/>
          <w:color w:val="000000"/>
          <w:kern w:val="0"/>
          <w:sz w:val="32"/>
          <w:szCs w:val="32"/>
        </w:rPr>
        <w:t>年渝北区商务工作要点》印发给你们，请</w:t>
      </w:r>
      <w:r>
        <w:rPr>
          <w:rFonts w:hint="eastAsia" w:ascii="Times New Roman" w:hAnsi="Times New Roman" w:eastAsia="方正仿宋_GBK" w:cs="宋体"/>
          <w:color w:val="000000"/>
          <w:kern w:val="0"/>
          <w:sz w:val="32"/>
          <w:szCs w:val="32"/>
          <w:lang w:val="en-US" w:eastAsia="zh-CN"/>
        </w:rPr>
        <w:t>结合实际抓</w:t>
      </w:r>
      <w:r>
        <w:rPr>
          <w:rFonts w:hint="eastAsia" w:ascii="Times New Roman" w:hAnsi="Times New Roman" w:eastAsia="方正仿宋_GBK" w:cs="宋体"/>
          <w:color w:val="000000"/>
          <w:kern w:val="0"/>
          <w:sz w:val="32"/>
          <w:szCs w:val="32"/>
        </w:rPr>
        <w:t>好</w:t>
      </w:r>
      <w:r>
        <w:rPr>
          <w:rFonts w:hint="eastAsia" w:ascii="Times New Roman" w:hAnsi="Times New Roman" w:eastAsia="方正仿宋_GBK" w:cs="宋体"/>
          <w:color w:val="000000"/>
          <w:kern w:val="0"/>
          <w:sz w:val="32"/>
          <w:szCs w:val="32"/>
          <w:lang w:val="en-US" w:eastAsia="zh-CN"/>
        </w:rPr>
        <w:t>贯彻</w:t>
      </w:r>
      <w:r>
        <w:rPr>
          <w:rFonts w:hint="eastAsia" w:ascii="Times New Roman" w:hAnsi="Times New Roman" w:eastAsia="方正仿宋_GBK" w:cs="宋体"/>
          <w:color w:val="000000"/>
          <w:kern w:val="0"/>
          <w:sz w:val="32"/>
          <w:szCs w:val="32"/>
        </w:rPr>
        <w:t>落实。</w:t>
      </w:r>
    </w:p>
    <w:p>
      <w:pPr>
        <w:keepNext w:val="0"/>
        <w:keepLines w:val="0"/>
        <w:pageBreakBefore w:val="0"/>
        <w:widowControl w:val="0"/>
        <w:shd w:val="clear" w:color="auto" w:fill="FFFFFF"/>
        <w:kinsoku/>
        <w:wordWrap/>
        <w:overflowPunct/>
        <w:topLinePunct w:val="0"/>
        <w:autoSpaceDE/>
        <w:autoSpaceDN w:val="0"/>
        <w:bidi w:val="0"/>
        <w:adjustRightInd/>
        <w:snapToGrid/>
        <w:spacing w:line="560" w:lineRule="exact"/>
        <w:ind w:firstLine="640" w:firstLineChars="200"/>
        <w:textAlignment w:val="auto"/>
        <w:rPr>
          <w:rFonts w:hint="eastAsia" w:ascii="Times New Roman" w:hAnsi="Times New Roman" w:eastAsia="方正仿宋_GBK" w:cs="Andalus"/>
          <w:color w:val="000000"/>
          <w:sz w:val="32"/>
          <w:szCs w:val="32"/>
          <w:shd w:val="clear" w:color="auto" w:fill="FFFFFF"/>
        </w:rPr>
      </w:pPr>
      <w:r>
        <w:rPr>
          <w:rFonts w:hint="eastAsia" w:ascii="Times New Roman" w:hAnsi="Times New Roman" w:eastAsia="方正仿宋_GBK" w:cs="Andalus"/>
          <w:color w:val="000000"/>
          <w:sz w:val="32"/>
          <w:szCs w:val="32"/>
          <w:shd w:val="clear" w:color="auto" w:fill="FFFFFF"/>
        </w:rPr>
        <w:t xml:space="preserve"> </w:t>
      </w:r>
    </w:p>
    <w:p>
      <w:pPr>
        <w:keepNext w:val="0"/>
        <w:keepLines w:val="0"/>
        <w:pageBreakBefore w:val="0"/>
        <w:widowControl w:val="0"/>
        <w:shd w:val="clear" w:color="auto" w:fill="FFFFFF"/>
        <w:kinsoku/>
        <w:wordWrap/>
        <w:overflowPunct/>
        <w:topLinePunct w:val="0"/>
        <w:autoSpaceDE/>
        <w:autoSpaceDN w:val="0"/>
        <w:bidi w:val="0"/>
        <w:adjustRightInd/>
        <w:snapToGrid/>
        <w:spacing w:line="560" w:lineRule="exact"/>
        <w:ind w:firstLine="640" w:firstLineChars="200"/>
        <w:textAlignment w:val="auto"/>
        <w:rPr>
          <w:rFonts w:hint="eastAsia" w:ascii="Times New Roman" w:hAnsi="Times New Roman" w:eastAsia="方正仿宋_GBK" w:cs="Andalus"/>
          <w:color w:val="000000"/>
          <w:sz w:val="32"/>
          <w:szCs w:val="32"/>
          <w:shd w:val="clear" w:color="auto" w:fill="FFFFFF"/>
        </w:rPr>
      </w:pPr>
      <w:r>
        <w:rPr>
          <w:rFonts w:hint="eastAsia" w:ascii="Times New Roman" w:hAnsi="Times New Roman" w:eastAsia="方正仿宋_GBK" w:cs="Andalus"/>
          <w:color w:val="000000"/>
          <w:sz w:val="32"/>
          <w:szCs w:val="32"/>
          <w:shd w:val="clear" w:color="auto" w:fill="FFFFFF"/>
        </w:rPr>
        <w:t xml:space="preserve"> </w:t>
      </w:r>
    </w:p>
    <w:p>
      <w:pPr>
        <w:keepNext w:val="0"/>
        <w:keepLines w:val="0"/>
        <w:pageBreakBefore w:val="0"/>
        <w:widowControl w:val="0"/>
        <w:shd w:val="clear" w:color="auto" w:fill="FFFFFF"/>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方正仿宋_GBK" w:cs="Andalus"/>
          <w:color w:val="000000"/>
          <w:sz w:val="32"/>
          <w:szCs w:val="32"/>
          <w:shd w:val="clear" w:color="auto" w:fill="FFFFFF"/>
          <w:lang w:val="en-US" w:eastAsia="zh-CN"/>
        </w:rPr>
      </w:pPr>
      <w:r>
        <w:rPr>
          <w:rFonts w:hint="eastAsia" w:ascii="Times New Roman" w:hAnsi="Times New Roman" w:eastAsia="方正仿宋_GBK" w:cs="Andalus"/>
          <w:color w:val="000000"/>
          <w:sz w:val="32"/>
          <w:szCs w:val="32"/>
          <w:shd w:val="clear" w:color="auto" w:fill="FFFFFF"/>
        </w:rPr>
        <w:t xml:space="preserve">                      </w:t>
      </w:r>
      <w:r>
        <w:rPr>
          <w:rFonts w:hint="eastAsia" w:ascii="Times New Roman" w:hAnsi="Times New Roman" w:eastAsia="方正仿宋_GBK" w:cs="Andalus"/>
          <w:color w:val="000000"/>
          <w:sz w:val="32"/>
          <w:szCs w:val="32"/>
          <w:shd w:val="clear" w:color="auto" w:fill="FFFFFF"/>
          <w:lang w:val="en-US" w:eastAsia="zh-CN"/>
        </w:rPr>
        <w:t xml:space="preserve">   </w:t>
      </w:r>
      <w:r>
        <w:rPr>
          <w:rFonts w:hint="eastAsia" w:ascii="Times New Roman" w:hAnsi="Times New Roman" w:eastAsia="方正仿宋_GBK" w:cs="Andalus"/>
          <w:color w:val="000000"/>
          <w:sz w:val="32"/>
          <w:szCs w:val="32"/>
          <w:shd w:val="clear" w:color="auto" w:fill="FFFFFF"/>
        </w:rPr>
        <w:t>重庆市</w:t>
      </w:r>
      <w:r>
        <w:rPr>
          <w:rFonts w:hint="eastAsia" w:ascii="Times New Roman" w:hAnsi="Times New Roman" w:eastAsia="方正仿宋_GBK" w:cs="Andalus"/>
          <w:color w:val="000000"/>
          <w:sz w:val="32"/>
          <w:szCs w:val="32"/>
          <w:shd w:val="clear" w:color="auto" w:fill="FFFFFF"/>
          <w:lang w:val="en-US" w:eastAsia="zh-CN"/>
        </w:rPr>
        <w:t>渝北区商务委员会</w:t>
      </w:r>
    </w:p>
    <w:p>
      <w:pPr>
        <w:keepNext w:val="0"/>
        <w:keepLines w:val="0"/>
        <w:pageBreakBefore w:val="0"/>
        <w:widowControl w:val="0"/>
        <w:kinsoku/>
        <w:wordWrap/>
        <w:overflowPunct/>
        <w:topLinePunct w:val="0"/>
        <w:autoSpaceDE/>
        <w:bidi w:val="0"/>
        <w:adjustRightInd/>
        <w:snapToGrid/>
        <w:spacing w:line="560" w:lineRule="exact"/>
        <w:ind w:right="840" w:rightChars="400" w:firstLine="640" w:firstLineChars="200"/>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bidi w:val="0"/>
        <w:adjustRightInd/>
        <w:snapToGrid/>
        <w:spacing w:line="560" w:lineRule="exact"/>
        <w:jc w:val="both"/>
        <w:textAlignment w:val="auto"/>
        <w:rPr>
          <w:rFonts w:hint="eastAsia" w:ascii="Times New Roman" w:hAnsi="Times New Roman" w:eastAsia="方正小标宋_GBK" w:cs="方正小标宋_GBK"/>
          <w:kern w:val="11"/>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_GBK" w:cs="方正小标宋_GBK"/>
          <w:kern w:val="11"/>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_GBK" w:cs="方正小标宋_GBK"/>
          <w:kern w:val="11"/>
          <w:sz w:val="44"/>
          <w:szCs w:val="44"/>
        </w:rPr>
      </w:pPr>
      <w:r>
        <w:rPr>
          <w:rFonts w:hint="eastAsia" w:ascii="Times New Roman" w:hAnsi="Times New Roman" w:eastAsia="方正小标宋_GBK" w:cs="方正小标宋_GBK"/>
          <w:kern w:val="11"/>
          <w:sz w:val="44"/>
          <w:szCs w:val="44"/>
        </w:rPr>
        <w:t>20</w:t>
      </w:r>
      <w:r>
        <w:rPr>
          <w:rFonts w:hint="eastAsia" w:ascii="Times New Roman" w:hAnsi="Times New Roman" w:eastAsia="方正小标宋_GBK" w:cs="方正小标宋_GBK"/>
          <w:kern w:val="11"/>
          <w:sz w:val="44"/>
          <w:szCs w:val="44"/>
          <w:lang w:val="en-US" w:eastAsia="zh-CN"/>
        </w:rPr>
        <w:t>22</w:t>
      </w:r>
      <w:r>
        <w:rPr>
          <w:rFonts w:hint="eastAsia" w:ascii="Times New Roman" w:hAnsi="方正小标宋_GBK" w:eastAsia="方正小标宋_GBK" w:cs="方正小标宋_GBK"/>
          <w:kern w:val="11"/>
          <w:sz w:val="44"/>
          <w:szCs w:val="44"/>
        </w:rPr>
        <w:t>年渝北区商务工作要点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bookmarkStart w:id="0" w:name="_Hlk59813120"/>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2022年是党的二十大召开之年，是商务“十四五”发展承上启下的关键一年，做好全区商务工作意义重大。</w:t>
      </w:r>
      <w:r>
        <w:rPr>
          <w:rFonts w:hint="eastAsia" w:ascii="方正黑体_GBK" w:hAnsi="方正黑体_GBK" w:eastAsia="方正黑体_GBK" w:cs="方正黑体_GBK"/>
          <w:color w:val="000000"/>
          <w:sz w:val="32"/>
          <w:szCs w:val="32"/>
          <w:lang w:val="en-US" w:eastAsia="zh-CN"/>
        </w:rPr>
        <w:t>总体要求</w:t>
      </w:r>
      <w:r>
        <w:rPr>
          <w:rFonts w:hint="eastAsia" w:ascii="方正仿宋_GBK" w:hAnsi="方正仿宋_GBK" w:eastAsia="方正仿宋_GBK" w:cs="方正仿宋_GBK"/>
          <w:color w:val="000000"/>
          <w:sz w:val="32"/>
          <w:szCs w:val="32"/>
          <w:lang w:val="en-US" w:eastAsia="zh-CN"/>
        </w:rPr>
        <w:t>是：坚持以习近平新时代中国特色社会主义思想为指导，全面贯彻党的十九大、十九届历次全会和中央、市委、区委经济工作会议精神，围绕渝北“四个大区”发展定位和“5+3+1”现代服务业体系工作要求，坚持稳中求进工作总基调，完整、准确、全面贯彻新发展理念，积极融入和服务新发展格局，统筹推进常态化疫情防控和商务经济发展，全力做好促消费、稳外贸、稳外资各项工作，持续激发商务经济发展动力，推动内外贸易持续恢复、稳中提质，在全市内陆开放高地和国际消费中心城市建设中发挥示范作用，努力打造成渝地区双城经济圈商务经济发展的标杆城区。</w:t>
      </w:r>
      <w:r>
        <w:rPr>
          <w:rFonts w:hint="eastAsia" w:ascii="方正黑体_GBK" w:hAnsi="方正黑体_GBK" w:eastAsia="方正黑体_GBK" w:cs="方正黑体_GBK"/>
          <w:color w:val="000000"/>
          <w:sz w:val="32"/>
          <w:szCs w:val="32"/>
          <w:lang w:val="en-US" w:eastAsia="zh-CN"/>
        </w:rPr>
        <w:t>主要</w:t>
      </w:r>
      <w:bookmarkEnd w:id="0"/>
      <w:r>
        <w:rPr>
          <w:rFonts w:hint="eastAsia" w:ascii="方正黑体_GBK" w:hAnsi="方正黑体_GBK" w:eastAsia="方正黑体_GBK" w:cs="方正黑体_GBK"/>
          <w:color w:val="000000"/>
          <w:sz w:val="32"/>
          <w:szCs w:val="32"/>
          <w:lang w:val="en-US" w:eastAsia="zh-CN"/>
        </w:rPr>
        <w:t>发展</w:t>
      </w:r>
      <w:r>
        <w:rPr>
          <w:rFonts w:hint="eastAsia" w:ascii="方正黑体_GBK" w:hAnsi="方正黑体_GBK" w:eastAsia="方正黑体_GBK" w:cs="方正黑体_GBK"/>
          <w:sz w:val="32"/>
          <w:szCs w:val="32"/>
          <w:lang w:val="en-US" w:eastAsia="zh-CN"/>
        </w:rPr>
        <w:t>目标</w:t>
      </w:r>
      <w:r>
        <w:rPr>
          <w:rFonts w:hint="eastAsia" w:ascii="方正仿宋_GBK" w:hAnsi="方正仿宋_GBK" w:eastAsia="方正仿宋_GBK" w:cs="方正仿宋_GBK"/>
          <w:color w:val="000000"/>
          <w:sz w:val="32"/>
          <w:szCs w:val="32"/>
          <w:lang w:val="en-US" w:eastAsia="zh-CN"/>
        </w:rPr>
        <w:t>是：社会消费品零售总额增长7%，外贸进出口总额2000亿元，实际利用外资保持平稳。</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黑体_GBK" w:cs="方正仿宋_GBK"/>
          <w:color w:val="000000"/>
          <w:sz w:val="32"/>
          <w:szCs w:val="32"/>
          <w:lang w:val="en-US" w:eastAsia="zh-CN"/>
        </w:rPr>
      </w:pPr>
      <w:r>
        <w:rPr>
          <w:rFonts w:hint="eastAsia" w:ascii="Times New Roman" w:hAnsi="Times New Roman" w:eastAsia="方正黑体_GBK" w:cs="方正仿宋_GBK"/>
          <w:color w:val="000000"/>
          <w:sz w:val="32"/>
          <w:szCs w:val="32"/>
          <w:lang w:val="en-US" w:eastAsia="zh-CN"/>
        </w:rPr>
        <w:t>一、强化创新引领，服务全区经济社会发展大局</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579" w:firstLineChars="181"/>
        <w:jc w:val="both"/>
        <w:textAlignment w:val="baseline"/>
        <w:rPr>
          <w:rFonts w:hint="default"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（一）统筹内陆开放空中门户建设。</w:t>
      </w:r>
      <w:r>
        <w:rPr>
          <w:rFonts w:hint="eastAsia" w:ascii="方正仿宋_GBK" w:hAnsi="方正仿宋_GBK" w:eastAsia="方正仿宋_GBK" w:cs="方正仿宋_GBK"/>
          <w:color w:val="000000"/>
          <w:kern w:val="2"/>
          <w:sz w:val="32"/>
          <w:szCs w:val="32"/>
          <w:lang w:val="en-US" w:eastAsia="zh-CN" w:bidi="ar-SA"/>
        </w:rPr>
        <w:t>协调推动开放通道、开放平台、开放口岸、开放主体、开放环境建设，进一步拓展开放范围和层次。协同推动空港型国家物流枢纽建设，完善“1+4”运行工作机制，力争出台</w:t>
      </w:r>
      <w:r>
        <w:rPr>
          <w:rFonts w:hint="eastAsia" w:ascii="方正仿宋_GBK" w:hAnsi="方正仿宋_GBK" w:eastAsia="方正仿宋_GBK" w:cs="方正仿宋_GBK"/>
          <w:color w:val="auto"/>
          <w:kern w:val="2"/>
          <w:sz w:val="32"/>
          <w:szCs w:val="32"/>
          <w:lang w:val="en-US" w:eastAsia="zh-CN" w:bidi="ar-SA"/>
        </w:rPr>
        <w:t>枢纽区域范围内产业发展统一规划和</w:t>
      </w:r>
      <w:r>
        <w:rPr>
          <w:rFonts w:hint="eastAsia" w:ascii="方正仿宋_GBK" w:hAnsi="方正仿宋_GBK" w:eastAsia="方正仿宋_GBK" w:cs="方正仿宋_GBK"/>
          <w:b w:val="0"/>
          <w:i w:val="0"/>
          <w:caps w:val="0"/>
          <w:spacing w:val="0"/>
          <w:w w:val="100"/>
          <w:sz w:val="32"/>
          <w:szCs w:val="32"/>
          <w:lang w:val="en-US" w:eastAsia="zh-CN" w:bidi="ar-SA"/>
        </w:rPr>
        <w:t>支持</w:t>
      </w:r>
      <w:r>
        <w:rPr>
          <w:rFonts w:hint="default" w:ascii="方正仿宋_GBK" w:hAnsi="方正仿宋_GBK" w:eastAsia="方正仿宋_GBK" w:cs="方正仿宋_GBK"/>
          <w:b w:val="0"/>
          <w:i w:val="0"/>
          <w:caps w:val="0"/>
          <w:spacing w:val="0"/>
          <w:w w:val="100"/>
          <w:sz w:val="32"/>
          <w:szCs w:val="32"/>
          <w:lang w:val="en-US" w:eastAsia="zh-CN" w:bidi="ar-SA"/>
        </w:rPr>
        <w:t>航空</w:t>
      </w:r>
      <w:r>
        <w:rPr>
          <w:rFonts w:hint="eastAsia" w:ascii="方正仿宋_GBK" w:hAnsi="方正仿宋_GBK" w:eastAsia="方正仿宋_GBK" w:cs="方正仿宋_GBK"/>
          <w:b w:val="0"/>
          <w:i w:val="0"/>
          <w:caps w:val="0"/>
          <w:spacing w:val="0"/>
          <w:w w:val="100"/>
          <w:sz w:val="32"/>
          <w:szCs w:val="32"/>
          <w:lang w:val="en-US" w:eastAsia="zh-CN" w:bidi="ar-SA"/>
        </w:rPr>
        <w:t>货运发展相关</w:t>
      </w:r>
      <w:r>
        <w:rPr>
          <w:rFonts w:hint="default" w:ascii="方正仿宋_GBK" w:hAnsi="方正仿宋_GBK" w:eastAsia="方正仿宋_GBK" w:cs="方正仿宋_GBK"/>
          <w:b w:val="0"/>
          <w:i w:val="0"/>
          <w:caps w:val="0"/>
          <w:spacing w:val="0"/>
          <w:w w:val="100"/>
          <w:sz w:val="32"/>
          <w:szCs w:val="32"/>
          <w:lang w:val="en-US" w:eastAsia="zh-CN" w:bidi="ar-SA"/>
        </w:rPr>
        <w:t>政策</w:t>
      </w:r>
      <w:r>
        <w:rPr>
          <w:rFonts w:hint="eastAsia" w:ascii="方正仿宋_GBK" w:hAnsi="方正仿宋_GBK" w:eastAsia="方正仿宋_GBK" w:cs="方正仿宋_GBK"/>
          <w:b w:val="0"/>
          <w:i w:val="0"/>
          <w:caps w:val="0"/>
          <w:spacing w:val="0"/>
          <w:w w:val="100"/>
          <w:sz w:val="32"/>
          <w:szCs w:val="32"/>
          <w:lang w:val="en-US" w:eastAsia="zh-CN" w:bidi="ar-SA"/>
        </w:rPr>
        <w:t>措施，积极建设统一的航空物流综合服务信息平台，招引一批货运航空公司、龙头货代公司等，</w:t>
      </w:r>
      <w:r>
        <w:rPr>
          <w:rFonts w:hint="eastAsia" w:ascii="方正仿宋_GBK" w:hAnsi="方正仿宋_GBK" w:eastAsia="方正仿宋_GBK" w:cs="方正仿宋_GBK"/>
          <w:color w:val="000000"/>
          <w:kern w:val="2"/>
          <w:sz w:val="32"/>
          <w:szCs w:val="32"/>
          <w:lang w:val="en-US" w:eastAsia="zh-CN" w:bidi="ar-SA"/>
        </w:rPr>
        <w:t>进一步促进“通道带物流、物流带经贸、经贸带产业”效应释放。全面对接实施RCEP协议，用好RCEP关税减免及原产地规则，扩大汽车、摩托车等优势产品出口和特色产品进口。对接RCEP相关标准，引导新材料、生物医药等战略性新兴产业发展，促进RCEP成员国来渝北增资投资。</w:t>
      </w:r>
    </w:p>
    <w:p>
      <w:pPr>
        <w:keepNext w:val="0"/>
        <w:keepLines w:val="0"/>
        <w:pageBreakBefore w:val="0"/>
        <w:widowControl w:val="0"/>
        <w:kinsoku/>
        <w:wordWrap/>
        <w:overflowPunct/>
        <w:topLinePunct w:val="0"/>
        <w:autoSpaceDE/>
        <w:bidi w:val="0"/>
        <w:adjustRightInd/>
        <w:snapToGrid/>
        <w:spacing w:line="560" w:lineRule="exact"/>
        <w:ind w:firstLine="640"/>
        <w:jc w:val="both"/>
        <w:textAlignment w:val="auto"/>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楷体_GBK" w:hAnsi="方正楷体_GBK" w:eastAsia="方正楷体_GBK" w:cs="方正楷体_GBK"/>
          <w:color w:val="000000"/>
          <w:kern w:val="2"/>
          <w:sz w:val="32"/>
          <w:szCs w:val="32"/>
          <w:lang w:val="en-US" w:eastAsia="zh-CN" w:bidi="ar-SA"/>
        </w:rPr>
        <w:t>（二）推动建设国际消费中心区。</w:t>
      </w:r>
      <w:r>
        <w:rPr>
          <w:rFonts w:hint="eastAsia" w:ascii="方正仿宋_GBK" w:hAnsi="方正仿宋_GBK" w:eastAsia="方正仿宋_GBK" w:cs="方正仿宋_GBK"/>
          <w:color w:val="000000"/>
          <w:kern w:val="2"/>
          <w:sz w:val="32"/>
          <w:szCs w:val="32"/>
          <w:lang w:val="en-US" w:eastAsia="zh-CN" w:bidi="ar-SA"/>
        </w:rPr>
        <w:t>抢抓全市国际消费中心城市培育建设机遇，突出渝北特色，找准契合点，制定出台渝北工作方案，成立工作领导小组，</w:t>
      </w:r>
      <w:r>
        <w:rPr>
          <w:rFonts w:hint="eastAsia" w:ascii="方正仿宋_GBK" w:hAnsi="方正仿宋_GBK" w:eastAsia="方正仿宋_GBK" w:cs="方正仿宋_GBK"/>
          <w:b w:val="0"/>
          <w:i w:val="0"/>
          <w:caps w:val="0"/>
          <w:spacing w:val="0"/>
          <w:w w:val="100"/>
          <w:sz w:val="32"/>
          <w:szCs w:val="32"/>
          <w:lang w:val="en-US" w:eastAsia="zh-CN"/>
        </w:rPr>
        <w:t>健全工作协调机制，充分调动各部门和市场主体积极性，形成工作合力。坚持目标导向，积极参加试点示范，对标基础性条件好、国际化水平高、消费繁荣度高、政策引领性强等指标要求，积极争创“国际消费中心区”试点。强化政策支持，全面贯彻落实全市培育建设国际消费中心城市23条政策，整合招商、文旅等相关区级政策条款，配套出台渝北政策措施。加强渝北整体营销，宣传展示渝北消费魅力，打响渝北城市名片。</w:t>
      </w:r>
    </w:p>
    <w:p>
      <w:pPr>
        <w:keepNext w:val="0"/>
        <w:keepLines w:val="0"/>
        <w:pageBreakBefore w:val="0"/>
        <w:widowControl w:val="0"/>
        <w:kinsoku/>
        <w:wordWrap/>
        <w:overflowPunct/>
        <w:topLinePunct w:val="0"/>
        <w:autoSpaceDE/>
        <w:bidi w:val="0"/>
        <w:adjustRightInd/>
        <w:snapToGrid/>
        <w:spacing w:line="560" w:lineRule="exact"/>
        <w:ind w:firstLine="640"/>
        <w:jc w:val="both"/>
        <w:textAlignment w:val="auto"/>
        <w:rPr>
          <w:rFonts w:hint="default"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（三）深化自贸试验区建设改革创新。</w:t>
      </w:r>
      <w:r>
        <w:rPr>
          <w:rFonts w:hint="eastAsia" w:ascii="Times New Roman" w:hAnsi="Times New Roman" w:eastAsia="方正仿宋_GBK" w:cs="Times New Roman"/>
          <w:color w:val="000000"/>
          <w:kern w:val="2"/>
          <w:sz w:val="32"/>
          <w:szCs w:val="20"/>
          <w:shd w:val="clear" w:color="auto" w:fill="FFFFFF"/>
          <w:lang w:val="en-US" w:eastAsia="zh-CN"/>
        </w:rPr>
        <w:t>围绕投资便利化、贸易便利化、创新金融服务、事中事后监管四大领域</w:t>
      </w:r>
      <w:r>
        <w:rPr>
          <w:rFonts w:hint="eastAsia" w:ascii="方正仿宋_GBK" w:hAnsi="方正仿宋_GBK" w:eastAsia="方正仿宋_GBK" w:cs="方正仿宋_GBK"/>
          <w:b w:val="0"/>
          <w:bCs w:val="0"/>
          <w:color w:val="000000"/>
          <w:kern w:val="2"/>
          <w:sz w:val="32"/>
          <w:szCs w:val="32"/>
          <w:lang w:val="en-US" w:eastAsia="zh-CN" w:bidi="ar-SA"/>
        </w:rPr>
        <w:t>，持续深化“首创性、差别化”探索，全力推进制度创新实践。</w:t>
      </w:r>
      <w:r>
        <w:rPr>
          <w:rFonts w:hint="eastAsia" w:ascii="方正仿宋_GBK" w:hAnsi="方正仿宋_GBK" w:eastAsia="方正仿宋_GBK" w:cs="方正仿宋_GBK"/>
          <w:sz w:val="32"/>
          <w:szCs w:val="32"/>
          <w:lang w:val="en-US" w:eastAsia="zh-CN"/>
        </w:rPr>
        <w:t>积极配合市级开展自贸试验区改革创新工作评价，落实支持自贸试验区高质量发展相关政策及贸易投资便利化改革创新措施。积极参与共建川渝自贸试验区协同开放示范区，支持高竹新区申报自贸试验区联动创新区。</w:t>
      </w:r>
      <w:r>
        <w:rPr>
          <w:rFonts w:hint="eastAsia" w:ascii="方正仿宋_GBK" w:eastAsia="方正仿宋_GBK"/>
          <w:sz w:val="32"/>
          <w:szCs w:val="32"/>
        </w:rPr>
        <w:t>深入推进“一本报告管全域”改革试点</w:t>
      </w:r>
      <w:r>
        <w:rPr>
          <w:rFonts w:hint="eastAsia" w:ascii="方正仿宋_GBK" w:eastAsia="方正仿宋_GBK"/>
          <w:sz w:val="32"/>
          <w:szCs w:val="32"/>
          <w:lang w:val="en-US" w:eastAsia="zh-CN"/>
        </w:rPr>
        <w:t>更深更广运用，支持更多企业用好改革试点成果。</w:t>
      </w:r>
      <w:r>
        <w:rPr>
          <w:rFonts w:hint="eastAsia" w:ascii="方正仿宋_GBK" w:hAnsi="方正仿宋_GBK" w:eastAsia="方正仿宋_GBK" w:cs="方正仿宋_GBK"/>
          <w:b w:val="0"/>
          <w:bCs w:val="0"/>
          <w:color w:val="000000"/>
          <w:kern w:val="2"/>
          <w:sz w:val="32"/>
          <w:szCs w:val="32"/>
          <w:lang w:val="en-US" w:eastAsia="zh-CN" w:bidi="ar-SA"/>
        </w:rPr>
        <w:t>强化自贸试验区产业集聚，引进高水平市场主体，增强产业聚集和协调效应。</w:t>
      </w:r>
    </w:p>
    <w:p>
      <w:pPr>
        <w:keepNext w:val="0"/>
        <w:keepLines w:val="0"/>
        <w:pageBreakBefore w:val="0"/>
        <w:widowControl w:val="0"/>
        <w:kinsoku/>
        <w:wordWrap/>
        <w:overflowPunct/>
        <w:topLinePunct w:val="0"/>
        <w:autoSpaceDE/>
        <w:bidi w:val="0"/>
        <w:adjustRightInd/>
        <w:snapToGrid/>
        <w:spacing w:line="560" w:lineRule="exact"/>
        <w:ind w:firstLine="640"/>
        <w:jc w:val="both"/>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（四）</w:t>
      </w:r>
      <w:r>
        <w:rPr>
          <w:rFonts w:hint="eastAsia" w:ascii="方正楷体_GBK" w:hAnsi="方正楷体_GBK" w:eastAsia="方正楷体_GBK" w:cs="方正楷体_GBK"/>
          <w:color w:val="000000"/>
          <w:kern w:val="2"/>
          <w:sz w:val="32"/>
          <w:szCs w:val="32"/>
          <w:lang w:val="en-US" w:eastAsia="zh-CN" w:bidi="ar-SA"/>
        </w:rPr>
        <w:fldChar w:fldCharType="begin"/>
      </w:r>
      <w:r>
        <w:rPr>
          <w:rFonts w:hint="eastAsia" w:ascii="方正楷体_GBK" w:hAnsi="方正楷体_GBK" w:eastAsia="方正楷体_GBK" w:cs="方正楷体_GBK"/>
          <w:color w:val="000000"/>
          <w:kern w:val="2"/>
          <w:sz w:val="32"/>
          <w:szCs w:val="32"/>
          <w:lang w:val="en-US" w:eastAsia="zh-CN" w:bidi="ar-SA"/>
        </w:rPr>
        <w:instrText xml:space="preserve"> HYPERLINK "https://www.baidu.com/link?url=oa748tuKJrVGG3n8t46utchwlgSE9-ZYpK8VkS21dd70DuKKc0OwcfmWm8_Z42NvML6Uey5r5UPn_fvEGADMp3YAAbzU31UgDlAxFOV1byVV2l_YuK92-VhVbNjk9eDg&amp;wd=&amp;eqid=c477a200000a7662000000066212ffcc" \t "https://www.baidu.com/_blank" </w:instrText>
      </w:r>
      <w:r>
        <w:rPr>
          <w:rFonts w:hint="eastAsia" w:ascii="方正楷体_GBK" w:hAnsi="方正楷体_GBK" w:eastAsia="方正楷体_GBK" w:cs="方正楷体_GBK"/>
          <w:color w:val="000000"/>
          <w:kern w:val="2"/>
          <w:sz w:val="32"/>
          <w:szCs w:val="32"/>
          <w:lang w:val="en-US" w:eastAsia="zh-CN" w:bidi="ar-SA"/>
        </w:rPr>
        <w:fldChar w:fldCharType="separate"/>
      </w:r>
      <w:r>
        <w:rPr>
          <w:rFonts w:hint="eastAsia" w:ascii="方正楷体_GBK" w:hAnsi="方正楷体_GBK" w:eastAsia="方正楷体_GBK" w:cs="方正楷体_GBK"/>
          <w:color w:val="000000"/>
          <w:kern w:val="2"/>
          <w:sz w:val="32"/>
          <w:szCs w:val="32"/>
          <w:lang w:val="en-US" w:eastAsia="zh-CN" w:bidi="ar-SA"/>
        </w:rPr>
        <w:t>拓展中新合作</w:t>
      </w:r>
      <w:r>
        <w:rPr>
          <w:rFonts w:hint="eastAsia" w:ascii="方正楷体_GBK" w:hAnsi="方正楷体_GBK" w:eastAsia="方正楷体_GBK" w:cs="方正楷体_GBK"/>
          <w:color w:val="000000"/>
          <w:kern w:val="2"/>
          <w:sz w:val="32"/>
          <w:szCs w:val="32"/>
          <w:lang w:val="en-US" w:eastAsia="zh-CN" w:bidi="ar-SA"/>
        </w:rPr>
        <w:fldChar w:fldCharType="end"/>
      </w:r>
      <w:r>
        <w:rPr>
          <w:rFonts w:hint="eastAsia" w:ascii="方正楷体_GBK" w:hAnsi="方正楷体_GBK" w:eastAsia="方正楷体_GBK" w:cs="方正楷体_GBK"/>
          <w:color w:val="000000"/>
          <w:kern w:val="2"/>
          <w:sz w:val="32"/>
          <w:szCs w:val="32"/>
          <w:lang w:val="en-US" w:eastAsia="zh-CN" w:bidi="ar-SA"/>
        </w:rPr>
        <w:t>深度广度。</w:t>
      </w:r>
      <w:r>
        <w:rPr>
          <w:rFonts w:hint="eastAsia" w:ascii="方正仿宋_GBK" w:hAnsi="方正仿宋_GBK" w:eastAsia="方正仿宋_GBK" w:cs="方正仿宋_GBK"/>
          <w:b w:val="0"/>
          <w:bCs w:val="0"/>
          <w:color w:val="000000"/>
          <w:kern w:val="2"/>
          <w:sz w:val="32"/>
          <w:szCs w:val="32"/>
          <w:lang w:val="en-US" w:eastAsia="zh-CN" w:bidi="ar-SA"/>
        </w:rPr>
        <w:t>加快推进中新（重庆）大数据智能化产业示范园区建设，用好用活中新数据通道，招引一批引领性项目，加强与新加坡媒体通信资讯局等机构交流合作，孵化引进一批创新型成长性项目。积极参与整合空港国际商贸物流园、木耳航空物流园、中新航空产业园航空物流片区、重庆机场航空物流园区等资源，共同打造中新（重庆）国际航空物流产业示范区。</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579" w:firstLineChars="181"/>
        <w:jc w:val="both"/>
        <w:textAlignment w:val="baseline"/>
        <w:rPr>
          <w:rFonts w:hint="eastAsia" w:ascii="方正黑体_GBK" w:hAnsi="方正黑体_GBK" w:eastAsia="方正黑体_GBK" w:cs="方正黑体_GBK"/>
          <w:b w:val="0"/>
          <w:bCs/>
          <w:i w:val="0"/>
          <w:caps w:val="0"/>
          <w:spacing w:val="0"/>
          <w:w w:val="100"/>
          <w:sz w:val="32"/>
          <w:szCs w:val="32"/>
          <w:lang w:val="en-US" w:eastAsia="zh-CN"/>
        </w:rPr>
      </w:pPr>
      <w:r>
        <w:rPr>
          <w:rFonts w:hint="eastAsia" w:ascii="方正楷体_GBK" w:hAnsi="方正楷体_GBK" w:eastAsia="方正楷体_GBK" w:cs="方正楷体_GBK"/>
          <w:b w:val="0"/>
          <w:i w:val="0"/>
          <w:caps w:val="0"/>
          <w:spacing w:val="0"/>
          <w:w w:val="100"/>
          <w:sz w:val="32"/>
          <w:szCs w:val="32"/>
          <w:lang w:val="en-US" w:eastAsia="zh-CN" w:bidi="ar-SA"/>
        </w:rPr>
        <w:t>（五）积极推动服务业扩大开放。</w:t>
      </w:r>
      <w:r>
        <w:rPr>
          <w:rFonts w:hint="eastAsia" w:ascii="方正仿宋_GBK" w:hAnsi="方正仿宋_GBK" w:eastAsia="方正仿宋_GBK" w:cs="方正仿宋_GBK"/>
          <w:b w:val="0"/>
          <w:bCs/>
          <w:i w:val="0"/>
          <w:caps w:val="0"/>
          <w:spacing w:val="0"/>
          <w:w w:val="100"/>
          <w:sz w:val="32"/>
          <w:szCs w:val="32"/>
          <w:lang w:val="en-US" w:eastAsia="zh-CN" w:bidi="ar-SA"/>
        </w:rPr>
        <w:t>围绕全市服务业扩大开放综合试点，聚焦科技、数据、金融、健康医疗、教育、商贸文旅、人才7大行业领域，项目化、清单化、动态化推进涉及我区70项试点任务落地。探索推动制度创新及经验总结，力争形成3条以上制度创新成果或典型案例。积极组织开展示范区、示范园、示范项目创建工作，突出典型带动、示范引领。围绕重点发展产业及市场需求，加大项目策划和引进力度，支持市人力资源产业园创建国家人力资源服务出口基地，支持区内本科高校、高职院校与德国等国际高水平应用技术大学合作办学，积极争取合格境内有限合伙人QDLP试点项目落地。根据全市首批重点项目清单，全力推动我区两江国际商务中心、中新大数据智能化产业示范基地2个重点项目，集聚发展楼宇经济、总部经济，积极探索数据领域开放。</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579" w:firstLineChars="181"/>
        <w:jc w:val="both"/>
        <w:textAlignment w:val="baseline"/>
        <w:rPr>
          <w:rFonts w:hint="default" w:ascii="方正黑体_GBK" w:hAnsi="方正黑体_GBK" w:eastAsia="方正黑体_GBK" w:cs="方正黑体_GBK"/>
          <w:b w:val="0"/>
          <w:bCs/>
          <w:i w:val="0"/>
          <w:caps w:val="0"/>
          <w:spacing w:val="0"/>
          <w:w w:val="100"/>
          <w:sz w:val="32"/>
          <w:szCs w:val="32"/>
          <w:lang w:val="en-US" w:eastAsia="zh-CN"/>
        </w:rPr>
      </w:pPr>
      <w:r>
        <w:rPr>
          <w:rFonts w:hint="eastAsia" w:ascii="方正黑体_GBK" w:hAnsi="方正黑体_GBK" w:eastAsia="方正黑体_GBK" w:cs="方正黑体_GBK"/>
          <w:b w:val="0"/>
          <w:bCs/>
          <w:i w:val="0"/>
          <w:caps w:val="0"/>
          <w:spacing w:val="0"/>
          <w:w w:val="100"/>
          <w:sz w:val="32"/>
          <w:szCs w:val="32"/>
          <w:lang w:val="en-US" w:eastAsia="zh-CN"/>
        </w:rPr>
        <w:t>二、提振市场活力，培育壮大消费增长新动能</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方正仿宋_GBK" w:hAnsi="仿宋" w:eastAsia="方正仿宋_GBK" w:cs="方正仿宋_GBK"/>
          <w:sz w:val="32"/>
          <w:szCs w:val="32"/>
        </w:rPr>
      </w:pPr>
      <w:r>
        <w:rPr>
          <w:rFonts w:hint="eastAsia" w:ascii="方正楷体_GBK" w:hAnsi="方正楷体_GBK" w:eastAsia="方正楷体_GBK" w:cs="方正楷体_GBK"/>
          <w:b w:val="0"/>
          <w:bCs/>
          <w:i w:val="0"/>
          <w:caps w:val="0"/>
          <w:spacing w:val="0"/>
          <w:w w:val="100"/>
          <w:sz w:val="32"/>
          <w:szCs w:val="32"/>
          <w:lang w:val="en-US" w:eastAsia="zh-CN"/>
        </w:rPr>
        <w:t>（六）推动消费扩容提质。</w:t>
      </w:r>
      <w:r>
        <w:rPr>
          <w:rFonts w:hint="eastAsia" w:ascii="方正仿宋_GBK" w:hAnsi="方正仿宋_GBK" w:eastAsia="方正仿宋_GBK" w:cs="方正仿宋_GBK"/>
          <w:b w:val="0"/>
          <w:i w:val="0"/>
          <w:caps w:val="0"/>
          <w:spacing w:val="0"/>
          <w:w w:val="100"/>
          <w:sz w:val="32"/>
          <w:szCs w:val="32"/>
          <w:lang w:val="en-US" w:eastAsia="zh-CN"/>
        </w:rPr>
        <w:t>围绕“一心一廊两圈”产业发展布局，升级消费载体，创新消费模式，拓展消费空间。支持两江国际商务中心加快建设，</w:t>
      </w:r>
      <w:r>
        <w:rPr>
          <w:rFonts w:hint="eastAsia" w:ascii="方正仿宋_GBK" w:hAnsi="方正仿宋_GBK" w:eastAsia="方正仿宋_GBK" w:cs="方正仿宋_GBK"/>
          <w:b w:val="0"/>
          <w:i w:val="0"/>
          <w:caps w:val="0"/>
          <w:spacing w:val="0"/>
          <w:w w:val="100"/>
          <w:sz w:val="32"/>
          <w:szCs w:val="32"/>
          <w:lang w:val="en-US" w:eastAsia="zh-CN" w:bidi="ar-SA"/>
        </w:rPr>
        <w:t>推动合景悠方10月份开业运营，举办具有“国际范儿”的休闲节、购物节，</w:t>
      </w:r>
      <w:r>
        <w:rPr>
          <w:rFonts w:hint="eastAsia" w:ascii="方正仿宋_GBK" w:hAnsi="方正仿宋_GBK" w:eastAsia="方正仿宋_GBK" w:cs="方正仿宋_GBK"/>
          <w:b w:val="0"/>
          <w:i w:val="0"/>
          <w:caps w:val="0"/>
          <w:spacing w:val="0"/>
          <w:w w:val="100"/>
          <w:sz w:val="32"/>
          <w:szCs w:val="32"/>
          <w:lang w:val="en-US" w:eastAsia="zh-CN"/>
        </w:rPr>
        <w:t>积极引导商务楼宇招引布局新兴金融、服务贸易、专业服务业等战略性新兴总部企业。</w:t>
      </w:r>
      <w:r>
        <w:rPr>
          <w:rFonts w:hint="eastAsia" w:ascii="方正仿宋_GBK" w:hAnsi="方正仿宋_GBK" w:eastAsia="方正仿宋_GBK" w:cs="方正仿宋_GBK"/>
          <w:b w:val="0"/>
          <w:i w:val="0"/>
          <w:caps w:val="0"/>
          <w:spacing w:val="0"/>
          <w:w w:val="100"/>
          <w:sz w:val="32"/>
          <w:szCs w:val="32"/>
          <w:lang w:val="en-US" w:eastAsia="zh-CN" w:bidi="ar-SA"/>
        </w:rPr>
        <w:t>支持临空消费走廊建设，</w:t>
      </w:r>
      <w:r>
        <w:rPr>
          <w:rFonts w:hint="eastAsia" w:ascii="方正仿宋_GBK" w:hAnsi="方正仿宋_GBK" w:eastAsia="方正仿宋_GBK" w:cs="方正仿宋_GBK"/>
          <w:sz w:val="32"/>
          <w:szCs w:val="32"/>
          <w:lang w:val="en-US" w:eastAsia="zh-CN" w:bidi="ar-SA"/>
        </w:rPr>
        <w:t>推动T23时装小镇“五一节”开街运营，西南国际汽贸城建成</w:t>
      </w:r>
      <w:r>
        <w:rPr>
          <w:rFonts w:hint="eastAsia" w:ascii="方正仿宋_GBK" w:hAnsi="方正仿宋_GBK" w:eastAsia="方正仿宋_GBK" w:cs="方正仿宋_GBK"/>
          <w:sz w:val="32"/>
          <w:szCs w:val="32"/>
          <w:lang w:val="zh-CN" w:eastAsia="zh-CN" w:bidi="ar-SA"/>
        </w:rPr>
        <w:t>汇集汽贸广场（一期）、广汽商贸汽车城等项目</w:t>
      </w:r>
      <w:r>
        <w:rPr>
          <w:rFonts w:hint="eastAsia" w:ascii="方正仿宋_GBK" w:hAnsi="方正仿宋_GBK" w:eastAsia="方正仿宋_GBK" w:cs="方正仿宋_GBK"/>
          <w:sz w:val="32"/>
          <w:szCs w:val="32"/>
          <w:lang w:val="en-US" w:eastAsia="zh-CN" w:bidi="ar-SA"/>
        </w:rPr>
        <w:t>6个</w:t>
      </w:r>
      <w:r>
        <w:rPr>
          <w:rFonts w:hint="eastAsia" w:ascii="方正仿宋_GBK" w:hAnsi="方正仿宋_GBK" w:eastAsia="方正仿宋_GBK" w:cs="方正仿宋_GBK"/>
          <w:sz w:val="32"/>
          <w:szCs w:val="32"/>
          <w:lang w:val="zh-CN" w:eastAsia="zh-CN" w:bidi="ar-SA"/>
        </w:rPr>
        <w:t>，开业</w:t>
      </w:r>
      <w:r>
        <w:rPr>
          <w:rFonts w:hint="eastAsia" w:ascii="方正仿宋_GBK" w:hAnsi="方正仿宋_GBK" w:eastAsia="方正仿宋_GBK" w:cs="方正仿宋_GBK"/>
          <w:sz w:val="32"/>
          <w:szCs w:val="32"/>
          <w:lang w:val="en-US" w:eastAsia="zh-CN" w:bidi="ar-SA"/>
        </w:rPr>
        <w:t>运营</w:t>
      </w:r>
      <w:r>
        <w:rPr>
          <w:rFonts w:hint="eastAsia" w:ascii="方正仿宋_GBK" w:hAnsi="方正仿宋_GBK" w:eastAsia="方正仿宋_GBK" w:cs="方正仿宋_GBK"/>
          <w:sz w:val="32"/>
          <w:szCs w:val="32"/>
          <w:lang w:val="zh-CN" w:eastAsia="zh-CN" w:bidi="ar-SA"/>
        </w:rPr>
        <w:t>福特、日产、哈弗等汽车4S店10个，</w:t>
      </w:r>
      <w:r>
        <w:rPr>
          <w:rFonts w:hint="eastAsia" w:ascii="方正仿宋_GBK" w:hAnsi="方正仿宋_GBK" w:eastAsia="方正仿宋_GBK" w:cs="方正仿宋_GBK"/>
          <w:sz w:val="32"/>
          <w:szCs w:val="32"/>
          <w:lang w:val="en-US" w:eastAsia="zh-CN" w:bidi="ar-SA"/>
        </w:rPr>
        <w:t>打造</w:t>
      </w:r>
      <w:r>
        <w:rPr>
          <w:rFonts w:hint="eastAsia" w:ascii="方正仿宋_GBK" w:hAnsi="方正仿宋_GBK" w:eastAsia="方正仿宋_GBK" w:cs="方正仿宋_GBK"/>
          <w:b w:val="0"/>
          <w:i w:val="0"/>
          <w:caps w:val="0"/>
          <w:spacing w:val="0"/>
          <w:w w:val="100"/>
          <w:sz w:val="32"/>
          <w:szCs w:val="32"/>
          <w:lang w:val="en-US" w:eastAsia="zh-CN" w:bidi="ar-SA"/>
        </w:rPr>
        <w:t>个性化消费目的地。推动两大商圈扩容提质，支持</w:t>
      </w:r>
      <w:r>
        <w:rPr>
          <w:rFonts w:hint="eastAsia" w:ascii="方正仿宋_GBK" w:hAnsi="仿宋" w:eastAsia="方正仿宋_GBK" w:cs="方正仿宋_GBK"/>
          <w:sz w:val="32"/>
          <w:szCs w:val="32"/>
        </w:rPr>
        <w:t>新光天地引入</w:t>
      </w:r>
      <w:r>
        <w:rPr>
          <w:rFonts w:hint="eastAsia" w:ascii="方正仿宋_GBK" w:hAnsi="仿宋" w:eastAsia="方正仿宋_GBK" w:cs="方正仿宋_GBK"/>
          <w:sz w:val="32"/>
          <w:szCs w:val="32"/>
          <w:lang w:val="en-US" w:eastAsia="zh-CN"/>
        </w:rPr>
        <w:t>国际名品，支持森活大融城</w:t>
      </w:r>
      <w:r>
        <w:rPr>
          <w:rFonts w:hint="eastAsia" w:ascii="方正仿宋_GBK" w:hAnsi="仿宋" w:eastAsia="方正仿宋_GBK" w:cs="方正仿宋_GBK"/>
          <w:sz w:val="32"/>
          <w:szCs w:val="32"/>
        </w:rPr>
        <w:t>加快建设。</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i w:val="0"/>
          <w:caps w:val="0"/>
          <w:spacing w:val="0"/>
          <w:w w:val="100"/>
          <w:kern w:val="2"/>
          <w:sz w:val="32"/>
          <w:szCs w:val="32"/>
          <w:lang w:val="en-US" w:eastAsia="zh-CN" w:bidi="ar-SA"/>
        </w:rPr>
      </w:pPr>
      <w:r>
        <w:rPr>
          <w:rFonts w:hint="eastAsia" w:ascii="方正楷体_GBK" w:hAnsi="方正楷体_GBK" w:eastAsia="方正楷体_GBK" w:cs="方正楷体_GBK"/>
          <w:b w:val="0"/>
          <w:i w:val="0"/>
          <w:caps w:val="0"/>
          <w:spacing w:val="0"/>
          <w:w w:val="100"/>
          <w:sz w:val="32"/>
          <w:szCs w:val="32"/>
          <w:lang w:val="en-US" w:eastAsia="zh-CN" w:bidi="ar-SA"/>
        </w:rPr>
        <w:t>（七）加快释放消费潜力。</w:t>
      </w:r>
      <w:r>
        <w:rPr>
          <w:rFonts w:hint="eastAsia" w:ascii="方正仿宋_GBK" w:hAnsi="方正仿宋_GBK" w:eastAsia="方正仿宋_GBK" w:cs="方正仿宋_GBK"/>
          <w:b w:val="0"/>
          <w:i w:val="0"/>
          <w:caps w:val="0"/>
          <w:spacing w:val="0"/>
          <w:w w:val="100"/>
          <w:kern w:val="2"/>
          <w:sz w:val="32"/>
          <w:szCs w:val="32"/>
          <w:lang w:val="en-US" w:eastAsia="zh-CN" w:bidi="ar-SA"/>
        </w:rPr>
        <w:t>提升传统消费能级，扩大二手车流通，积极开展新能源汽车促销，促进汽车梯次消费、循环消费。积极参与全市消费促进活动，鼓励大型商贸企业“走出去”参展促销，支持商圈、商超开展形式多样的促销活动。</w:t>
      </w:r>
      <w:r>
        <w:rPr>
          <w:rFonts w:hint="eastAsia" w:ascii="方正仿宋_GBK" w:hAnsi="方正仿宋_GBK" w:eastAsia="方正仿宋_GBK" w:cs="方正仿宋_GBK"/>
          <w:b w:val="0"/>
          <w:i w:val="0"/>
          <w:caps w:val="0"/>
          <w:spacing w:val="0"/>
          <w:w w:val="100"/>
          <w:sz w:val="32"/>
          <w:szCs w:val="32"/>
          <w:lang w:val="en-US" w:eastAsia="zh-CN" w:bidi="ar-SA"/>
        </w:rPr>
        <w:t>把握四季消费热点，组织举办贯通全年的系列消费促进活动，</w:t>
      </w:r>
      <w:r>
        <w:rPr>
          <w:rFonts w:hint="eastAsia" w:ascii="方正仿宋_GBK" w:hAnsi="方正仿宋_GBK" w:eastAsia="方正仿宋_GBK" w:cs="方正仿宋_GBK"/>
          <w:b w:val="0"/>
          <w:bCs/>
          <w:i w:val="0"/>
          <w:caps w:val="0"/>
          <w:spacing w:val="0"/>
          <w:w w:val="100"/>
          <w:sz w:val="32"/>
          <w:szCs w:val="32"/>
          <w:lang w:eastAsia="zh-CN"/>
        </w:rPr>
        <w:t>办</w:t>
      </w:r>
      <w:r>
        <w:rPr>
          <w:rFonts w:hint="eastAsia" w:ascii="方正仿宋_GBK" w:hAnsi="方正仿宋_GBK" w:eastAsia="方正仿宋_GBK" w:cs="方正仿宋_GBK"/>
          <w:b w:val="0"/>
          <w:bCs/>
          <w:i w:val="0"/>
          <w:caps w:val="0"/>
          <w:spacing w:val="0"/>
          <w:w w:val="100"/>
          <w:sz w:val="32"/>
          <w:szCs w:val="32"/>
          <w:lang w:val="en-US" w:eastAsia="zh-CN"/>
        </w:rPr>
        <w:t>好中央公园商圈国际休闲消费季、</w:t>
      </w:r>
      <w:r>
        <w:rPr>
          <w:rFonts w:hint="eastAsia" w:ascii="方正仿宋_GBK" w:hAnsi="方正仿宋_GBK" w:eastAsia="方正仿宋_GBK" w:cs="方正仿宋_GBK"/>
          <w:b w:val="0"/>
          <w:bCs/>
          <w:i w:val="0"/>
          <w:caps w:val="0"/>
          <w:spacing w:val="0"/>
          <w:w w:val="100"/>
          <w:sz w:val="32"/>
          <w:szCs w:val="32"/>
          <w:lang w:eastAsia="zh-CN"/>
        </w:rPr>
        <w:t>海鲜节、一带一路进口商品展</w:t>
      </w:r>
      <w:r>
        <w:rPr>
          <w:rFonts w:hint="eastAsia" w:ascii="方正仿宋_GBK" w:hAnsi="方正仿宋_GBK" w:eastAsia="方正仿宋_GBK" w:cs="方正仿宋_GBK"/>
          <w:b w:val="0"/>
          <w:bCs/>
          <w:i w:val="0"/>
          <w:caps w:val="0"/>
          <w:spacing w:val="0"/>
          <w:w w:val="100"/>
          <w:sz w:val="32"/>
          <w:szCs w:val="32"/>
          <w:lang w:val="en-US" w:eastAsia="zh-CN"/>
        </w:rPr>
        <w:t>等</w:t>
      </w:r>
      <w:r>
        <w:rPr>
          <w:rFonts w:hint="eastAsia" w:ascii="方正仿宋_GBK" w:hAnsi="方正仿宋_GBK" w:eastAsia="方正仿宋_GBK" w:cs="方正仿宋_GBK"/>
          <w:b w:val="0"/>
          <w:bCs/>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kern w:val="2"/>
          <w:sz w:val="32"/>
          <w:szCs w:val="32"/>
          <w:lang w:val="en-US" w:eastAsia="zh-CN" w:bidi="ar-SA"/>
        </w:rPr>
        <w:t>支持各镇办好“五花”节、丰收节等特色节会活动，以“小节会”拉动大消费。</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i w:val="0"/>
          <w:caps w:val="0"/>
          <w:spacing w:val="0"/>
          <w:w w:val="100"/>
          <w:sz w:val="32"/>
          <w:szCs w:val="32"/>
          <w:lang w:eastAsia="zh-CN"/>
        </w:rPr>
      </w:pPr>
      <w:r>
        <w:rPr>
          <w:rFonts w:hint="eastAsia" w:ascii="方正楷体_GBK" w:hAnsi="方正楷体_GBK" w:eastAsia="方正楷体_GBK" w:cs="方正楷体_GBK"/>
          <w:b w:val="0"/>
          <w:i w:val="0"/>
          <w:caps w:val="0"/>
          <w:spacing w:val="0"/>
          <w:w w:val="100"/>
          <w:sz w:val="32"/>
          <w:szCs w:val="32"/>
          <w:lang w:val="en-US" w:eastAsia="zh-CN" w:bidi="ar-SA"/>
        </w:rPr>
        <w:t>（八）大力发展特色消费。</w:t>
      </w:r>
      <w:r>
        <w:rPr>
          <w:rFonts w:hint="eastAsia" w:ascii="方正仿宋_GBK" w:hAnsi="方正仿宋_GBK" w:eastAsia="方正仿宋_GBK" w:cs="方正仿宋_GBK"/>
          <w:b w:val="0"/>
          <w:i w:val="0"/>
          <w:caps w:val="0"/>
          <w:spacing w:val="0"/>
          <w:w w:val="100"/>
          <w:sz w:val="32"/>
          <w:szCs w:val="32"/>
          <w:lang w:val="en-US" w:eastAsia="zh-CN" w:bidi="ar-SA"/>
        </w:rPr>
        <w:t>大力发展特色街区，改造提升“重庆小曼谷”紫薇路，通过外部环境形象改造提升、完善休闲时尚业态布局等，进一步提升紫薇路商业街区知名度、美誉度。深入</w:t>
      </w:r>
      <w:r>
        <w:rPr>
          <w:rFonts w:hint="eastAsia" w:ascii="方正仿宋_GBK" w:hAnsi="方正仿宋_GBK" w:eastAsia="方正仿宋_GBK" w:cs="方正仿宋_GBK"/>
          <w:b w:val="0"/>
          <w:i w:val="0"/>
          <w:caps w:val="0"/>
          <w:spacing w:val="0"/>
          <w:w w:val="100"/>
          <w:sz w:val="32"/>
          <w:szCs w:val="32"/>
          <w:lang w:val="en-US" w:eastAsia="zh-CN"/>
        </w:rPr>
        <w:t>挖掘</w:t>
      </w:r>
      <w:r>
        <w:rPr>
          <w:rFonts w:hint="eastAsia" w:ascii="方正仿宋_GBK" w:hAnsi="方正仿宋_GBK" w:eastAsia="方正仿宋_GBK" w:cs="方正仿宋_GBK"/>
          <w:sz w:val="32"/>
          <w:szCs w:val="32"/>
          <w:lang w:val="en-US" w:eastAsia="zh-CN" w:bidi="ar-SA"/>
        </w:rPr>
        <w:t>区内老旧工业厂房、</w:t>
      </w:r>
      <w:r>
        <w:rPr>
          <w:rFonts w:hint="eastAsia" w:ascii="方正仿宋_GBK" w:hAnsi="方正仿宋_GBK" w:eastAsia="方正仿宋_GBK" w:cs="方正仿宋_GBK"/>
          <w:b w:val="0"/>
          <w:i w:val="0"/>
          <w:caps w:val="0"/>
          <w:spacing w:val="0"/>
          <w:w w:val="100"/>
          <w:sz w:val="32"/>
          <w:szCs w:val="32"/>
          <w:lang w:val="en-US" w:eastAsia="zh-CN"/>
        </w:rPr>
        <w:t>仓储用房、服装车间等历史文化和时代价值，</w:t>
      </w:r>
      <w:r>
        <w:rPr>
          <w:rFonts w:hint="eastAsia" w:ascii="方正仿宋_GBK" w:hAnsi="方正仿宋_GBK" w:eastAsia="方正仿宋_GBK" w:cs="方正仿宋_GBK"/>
          <w:b w:val="0"/>
          <w:i w:val="0"/>
          <w:caps w:val="0"/>
          <w:spacing w:val="0"/>
          <w:w w:val="100"/>
          <w:sz w:val="32"/>
          <w:szCs w:val="32"/>
          <w:lang w:val="en-US" w:eastAsia="zh-CN" w:bidi="ar-SA"/>
        </w:rPr>
        <w:t>力争打造一批商旅文融合的特色街区，提升渝北商业个性品质。</w:t>
      </w:r>
      <w:r>
        <w:rPr>
          <w:rFonts w:hint="eastAsia" w:ascii="方正仿宋_GBK" w:hAnsi="方正仿宋_GBK" w:eastAsia="方正仿宋_GBK" w:cs="方正仿宋_GBK"/>
          <w:b w:val="0"/>
          <w:i w:val="0"/>
          <w:caps w:val="0"/>
          <w:spacing w:val="0"/>
          <w:w w:val="100"/>
          <w:sz w:val="32"/>
          <w:szCs w:val="32"/>
          <w:lang w:val="en-US" w:eastAsia="zh-CN"/>
        </w:rPr>
        <w:t>依托航线和轨道资源优势，引导西南国际汽贸城、国盛IEC等企业充分利用楼顶资源，打造特色“屋顶经济”和“花园经济”等消费新场景。</w:t>
      </w:r>
      <w:r>
        <w:rPr>
          <w:rStyle w:val="52"/>
          <w:rFonts w:hint="eastAsia" w:ascii="方正仿宋_GBK" w:hAnsi="方正仿宋_GBK" w:eastAsia="方正仿宋_GBK" w:cs="方正仿宋_GBK"/>
          <w:b w:val="0"/>
          <w:i w:val="0"/>
          <w:caps w:val="0"/>
          <w:color w:val="000000"/>
          <w:spacing w:val="0"/>
          <w:w w:val="100"/>
          <w:kern w:val="2"/>
          <w:sz w:val="32"/>
          <w:szCs w:val="32"/>
          <w:lang w:val="en-US" w:eastAsia="zh-CN" w:bidi="ar-SA"/>
        </w:rPr>
        <w:t>积极引导发展“四首经济”，吸引国内外知名品牌开设全球性、全国性和区域性品牌首店、旗舰店、连锁店</w:t>
      </w:r>
      <w:r>
        <w:rPr>
          <w:rFonts w:hint="eastAsia" w:ascii="方正仿宋_GBK" w:hAnsi="方正仿宋_GBK" w:eastAsia="方正仿宋_GBK" w:cs="方正仿宋_GBK"/>
          <w:b w:val="0"/>
          <w:i w:val="0"/>
          <w:caps w:val="0"/>
          <w:spacing w:val="0"/>
          <w:w w:val="100"/>
          <w:sz w:val="32"/>
          <w:szCs w:val="32"/>
          <w:lang w:eastAsia="zh-CN"/>
        </w:rPr>
        <w:t>。集聚发展“五夜经济”，</w:t>
      </w:r>
      <w:r>
        <w:rPr>
          <w:rFonts w:hint="eastAsia" w:ascii="方正仿宋_GBK" w:hAnsi="方正仿宋_GBK" w:eastAsia="方正仿宋_GBK" w:cs="方正仿宋_GBK"/>
          <w:b w:val="0"/>
          <w:i w:val="0"/>
          <w:caps w:val="0"/>
          <w:spacing w:val="0"/>
          <w:w w:val="100"/>
          <w:sz w:val="32"/>
          <w:szCs w:val="32"/>
          <w:lang w:val="en-US" w:eastAsia="zh-CN"/>
        </w:rPr>
        <w:t>举办“不夜渝北生活节”，</w:t>
      </w:r>
      <w:r>
        <w:rPr>
          <w:rFonts w:hint="eastAsia" w:ascii="方正仿宋_GBK" w:eastAsia="方正仿宋_GBK"/>
          <w:sz w:val="32"/>
          <w:szCs w:val="32"/>
        </w:rPr>
        <w:t>打造中央公园“公园之夜”消费品牌</w:t>
      </w:r>
      <w:r>
        <w:rPr>
          <w:rFonts w:hint="eastAsia" w:ascii="方正仿宋_GBK" w:hAnsi="方正仿宋_GBK" w:eastAsia="方正仿宋_GBK" w:cs="方正仿宋_GBK"/>
          <w:b w:val="0"/>
          <w:i w:val="0"/>
          <w:caps w:val="0"/>
          <w:spacing w:val="0"/>
          <w:w w:val="100"/>
          <w:sz w:val="32"/>
          <w:szCs w:val="32"/>
          <w:lang w:eastAsia="zh-CN"/>
        </w:rPr>
        <w:t>。</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i w:val="0"/>
          <w:caps w:val="0"/>
          <w:spacing w:val="0"/>
          <w:w w:val="100"/>
          <w:kern w:val="2"/>
          <w:sz w:val="32"/>
          <w:szCs w:val="32"/>
          <w:lang w:val="en-US" w:eastAsia="zh-CN" w:bidi="ar-SA"/>
        </w:rPr>
      </w:pPr>
      <w:r>
        <w:rPr>
          <w:rFonts w:hint="eastAsia" w:ascii="方正楷体_GBK" w:hAnsi="方正楷体_GBK" w:eastAsia="方正楷体_GBK" w:cs="方正楷体_GBK"/>
          <w:b w:val="0"/>
          <w:i w:val="0"/>
          <w:caps w:val="0"/>
          <w:spacing w:val="0"/>
          <w:w w:val="100"/>
          <w:sz w:val="32"/>
          <w:szCs w:val="32"/>
          <w:lang w:val="en-US" w:eastAsia="zh-CN" w:bidi="ar-SA"/>
        </w:rPr>
        <w:t>（九）促进品牌品质消费。</w:t>
      </w:r>
      <w:r>
        <w:rPr>
          <w:rFonts w:hint="eastAsia" w:ascii="方正仿宋_GBK" w:hAnsi="方正仿宋_GBK" w:eastAsia="方正仿宋_GBK" w:cs="方正仿宋_GBK"/>
          <w:b w:val="0"/>
          <w:i w:val="0"/>
          <w:caps w:val="0"/>
          <w:spacing w:val="0"/>
          <w:w w:val="100"/>
          <w:kern w:val="2"/>
          <w:sz w:val="32"/>
          <w:szCs w:val="32"/>
          <w:lang w:val="en-US" w:eastAsia="zh-CN" w:bidi="ar-SA"/>
        </w:rPr>
        <w:t>推动餐饮服务提质升级，鼓励餐饮企业丰富提升菜品、提高服务水平、创新经营模式。鼓励品牌餐饮企业连锁化、标准化、集约化发展，加快餐饮企业数字化赋能。深入挖掘传统烹饪技艺，加强对渝北传统美食的宣传推广，打造特色品牌，支持打造渝北美食地标、美食品牌，创建一批绿色商场、绿色饭店、钻级酒家，打造舌尖上的文化名片。鼓励符合条件的企业申报“中华老字号”“重庆老字号”，支持老字号传承和创新传统技艺，推出更多富含时尚元素、符合消费者需求的产品和服务，不断提升市场竞争力。组织开展品牌商品产销对接活动，引导特色品牌进街区、进商超、进平台，促进品牌消费。联动行业协会、龙头企业，举办系列美食节活动、老字号推介活动等，营造老字号消费氛围，打造餐饮消费新热点。</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方正仿宋_GBK" w:hAnsi="方正仿宋_GBK" w:eastAsia="方正仿宋_GBK" w:cs="方正仿宋_GBK"/>
          <w:b w:val="0"/>
          <w:i w:val="0"/>
          <w:caps w:val="0"/>
          <w:spacing w:val="0"/>
          <w:w w:val="100"/>
          <w:sz w:val="32"/>
          <w:szCs w:val="32"/>
          <w:lang w:val="en-US" w:eastAsia="zh-CN" w:bidi="ar-SA"/>
        </w:rPr>
      </w:pPr>
      <w:r>
        <w:rPr>
          <w:rFonts w:hint="eastAsia" w:ascii="方正楷体_GBK" w:hAnsi="方正楷体_GBK" w:eastAsia="方正楷体_GBK" w:cs="方正楷体_GBK"/>
          <w:b w:val="0"/>
          <w:i w:val="0"/>
          <w:caps w:val="0"/>
          <w:spacing w:val="0"/>
          <w:w w:val="100"/>
          <w:sz w:val="32"/>
          <w:szCs w:val="32"/>
          <w:lang w:val="en-US" w:eastAsia="zh-CN" w:bidi="ar-SA"/>
        </w:rPr>
        <w:t>（十）健全区域商业体系。</w:t>
      </w:r>
      <w:r>
        <w:rPr>
          <w:rStyle w:val="52"/>
          <w:rFonts w:hint="eastAsia" w:ascii="方正仿宋_GBK" w:hAnsi="方正仿宋_GBK" w:eastAsia="方正仿宋_GBK" w:cs="方正仿宋_GBK"/>
          <w:b w:val="0"/>
          <w:i w:val="0"/>
          <w:caps w:val="0"/>
          <w:color w:val="000000"/>
          <w:spacing w:val="0"/>
          <w:w w:val="100"/>
          <w:kern w:val="2"/>
          <w:sz w:val="32"/>
          <w:szCs w:val="32"/>
          <w:lang w:val="en-US" w:eastAsia="zh-CN" w:bidi="ar-SA"/>
        </w:rPr>
        <w:t>以商圈、大型商业综合体为重点，开展商业体系建设专题调研，出台提质发展指导意见，推动商圈、商场、商业连片打造、差异化发展。</w:t>
      </w:r>
      <w:r>
        <w:rPr>
          <w:rFonts w:hint="eastAsia" w:ascii="方正仿宋_GBK" w:hAnsi="方正仿宋_GBK" w:eastAsia="方正仿宋_GBK" w:cs="方正仿宋_GBK"/>
          <w:b w:val="0"/>
          <w:i w:val="0"/>
          <w:caps w:val="0"/>
          <w:spacing w:val="0"/>
          <w:w w:val="100"/>
          <w:sz w:val="32"/>
          <w:szCs w:val="32"/>
          <w:lang w:val="en-US" w:eastAsia="zh-CN" w:bidi="ar-SA"/>
        </w:rPr>
        <w:t>进一步完善有利于市民消费的“硬设施”“软环境”，健全社区商业配套设施，打造一刻钟便民生活圈，引导品牌连锁商超、旗舰店等到镇村布局开店，支持改造升级镇级商业网点、村级便民商店等，持续推动农贸市场改造升级。完善区镇村三级物流服务体系，加强农产品冷链物流建设，发展共同配送，促进流通降本增效。</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default" w:ascii="方正仿宋_GBK" w:hAnsi="方正仿宋_GBK" w:eastAsia="方正仿宋_GBK" w:cs="方正仿宋_GBK"/>
          <w:b w:val="0"/>
          <w:i w:val="0"/>
          <w:caps w:val="0"/>
          <w:spacing w:val="0"/>
          <w:w w:val="100"/>
          <w:sz w:val="32"/>
          <w:szCs w:val="32"/>
          <w:lang w:val="en-US" w:eastAsia="zh-CN"/>
        </w:rPr>
      </w:pPr>
      <w:r>
        <w:rPr>
          <w:rFonts w:hint="eastAsia" w:ascii="方正楷体_GBK" w:hAnsi="方正楷体_GBK" w:eastAsia="方正楷体_GBK" w:cs="方正楷体_GBK"/>
          <w:b w:val="0"/>
          <w:i w:val="0"/>
          <w:caps w:val="0"/>
          <w:spacing w:val="0"/>
          <w:w w:val="100"/>
          <w:sz w:val="32"/>
          <w:szCs w:val="32"/>
          <w:lang w:val="en-US" w:eastAsia="zh-CN" w:bidi="ar-SA"/>
        </w:rPr>
        <w:t>（十一）加快数字商务发展。</w:t>
      </w:r>
      <w:r>
        <w:rPr>
          <w:rFonts w:hint="eastAsia" w:ascii="方正仿宋_GBK" w:hAnsi="方正仿宋_GBK" w:eastAsia="方正仿宋_GBK" w:cs="方正仿宋_GBK"/>
          <w:b w:val="0"/>
          <w:i w:val="0"/>
          <w:caps w:val="0"/>
          <w:spacing w:val="0"/>
          <w:w w:val="100"/>
          <w:sz w:val="32"/>
          <w:szCs w:val="32"/>
          <w:lang w:val="en-US" w:eastAsia="zh-CN"/>
        </w:rPr>
        <w:t>用好“御临风物”品牌和御临风物馆，加大宣传推介，提高集采能力，引导更多“渝北产”“渝北造”上线入馆。扶持高成长性、区域总部型电商企业发展，积极培育电子商务市场主体，支持载禾农业、乡果聚等本土企业发展，鼓励具有实践经验的电子商务从业者和职业经理人到农村发展电子商务。依托电商直播基地、农村电商企业等，加大电商人才培训，培养一支懂电商业务、会经营网店、能带头致富的农村电商人才队伍。加快实体商业数字化智能化转型，打造智慧商场、智慧超市、智慧商店、智慧餐厅等数字化场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eastAsia="方正仿宋_GBK" w:hAnsiTheme="minorHAnsi" w:cstheme="minorBidi"/>
          <w:kern w:val="2"/>
          <w:sz w:val="32"/>
          <w:szCs w:val="32"/>
          <w:lang w:val="en-US" w:eastAsia="zh-CN" w:bidi="ar-SA"/>
        </w:rPr>
      </w:pPr>
      <w:r>
        <w:rPr>
          <w:rFonts w:hint="eastAsia" w:ascii="方正楷体_GBK" w:hAnsi="方正楷体_GBK" w:eastAsia="方正楷体_GBK" w:cs="方正楷体_GBK"/>
          <w:b w:val="0"/>
          <w:i w:val="0"/>
          <w:caps w:val="0"/>
          <w:spacing w:val="0"/>
          <w:w w:val="100"/>
          <w:sz w:val="32"/>
          <w:szCs w:val="32"/>
          <w:lang w:val="en-US" w:eastAsia="zh-CN" w:bidi="ar-SA"/>
        </w:rPr>
        <w:t>（十二）提质发展会展经济</w:t>
      </w:r>
      <w:r>
        <w:rPr>
          <w:rFonts w:hint="eastAsia" w:ascii="方正楷体_GBK" w:hAnsi="方正楷体_GBK" w:eastAsia="方正楷体_GBK" w:cs="方正楷体_GBK"/>
          <w:b w:val="0"/>
          <w:i w:val="0"/>
          <w:caps w:val="0"/>
          <w:spacing w:val="0"/>
          <w:w w:val="100"/>
          <w:sz w:val="32"/>
          <w:szCs w:val="32"/>
          <w:lang w:eastAsia="zh-CN"/>
        </w:rPr>
        <w:t>。</w:t>
      </w:r>
      <w:r>
        <w:rPr>
          <w:rFonts w:hint="eastAsia" w:ascii="方正仿宋_GBK" w:hAnsi="方正仿宋_GBK" w:eastAsia="方正仿宋_GBK" w:cs="方正仿宋_GBK"/>
          <w:b w:val="0"/>
          <w:i w:val="0"/>
          <w:caps w:val="0"/>
          <w:spacing w:val="0"/>
          <w:w w:val="100"/>
          <w:sz w:val="32"/>
          <w:szCs w:val="32"/>
          <w:lang w:val="en-US" w:eastAsia="zh-CN"/>
        </w:rPr>
        <w:t>做大会展规模，支持悦来国博中心积极举办智博会、西洽会、摩博会等大型展会，争取承办全球性航空展会等世界级、国家级展会，打造具有国际影响力的展会品牌。立足我区产业优势，加强与悦来国博中心联合引展办展，积极承接或举办分会场、室外展等。集聚会展人流，进一步完善空港新城片区会展功能配套设施，培育食宿、购物、商务、休闲、娱乐全产业链，提高消费承接能力，构建泛中央公园商务会展大区。优化会展生态，大力招引国内外优质会展资源，完善会展业各方面要素保障，逐步构建全产业链融合发展的会展产业生态圈。</w:t>
      </w:r>
      <w:r>
        <w:rPr>
          <w:rFonts w:hint="eastAsia" w:ascii="方正仿宋_GBK" w:hAnsi="方正仿宋_GBK" w:eastAsia="方正仿宋_GBK" w:cs="方正仿宋_GBK"/>
          <w:b w:val="0"/>
          <w:i w:val="0"/>
          <w:caps w:val="0"/>
          <w:spacing w:val="0"/>
          <w:w w:val="100"/>
          <w:sz w:val="32"/>
          <w:szCs w:val="32"/>
          <w:lang w:val="en-US" w:eastAsia="zh-CN" w:bidi="ar-SA"/>
        </w:rPr>
        <w:t>2022年</w:t>
      </w:r>
      <w:r>
        <w:rPr>
          <w:rFonts w:hint="eastAsia" w:ascii="方正仿宋_GBK" w:eastAsia="方正仿宋_GBK" w:hAnsiTheme="minorHAnsi" w:cstheme="minorBidi"/>
          <w:kern w:val="2"/>
          <w:sz w:val="32"/>
          <w:szCs w:val="32"/>
          <w:lang w:val="en-US" w:eastAsia="zh-CN" w:bidi="ar-SA"/>
        </w:rPr>
        <w:t>会展直接收入</w:t>
      </w:r>
      <w:r>
        <w:rPr>
          <w:rFonts w:hint="eastAsia" w:ascii="方正仿宋_GBK" w:eastAsia="方正仿宋_GBK" w:cstheme="minorBidi"/>
          <w:kern w:val="2"/>
          <w:sz w:val="32"/>
          <w:szCs w:val="32"/>
          <w:lang w:val="en-US" w:eastAsia="zh-CN" w:bidi="ar-SA"/>
        </w:rPr>
        <w:t>实现</w:t>
      </w:r>
      <w:r>
        <w:rPr>
          <w:rFonts w:hint="eastAsia" w:ascii="方正仿宋_GBK" w:eastAsia="方正仿宋_GBK" w:hAnsiTheme="minorHAnsi" w:cstheme="minorBidi"/>
          <w:kern w:val="2"/>
          <w:sz w:val="32"/>
          <w:szCs w:val="32"/>
          <w:lang w:val="en-US" w:eastAsia="zh-CN" w:bidi="ar-SA"/>
        </w:rPr>
        <w:t>24亿元，拉动消费超过200亿元。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i w:val="0"/>
          <w:caps w:val="0"/>
          <w:spacing w:val="0"/>
          <w:w w:val="100"/>
          <w:kern w:val="2"/>
          <w:sz w:val="32"/>
          <w:szCs w:val="32"/>
          <w:lang w:val="en-US" w:eastAsia="zh-CN" w:bidi="ar-SA"/>
        </w:rPr>
      </w:pPr>
      <w:r>
        <w:rPr>
          <w:rFonts w:hint="eastAsia" w:ascii="方正黑体_GBK" w:hAnsi="方正黑体_GBK" w:eastAsia="方正黑体_GBK" w:cs="方正黑体_GBK"/>
          <w:b w:val="0"/>
          <w:bCs/>
          <w:i w:val="0"/>
          <w:caps w:val="0"/>
          <w:spacing w:val="0"/>
          <w:w w:val="100"/>
          <w:kern w:val="2"/>
          <w:sz w:val="32"/>
          <w:szCs w:val="32"/>
          <w:lang w:val="en-US" w:eastAsia="zh-CN" w:bidi="ar-SA"/>
        </w:rPr>
        <w:t>三、坚持内外融合，促进对外经贸全面发展</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579" w:firstLineChars="181"/>
        <w:jc w:val="both"/>
        <w:textAlignment w:val="baseline"/>
        <w:rPr>
          <w:rFonts w:hint="eastAsia" w:ascii="方正仿宋_GBK" w:hAnsi="方正仿宋_GBK" w:eastAsia="方正仿宋_GBK" w:cs="方正仿宋_GBK"/>
          <w:b w:val="0"/>
          <w:bCs/>
          <w:i w:val="0"/>
          <w:caps w:val="0"/>
          <w:spacing w:val="0"/>
          <w:w w:val="100"/>
          <w:sz w:val="32"/>
          <w:szCs w:val="32"/>
          <w:lang w:val="en-US" w:eastAsia="zh-CN" w:bidi="ar-SA"/>
        </w:rPr>
      </w:pPr>
      <w:r>
        <w:rPr>
          <w:rFonts w:hint="eastAsia" w:ascii="方正楷体_GBK" w:hAnsi="方正楷体_GBK" w:eastAsia="方正楷体_GBK" w:cs="方正楷体_GBK"/>
          <w:b w:val="0"/>
          <w:bCs/>
          <w:i w:val="0"/>
          <w:caps w:val="0"/>
          <w:spacing w:val="0"/>
          <w:w w:val="100"/>
          <w:sz w:val="32"/>
          <w:szCs w:val="32"/>
          <w:lang w:val="en-US" w:eastAsia="zh-CN" w:bidi="ar-SA"/>
        </w:rPr>
        <w:t>（十三）推动外贸稳量提质。</w:t>
      </w:r>
      <w:r>
        <w:rPr>
          <w:rFonts w:hint="eastAsia" w:ascii="方正仿宋_GBK" w:hAnsi="方正仿宋_GBK" w:eastAsia="方正仿宋_GBK" w:cs="方正仿宋_GBK"/>
          <w:b w:val="0"/>
          <w:bCs/>
          <w:i w:val="0"/>
          <w:caps w:val="0"/>
          <w:spacing w:val="0"/>
          <w:w w:val="100"/>
          <w:sz w:val="32"/>
          <w:szCs w:val="32"/>
          <w:lang w:val="en-US" w:eastAsia="zh-CN" w:bidi="ar-SA"/>
        </w:rPr>
        <w:t>做强一般贸易，提升汽车、摩托车、通机等优势产品出口规模，提升“渝北制造”在东盟等“一带一路”沿线国家影响力。培育外贸新业态新模式，支持临空国际贸易示范园、总部贸易基地等发展，招引一批总部贸易、转口贸易等外贸新业态企业入驻。加快发展跨境电商，推动电子信息、智能装备、特色农产品等发展跨境电商出口业务。加大对外贸企业出口信保、开拓国际市场等资金支持力度，支持区内重点外贸企业拓展新兴市场，帮助企业拓订单、保市场、稳原料。做优国家外贸转型升级基地（消费电子类），逐步完善信息、营销、品牌、质量、技术、标准等配套服务链，推动智能终端产业链向价值链高端跃升。支持新加坡保税航材项目尽快落地实施，支持华夏航空飞机维修业务做大做强，形成外贸新的增长点。</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579" w:firstLineChars="181"/>
        <w:jc w:val="both"/>
        <w:textAlignment w:val="baseline"/>
        <w:rPr>
          <w:rFonts w:hint="eastAsia" w:ascii="方正仿宋_GBK" w:hAnsi="方正仿宋_GBK" w:eastAsia="方正仿宋_GBK" w:cs="方正仿宋_GBK"/>
          <w:b w:val="0"/>
          <w:bCs/>
          <w:i w:val="0"/>
          <w:caps w:val="0"/>
          <w:spacing w:val="0"/>
          <w:w w:val="100"/>
          <w:sz w:val="32"/>
          <w:szCs w:val="32"/>
          <w:lang w:val="en-US" w:eastAsia="zh-CN" w:bidi="ar-SA"/>
        </w:rPr>
      </w:pPr>
      <w:r>
        <w:rPr>
          <w:rFonts w:hint="eastAsia" w:ascii="方正楷体_GBK" w:hAnsi="方正楷体_GBK" w:eastAsia="方正楷体_GBK" w:cs="方正楷体_GBK"/>
          <w:b w:val="0"/>
          <w:bCs/>
          <w:i w:val="0"/>
          <w:caps w:val="0"/>
          <w:spacing w:val="0"/>
          <w:w w:val="100"/>
          <w:sz w:val="32"/>
          <w:szCs w:val="32"/>
          <w:lang w:val="en-US" w:eastAsia="zh-CN"/>
        </w:rPr>
        <w:t>（十四）</w:t>
      </w:r>
      <w:r>
        <w:rPr>
          <w:rFonts w:hint="eastAsia" w:ascii="方正楷体_GBK" w:hAnsi="方正楷体_GBK" w:eastAsia="方正楷体_GBK" w:cs="方正楷体_GBK"/>
          <w:b w:val="0"/>
          <w:bCs/>
          <w:i w:val="0"/>
          <w:caps w:val="0"/>
          <w:spacing w:val="0"/>
          <w:w w:val="100"/>
          <w:sz w:val="32"/>
          <w:szCs w:val="32"/>
          <w:lang w:val="en-US" w:eastAsia="zh-CN" w:bidi="ar-SA"/>
        </w:rPr>
        <w:t>促进服务贸易创新发展。</w:t>
      </w:r>
      <w:r>
        <w:rPr>
          <w:rFonts w:hint="eastAsia" w:ascii="方正仿宋_GBK" w:hAnsi="方正仿宋_GBK" w:eastAsia="方正仿宋_GBK" w:cs="方正仿宋_GBK"/>
          <w:b w:val="0"/>
          <w:bCs/>
          <w:i w:val="0"/>
          <w:caps w:val="0"/>
          <w:spacing w:val="0"/>
          <w:w w:val="100"/>
          <w:sz w:val="32"/>
          <w:szCs w:val="32"/>
          <w:lang w:val="en-US" w:eastAsia="zh-CN" w:bidi="ar-SA"/>
        </w:rPr>
        <w:t>全面深化服务贸易创新发展试点，积极推动适用于渝北的68项措施落地见效。立足渝北产业基础，支持发展比较优势和特色服务贸易，稳定拓展传统服务贸易，加大新兴服务贸易培育力度，大力发展“保税+商品展示交易”“保税+维修”等贸易新业态。积极参加服贸会、上交会等平台开展贸易促进，推动全区服务贸易实现正增长。拓展服务外包业务领域，增加高技术含量、高附加值外包业务比重，离岸服务外包执行额达到1.4亿美元以上。</w:t>
      </w:r>
    </w:p>
    <w:p>
      <w:pPr>
        <w:pStyle w:val="11"/>
        <w:keepNext w:val="0"/>
        <w:keepLines w:val="0"/>
        <w:pageBreakBefore w:val="0"/>
        <w:widowControl w:val="0"/>
        <w:kinsoku/>
        <w:wordWrap/>
        <w:overflowPunct/>
        <w:topLinePunct w:val="0"/>
        <w:autoSpaceDE w:val="0"/>
        <w:autoSpaceDN w:val="0"/>
        <w:bidi w:val="0"/>
        <w:adjustRightInd/>
        <w:spacing w:line="560" w:lineRule="exact"/>
        <w:ind w:firstLine="640" w:firstLineChars="200"/>
        <w:rPr>
          <w:rFonts w:hint="default" w:ascii="方正仿宋_GBK" w:hAnsi="方正仿宋_GBK" w:eastAsia="方正仿宋_GBK" w:cs="方正仿宋_GBK"/>
          <w:b w:val="0"/>
          <w:i w:val="0"/>
          <w:caps w:val="0"/>
          <w:color w:val="000000"/>
          <w:spacing w:val="0"/>
          <w:w w:val="100"/>
          <w:kern w:val="2"/>
          <w:sz w:val="32"/>
          <w:szCs w:val="32"/>
          <w:lang w:val="en-US" w:eastAsia="zh-CN" w:bidi="ar-SA"/>
        </w:rPr>
      </w:pPr>
      <w:r>
        <w:rPr>
          <w:rFonts w:hint="eastAsia" w:ascii="方正楷体_GBK" w:hAnsi="方正楷体_GBK" w:eastAsia="方正楷体_GBK" w:cs="方正楷体_GBK"/>
          <w:b w:val="0"/>
          <w:bCs/>
          <w:i w:val="0"/>
          <w:caps w:val="0"/>
          <w:spacing w:val="0"/>
          <w:w w:val="100"/>
          <w:sz w:val="32"/>
          <w:szCs w:val="32"/>
          <w:lang w:val="en-US" w:eastAsia="zh-CN" w:bidi="ar-SA"/>
        </w:rPr>
        <w:t>（十五）加大外资引进力度。</w:t>
      </w: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进一步健全外商投资全流程服务体系，用好“行政服务管家”“外商投资服务中心”，持续</w:t>
      </w:r>
      <w:r>
        <w:rPr>
          <w:rFonts w:hint="eastAsia" w:ascii="方正仿宋_GBK" w:hAnsi="方正仿宋_GBK" w:eastAsia="方正仿宋_GBK" w:cs="方正仿宋_GBK"/>
          <w:color w:val="auto"/>
          <w:kern w:val="2"/>
          <w:sz w:val="32"/>
          <w:szCs w:val="32"/>
          <w:lang w:val="en-US" w:eastAsia="zh-CN" w:bidi="ar-SA"/>
        </w:rPr>
        <w:t>开展“三送一访”活动，创新外商服务方式，优化外商投资环境。</w:t>
      </w:r>
      <w:r>
        <w:rPr>
          <w:rFonts w:hint="eastAsia" w:ascii="方正仿宋_GBK" w:hAnsi="方正仿宋_GBK" w:eastAsia="方正仿宋_GBK" w:cs="方正仿宋_GBK"/>
          <w:b w:val="0"/>
          <w:i w:val="0"/>
          <w:caps w:val="0"/>
          <w:spacing w:val="0"/>
          <w:w w:val="100"/>
          <w:sz w:val="32"/>
          <w:szCs w:val="32"/>
          <w:lang w:val="en-US" w:eastAsia="zh-CN" w:bidi="ar-SA"/>
        </w:rPr>
        <w:t>调整优化</w:t>
      </w:r>
      <w:r>
        <w:rPr>
          <w:rFonts w:hint="eastAsia" w:ascii="方正仿宋_GBK" w:hAnsi="方正仿宋_GBK" w:eastAsia="方正仿宋_GBK" w:cs="方正仿宋_GBK"/>
          <w:color w:val="auto"/>
          <w:kern w:val="2"/>
          <w:sz w:val="32"/>
          <w:szCs w:val="32"/>
          <w:lang w:val="en-US" w:eastAsia="zh-CN" w:bidi="ar-SA"/>
        </w:rPr>
        <w:t>外资招商考核方式，将项目引进数量、实际到位外资、FDI占比等同步考核，强化部门公司联动，形成工作合力。扩大先进制造业、现代服务业等领域利用外资规模，促进在区外资企业增资扩产，努力确保FDI全年正增长。依托西洽会、智博会和进博会等招商平台，加强招商推介和项目招引，打造高质量外资集聚区。</w:t>
      </w:r>
    </w:p>
    <w:p>
      <w:pPr>
        <w:pStyle w:val="6"/>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0"/>
        <w:jc w:val="both"/>
        <w:textAlignment w:val="baseline"/>
        <w:rPr>
          <w:rFonts w:hint="eastAsia" w:ascii="方正黑体_GBK" w:hAnsi="方正黑体_GBK" w:eastAsia="方正黑体_GBK" w:cs="方正黑体_GBK"/>
          <w:b w:val="0"/>
          <w:bCs/>
          <w:i w:val="0"/>
          <w:caps w:val="0"/>
          <w:spacing w:val="0"/>
          <w:w w:val="100"/>
          <w:sz w:val="32"/>
          <w:szCs w:val="32"/>
          <w:lang w:val="en-US" w:eastAsia="zh-CN"/>
        </w:rPr>
      </w:pPr>
      <w:r>
        <w:rPr>
          <w:rFonts w:hint="eastAsia" w:ascii="方正楷体_GBK" w:hAnsi="方正楷体_GBK" w:eastAsia="方正楷体_GBK" w:cs="方正楷体_GBK"/>
          <w:b w:val="0"/>
          <w:bCs/>
          <w:i w:val="0"/>
          <w:caps w:val="0"/>
          <w:spacing w:val="0"/>
          <w:w w:val="100"/>
          <w:sz w:val="32"/>
          <w:szCs w:val="32"/>
          <w:lang w:val="en-US" w:eastAsia="zh-CN" w:bidi="ar-SA"/>
        </w:rPr>
        <w:t>（十六）推进内外贸一体化。</w:t>
      </w:r>
      <w:r>
        <w:rPr>
          <w:rFonts w:hint="eastAsia" w:ascii="方正仿宋_GBK" w:hAnsi="方正仿宋_GBK" w:eastAsia="方正仿宋_GBK" w:cs="方正仿宋_GBK"/>
          <w:b w:val="0"/>
          <w:bCs/>
          <w:i w:val="0"/>
          <w:caps w:val="0"/>
          <w:spacing w:val="0"/>
          <w:w w:val="100"/>
          <w:sz w:val="32"/>
          <w:szCs w:val="32"/>
          <w:lang w:val="en-US" w:eastAsia="zh-CN" w:bidi="ar-SA"/>
        </w:rPr>
        <w:t>鼓励引导连锁超市、便利店、电商平台销售“三同（同线同标同质）”产品，更好满足市场多样化需求。鼓励内外贸资源整合，积极搭建内外贸一体化平台，支持适销对路的出口产品开拓国内市场。引导和支持内贸企业开展国际化经营，推动优势产业品牌企业通过跨境电商、中欧班列（渝新欧）、海外仓、境外展会等渠道开拓国际市场。扶持培育内外融合主体和平台，培育一批贯通国际国内两个市场的内外贸一体化龙头企业。</w:t>
      </w:r>
    </w:p>
    <w:p>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方正黑体_GBK" w:hAnsi="方正黑体_GBK" w:eastAsia="方正黑体_GBK" w:cs="方正黑体_GBK"/>
          <w:b w:val="0"/>
          <w:i w:val="0"/>
          <w:caps w:val="0"/>
          <w:spacing w:val="0"/>
          <w:w w:val="100"/>
          <w:sz w:val="32"/>
          <w:szCs w:val="32"/>
          <w:lang w:val="en-US" w:eastAsia="zh-CN"/>
        </w:rPr>
      </w:pPr>
      <w:r>
        <w:rPr>
          <w:rFonts w:hint="eastAsia" w:ascii="方正黑体_GBK" w:hAnsi="方正黑体_GBK" w:eastAsia="方正黑体_GBK" w:cs="方正黑体_GBK"/>
          <w:b w:val="0"/>
          <w:i w:val="0"/>
          <w:caps w:val="0"/>
          <w:spacing w:val="0"/>
          <w:w w:val="100"/>
          <w:sz w:val="32"/>
          <w:szCs w:val="32"/>
          <w:lang w:val="en-US" w:eastAsia="zh-CN"/>
        </w:rPr>
        <w:t>四、强化行业管理，不断提高商务治理能力</w:t>
      </w:r>
    </w:p>
    <w:p>
      <w:pPr>
        <w:pStyle w:val="13"/>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hAnsi="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i w:val="0"/>
          <w:caps w:val="0"/>
          <w:spacing w:val="0"/>
          <w:w w:val="100"/>
          <w:sz w:val="32"/>
          <w:szCs w:val="32"/>
          <w:lang w:val="en-US" w:eastAsia="zh-CN" w:bidi="ar-SA"/>
        </w:rPr>
        <w:t>（十七）</w:t>
      </w:r>
      <w:r>
        <w:rPr>
          <w:rFonts w:hint="eastAsia" w:ascii="方正楷体_GBK" w:hAnsi="方正楷体_GBK" w:eastAsia="方正楷体_GBK" w:cs="方正楷体_GBK"/>
          <w:color w:val="000000"/>
          <w:kern w:val="2"/>
          <w:sz w:val="32"/>
          <w:szCs w:val="32"/>
          <w:u w:val="none"/>
          <w:lang w:val="en-US" w:eastAsia="zh-CN" w:bidi="ar-SA"/>
        </w:rPr>
        <w:t>慎终如始抓好</w:t>
      </w:r>
      <w:bookmarkStart w:id="1" w:name="_Hlk91584782"/>
      <w:r>
        <w:rPr>
          <w:rFonts w:hint="eastAsia" w:ascii="方正楷体_GBK" w:hAnsi="方正楷体_GBK" w:eastAsia="方正楷体_GBK" w:cs="方正楷体_GBK"/>
          <w:color w:val="000000"/>
          <w:kern w:val="2"/>
          <w:sz w:val="32"/>
          <w:szCs w:val="32"/>
          <w:u w:val="none"/>
          <w:lang w:val="en-US" w:eastAsia="zh-CN" w:bidi="ar-SA"/>
        </w:rPr>
        <w:t>常态化疫情防控</w:t>
      </w:r>
      <w:bookmarkEnd w:id="1"/>
      <w:r>
        <w:rPr>
          <w:rFonts w:hint="eastAsia" w:ascii="方正楷体_GBK" w:hAnsi="方正楷体_GBK" w:eastAsia="方正楷体_GBK" w:cs="方正楷体_GBK"/>
          <w:color w:val="000000"/>
          <w:kern w:val="2"/>
          <w:sz w:val="32"/>
          <w:szCs w:val="32"/>
          <w:u w:val="none"/>
          <w:lang w:val="en-US" w:eastAsia="zh-CN" w:bidi="ar-SA"/>
        </w:rPr>
        <w:t>。</w:t>
      </w:r>
      <w:r>
        <w:rPr>
          <w:rFonts w:hint="eastAsia" w:ascii="方正仿宋_GBK" w:hAnsi="方正仿宋_GBK" w:eastAsia="方正仿宋_GBK" w:cs="方正仿宋_GBK"/>
          <w:color w:val="000000"/>
          <w:sz w:val="32"/>
          <w:szCs w:val="32"/>
          <w:u w:val="none"/>
        </w:rPr>
        <w:t>始终高度重视、高度警惕、高度负责，毫不松懈抓好“外防输入、内防反弹”工作。严格落实“四早”要求，压紧压实“四方”责任，坚持平急结合、协调联动，全面提升常态化疫情防控水平。落地落细商场、超市、农贸市场、宾馆酒店、餐馆、批发市场、加油站、会展等场所常态化防疫措施，健全疫情</w:t>
      </w:r>
      <w:r>
        <w:rPr>
          <w:rFonts w:hint="eastAsia" w:ascii="方正仿宋_GBK" w:hAnsi="方正仿宋_GBK" w:eastAsia="方正仿宋_GBK" w:cs="方正仿宋_GBK"/>
          <w:color w:val="000000"/>
          <w:sz w:val="32"/>
          <w:szCs w:val="32"/>
          <w:u w:val="none"/>
          <w:lang w:val="en-US" w:eastAsia="zh-CN"/>
        </w:rPr>
        <w:t>指导检查机制</w:t>
      </w:r>
      <w:r>
        <w:rPr>
          <w:rFonts w:hint="eastAsia" w:ascii="方正仿宋_GBK" w:hAnsi="方正仿宋_GBK" w:eastAsia="方正仿宋_GBK" w:cs="方正仿宋_GBK"/>
          <w:color w:val="000000"/>
          <w:sz w:val="32"/>
          <w:szCs w:val="32"/>
          <w:u w:val="none"/>
        </w:rPr>
        <w:t>，</w:t>
      </w:r>
      <w:r>
        <w:rPr>
          <w:rFonts w:hint="eastAsia" w:ascii="方正仿宋_GBK" w:hAnsi="方正仿宋_GBK" w:eastAsia="方正仿宋_GBK" w:cs="方正仿宋_GBK"/>
          <w:color w:val="000000"/>
          <w:sz w:val="32"/>
          <w:szCs w:val="32"/>
          <w:u w:val="none"/>
          <w:lang w:val="en-US" w:eastAsia="zh-CN"/>
        </w:rPr>
        <w:t>常态化督促落实</w:t>
      </w:r>
      <w:r>
        <w:rPr>
          <w:rFonts w:hint="eastAsia" w:ascii="方正仿宋_GBK" w:hAnsi="方正仿宋_GBK" w:eastAsia="方正仿宋_GBK" w:cs="方正仿宋_GBK"/>
          <w:color w:val="000000"/>
          <w:sz w:val="32"/>
          <w:szCs w:val="32"/>
          <w:u w:val="none"/>
        </w:rPr>
        <w:t>。</w:t>
      </w:r>
      <w:r>
        <w:rPr>
          <w:rFonts w:hint="eastAsia" w:ascii="方正仿宋_GBK" w:hAnsi="方正仿宋_GBK" w:cs="方正仿宋_GBK"/>
          <w:b w:val="0"/>
          <w:bCs w:val="0"/>
          <w:color w:val="000000"/>
          <w:kern w:val="2"/>
          <w:sz w:val="32"/>
          <w:szCs w:val="32"/>
          <w:lang w:val="en-US" w:eastAsia="zh-CN" w:bidi="ar-SA"/>
        </w:rPr>
        <w:t>强化进口非冷链货物检测和消毒措施，筑牢疫情防控防线。</w:t>
      </w:r>
    </w:p>
    <w:p>
      <w:pPr>
        <w:pStyle w:val="13"/>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hAnsi="方正仿宋_GBK" w:eastAsia="方正仿宋_GBK" w:cs="方正仿宋_GBK"/>
          <w:bCs/>
          <w:color w:val="000000"/>
          <w:kern w:val="2"/>
          <w:sz w:val="32"/>
          <w:szCs w:val="32"/>
          <w:u w:val="none"/>
          <w:shd w:val="clear" w:color="auto" w:fill="FFFFFF"/>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（十八）抓好市场保供稳价。</w:t>
      </w:r>
      <w:r>
        <w:rPr>
          <w:rFonts w:hint="eastAsia" w:ascii="方正仿宋_GBK" w:hAnsi="方正仿宋_GBK" w:eastAsia="方正仿宋_GBK" w:cs="方正仿宋_GBK"/>
          <w:color w:val="000000"/>
          <w:kern w:val="2"/>
          <w:sz w:val="32"/>
          <w:szCs w:val="32"/>
          <w:u w:val="none"/>
          <w:lang w:val="en-US" w:eastAsia="zh-CN" w:bidi="ar-SA"/>
        </w:rPr>
        <w:t>完善应急物资储备、生活必需品保供、市场监测体系，落实重点保供企业，优化生活必需品应急投放网点布局。完成猪肉等重点商品区级储备任务，</w:t>
      </w:r>
      <w:r>
        <w:rPr>
          <w:rFonts w:hint="eastAsia" w:ascii="Times New Roman" w:hAnsi="Times New Roman" w:eastAsia="方正仿宋_GBK" w:cs="Times New Roman"/>
          <w:sz w:val="32"/>
          <w:szCs w:val="22"/>
          <w:lang w:val="en-US" w:eastAsia="zh-CN"/>
        </w:rPr>
        <w:t>完善联保联供机制，强化生活物资保供产业链联动</w:t>
      </w:r>
      <w:r>
        <w:rPr>
          <w:rFonts w:hint="eastAsia" w:ascii="Times New Roman" w:hAnsi="Times New Roman" w:cs="Times New Roman"/>
          <w:sz w:val="32"/>
          <w:szCs w:val="22"/>
          <w:lang w:val="en-US" w:eastAsia="zh-CN"/>
        </w:rPr>
        <w:t>，</w:t>
      </w:r>
      <w:r>
        <w:rPr>
          <w:rFonts w:hint="eastAsia" w:ascii="方正仿宋_GBK" w:hAnsi="方正仿宋_GBK" w:eastAsia="方正仿宋_GBK" w:cs="方正仿宋_GBK"/>
          <w:color w:val="000000"/>
          <w:kern w:val="2"/>
          <w:sz w:val="32"/>
          <w:szCs w:val="32"/>
          <w:u w:val="none"/>
          <w:lang w:val="en-US" w:eastAsia="zh-CN" w:bidi="ar-SA"/>
        </w:rPr>
        <w:t>全力保障重要生活物资供应不断档、不脱销。加强市场监测预警，全面</w:t>
      </w:r>
      <w:r>
        <w:rPr>
          <w:rFonts w:hint="eastAsia" w:ascii="方正仿宋_GBK" w:hAnsi="方正仿宋_GBK" w:eastAsia="方正仿宋_GBK" w:cs="方正仿宋_GBK"/>
          <w:bCs/>
          <w:color w:val="000000"/>
          <w:sz w:val="32"/>
          <w:szCs w:val="32"/>
          <w:u w:val="none"/>
          <w:shd w:val="clear" w:color="auto" w:fill="FFFFFF"/>
        </w:rPr>
        <w:t>掌握市场供求动态，及时发布监测信息，高效应对市场异常波动。</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加大货源组织力度，指导重点保供企业做好物资储备、调节及供应，保障节日</w:t>
      </w:r>
      <w:r>
        <w:rPr>
          <w:rFonts w:hint="eastAsia" w:ascii="方正仿宋_GBK" w:hAnsi="方正仿宋_GBK" w:cs="方正仿宋_GBK"/>
          <w:bCs/>
          <w:color w:val="000000"/>
          <w:kern w:val="2"/>
          <w:sz w:val="32"/>
          <w:szCs w:val="32"/>
          <w:u w:val="none"/>
          <w:shd w:val="clear" w:color="auto" w:fill="FFFFFF"/>
          <w:lang w:val="en-US" w:eastAsia="zh-CN" w:bidi="ar-SA"/>
        </w:rPr>
        <w:t>期间</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物资供应稳定、储备充足。</w:t>
      </w:r>
    </w:p>
    <w:p>
      <w:pPr>
        <w:pStyle w:val="13"/>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方正仿宋_GBK" w:hAnsi="方正仿宋_GBK" w:eastAsia="方正仿宋_GBK" w:cs="方正仿宋_GBK"/>
          <w:b w:val="0"/>
          <w:bCs/>
          <w:i w:val="0"/>
          <w:caps w:val="0"/>
          <w:spacing w:val="0"/>
          <w:w w:val="100"/>
          <w:sz w:val="32"/>
          <w:szCs w:val="32"/>
          <w:lang w:val="en-US" w:eastAsia="zh-CN"/>
        </w:rPr>
      </w:pPr>
      <w:r>
        <w:rPr>
          <w:rFonts w:hint="eastAsia" w:ascii="方正楷体_GBK" w:hAnsi="方正楷体_GBK" w:eastAsia="方正楷体_GBK" w:cs="方正楷体_GBK"/>
          <w:b w:val="0"/>
          <w:i w:val="0"/>
          <w:caps w:val="0"/>
          <w:spacing w:val="0"/>
          <w:w w:val="100"/>
          <w:sz w:val="32"/>
          <w:szCs w:val="32"/>
          <w:lang w:val="en-US" w:eastAsia="zh-CN" w:bidi="ar-SA"/>
        </w:rPr>
        <w:t>（十九）提升行业管理水平。</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加强商务领域安全基础建设，深入开展安全隐患排查整治，严厉打击成品油非法经营违法行为，防控安全生产事故。</w:t>
      </w:r>
      <w:r>
        <w:rPr>
          <w:rFonts w:hint="eastAsia" w:ascii="方正仿宋_GBK" w:hAnsi="方正仿宋_GBK" w:cs="方正仿宋_GBK"/>
          <w:bCs/>
          <w:color w:val="000000"/>
          <w:kern w:val="2"/>
          <w:sz w:val="32"/>
          <w:szCs w:val="32"/>
          <w:u w:val="none"/>
          <w:shd w:val="clear" w:color="auto" w:fill="FFFFFF"/>
          <w:lang w:val="en-US" w:eastAsia="zh-CN" w:bidi="ar-SA"/>
        </w:rPr>
        <w:t>全</w:t>
      </w:r>
      <w:r>
        <w:rPr>
          <w:rFonts w:hint="eastAsia" w:ascii="方正仿宋_GBK" w:hAnsi="方正仿宋_GBK" w:eastAsia="方正仿宋_GBK" w:cs="方正仿宋_GBK"/>
          <w:bCs/>
          <w:color w:val="000000"/>
          <w:kern w:val="2"/>
          <w:sz w:val="32"/>
          <w:szCs w:val="32"/>
          <w:u w:val="none"/>
          <w:shd w:val="clear" w:color="auto" w:fill="FFFFFF"/>
          <w:lang w:val="en-US" w:eastAsia="zh-CN" w:bidi="ar-SA"/>
        </w:rPr>
        <w:t>面落实依法行政，加强商务领域综合行政执法，规范落实“双随机、一公开”工作制度和流程。提升商业预付卡动态管理水平，推进再生资源回收和垃圾分类“两网融合”，规范报废机动车回收拆解。</w:t>
      </w:r>
      <w:r>
        <w:rPr>
          <w:rFonts w:hint="eastAsia" w:ascii="方正仿宋_GBK" w:hAnsi="方正仿宋_GBK" w:eastAsia="方正仿宋_GBK" w:cs="方正仿宋_GBK"/>
          <w:color w:val="000000"/>
          <w:sz w:val="32"/>
          <w:szCs w:val="32"/>
          <w:u w:val="none"/>
        </w:rPr>
        <w:t>加强经济运行调度，</w:t>
      </w:r>
      <w:r>
        <w:rPr>
          <w:rFonts w:hint="eastAsia" w:ascii="方正仿宋_GBK" w:hAnsi="方正仿宋_GBK" w:eastAsia="方正仿宋_GBK" w:cs="方正仿宋_GBK"/>
          <w:color w:val="000000"/>
          <w:sz w:val="32"/>
          <w:szCs w:val="32"/>
          <w:u w:val="none"/>
          <w:lang w:val="en-US" w:eastAsia="zh-CN"/>
        </w:rPr>
        <w:t>健全联系服务企业机制，</w:t>
      </w:r>
      <w:r>
        <w:rPr>
          <w:rFonts w:hint="eastAsia" w:ascii="方正仿宋_GBK" w:hAnsi="方正仿宋_GBK" w:eastAsia="方正仿宋_GBK" w:cs="方正仿宋_GBK"/>
          <w:color w:val="000000"/>
          <w:sz w:val="32"/>
          <w:szCs w:val="32"/>
          <w:u w:val="none"/>
        </w:rPr>
        <w:t>强化分析研判</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b w:val="0"/>
          <w:bCs/>
          <w:i w:val="0"/>
          <w:caps w:val="0"/>
          <w:spacing w:val="0"/>
          <w:w w:val="100"/>
          <w:sz w:val="32"/>
          <w:szCs w:val="32"/>
          <w:lang w:val="en-US" w:eastAsia="zh-CN"/>
        </w:rPr>
        <w:t>保持商贸企业发展活力。抓好商贸企业上限入统，分类支持引导“个转企”“微升小”“小升规”。</w:t>
      </w:r>
    </w:p>
    <w:p>
      <w:pPr>
        <w:pStyle w:val="13"/>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方正楷体_GBK" w:hAnsi="方正楷体_GBK" w:eastAsia="方正黑体_GBK" w:cs="方正楷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五、扛起政治责任，加强党对商务工作的全面领导</w:t>
      </w:r>
    </w:p>
    <w:p>
      <w:pPr>
        <w:keepNext w:val="0"/>
        <w:keepLines w:val="0"/>
        <w:pageBreakBefore w:val="0"/>
        <w:widowControl w:val="0"/>
        <w:kinsoku/>
        <w:wordWrap/>
        <w:overflowPunct/>
        <w:topLinePunct w:val="0"/>
        <w:bidi w:val="0"/>
        <w:adjustRightInd/>
        <w:spacing w:line="560" w:lineRule="exact"/>
        <w:ind w:firstLine="640" w:firstLineChars="200"/>
        <w:rPr>
          <w:rFonts w:hint="eastAsia" w:ascii="方正仿宋_GBK" w:hAnsi="方正仿宋_GBK" w:eastAsia="方正仿宋_GBK" w:cs="方正仿宋_GBK"/>
          <w:color w:val="000000"/>
          <w:sz w:val="32"/>
          <w:szCs w:val="32"/>
          <w:u w:val="none"/>
        </w:rPr>
      </w:pPr>
      <w:r>
        <w:rPr>
          <w:rFonts w:hint="eastAsia" w:ascii="方正楷体_GBK" w:hAnsi="方正楷体_GBK" w:eastAsia="方正楷体_GBK" w:cs="方正楷体_GBK"/>
          <w:color w:val="000000"/>
          <w:kern w:val="2"/>
          <w:sz w:val="32"/>
          <w:szCs w:val="32"/>
          <w:lang w:val="en-US" w:eastAsia="zh-CN" w:bidi="ar-SA"/>
        </w:rPr>
        <w:t>（二十）加强政治能力建设。</w:t>
      </w:r>
      <w:r>
        <w:rPr>
          <w:rFonts w:hint="eastAsia" w:ascii="方正仿宋_GBK" w:hAnsi="方正仿宋_GBK" w:eastAsia="方正仿宋_GBK" w:cs="方正仿宋_GBK"/>
          <w:color w:val="000000"/>
          <w:sz w:val="32"/>
          <w:szCs w:val="32"/>
          <w:u w:val="none"/>
        </w:rPr>
        <w:t>深学笃用习近平新时代中国特色社会主义思想，深刻认识“两个确立”的决定性意义，增强“四个意识”、坚定“四个自信”、做到“两个维护”，牢记“国之大者”，不断提高政治判断力、政治领悟力、政治执行力，涵养对党忠诚的政治品格，严守政治纪律和政治规矩，持续营造良好政治生态。</w:t>
      </w:r>
      <w:r>
        <w:rPr>
          <w:rFonts w:hint="eastAsia" w:ascii="方正仿宋_GBK" w:hAnsi="方正仿宋_GBK" w:eastAsia="方正仿宋_GBK" w:cs="方正仿宋_GBK"/>
          <w:color w:val="000000"/>
          <w:sz w:val="32"/>
          <w:szCs w:val="32"/>
          <w:u w:val="none"/>
          <w:lang w:val="en-US" w:eastAsia="zh-CN"/>
        </w:rPr>
        <w:t>持续深入肃清孙政才恶劣影响和薄熙来、王立军流毒，全面彻底干净肃清邓恢林流毒影响。</w:t>
      </w:r>
      <w:r>
        <w:rPr>
          <w:rFonts w:hint="eastAsia" w:ascii="方正仿宋_GBK" w:hAnsi="方正仿宋_GBK" w:eastAsia="方正仿宋_GBK" w:cs="方正仿宋_GBK"/>
          <w:color w:val="000000"/>
          <w:sz w:val="32"/>
          <w:szCs w:val="32"/>
          <w:u w:val="none"/>
        </w:rPr>
        <w:t>大力弘扬伟大建党精神，持续巩固党史学习教育成果，</w:t>
      </w:r>
      <w:r>
        <w:rPr>
          <w:rFonts w:hint="eastAsia" w:ascii="方正仿宋_GBK" w:hAnsi="方正仿宋_GBK" w:eastAsia="方正仿宋_GBK" w:cs="方正仿宋_GBK"/>
          <w:sz w:val="32"/>
          <w:szCs w:val="32"/>
          <w:u w:val="none"/>
        </w:rPr>
        <w:t>把握和运用党的百年奋斗历史经验</w:t>
      </w:r>
      <w:r>
        <w:rPr>
          <w:rFonts w:hint="eastAsia" w:ascii="方正仿宋_GBK" w:hAnsi="方正仿宋_GBK" w:eastAsia="方正仿宋_GBK" w:cs="方正仿宋_GBK"/>
          <w:color w:val="000000"/>
          <w:sz w:val="32"/>
          <w:szCs w:val="32"/>
          <w:u w:val="none"/>
        </w:rPr>
        <w:t>。强化基层党组织建设和党员教育管理，充分发挥基层党组织战斗堡垒作用和党员先锋模范作用。</w:t>
      </w:r>
    </w:p>
    <w:p>
      <w:pPr>
        <w:pStyle w:val="13"/>
        <w:keepNext w:val="0"/>
        <w:keepLines w:val="0"/>
        <w:pageBreakBefore w:val="0"/>
        <w:widowControl w:val="0"/>
        <w:kinsoku/>
        <w:wordWrap/>
        <w:overflowPunct/>
        <w:topLinePunct w:val="0"/>
        <w:bidi w:val="0"/>
        <w:adjustRightInd/>
        <w:spacing w:line="560" w:lineRule="exact"/>
        <w:ind w:firstLine="640"/>
        <w:textAlignment w:val="auto"/>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color w:val="000000"/>
          <w:sz w:val="32"/>
          <w:szCs w:val="32"/>
          <w:u w:val="none"/>
        </w:rPr>
        <w:t>（</w:t>
      </w:r>
      <w:r>
        <w:rPr>
          <w:rFonts w:hint="eastAsia" w:ascii="方正楷体_GBK" w:hAnsi="方正楷体_GBK" w:eastAsia="方正楷体_GBK" w:cs="方正楷体_GBK"/>
          <w:color w:val="000000"/>
          <w:sz w:val="32"/>
          <w:szCs w:val="32"/>
          <w:u w:val="none"/>
          <w:lang w:val="en-US" w:eastAsia="zh-CN"/>
        </w:rPr>
        <w:t>二十一</w:t>
      </w:r>
      <w:r>
        <w:rPr>
          <w:rFonts w:hint="eastAsia" w:ascii="方正楷体_GBK" w:hAnsi="方正楷体_GBK" w:eastAsia="方正楷体_GBK" w:cs="方正楷体_GBK"/>
          <w:color w:val="000000"/>
          <w:sz w:val="32"/>
          <w:szCs w:val="32"/>
          <w:u w:val="none"/>
        </w:rPr>
        <w:t>）</w:t>
      </w:r>
      <w:r>
        <w:rPr>
          <w:rFonts w:hint="eastAsia" w:ascii="方正楷体_GBK" w:hAnsi="方正楷体_GBK" w:eastAsia="方正楷体_GBK" w:cs="方正楷体_GBK"/>
          <w:color w:val="000000"/>
          <w:sz w:val="32"/>
          <w:szCs w:val="32"/>
          <w:u w:val="none"/>
          <w:lang w:val="en-US" w:eastAsia="zh-CN"/>
        </w:rPr>
        <w:t>强化全面从严治党主体责任</w:t>
      </w:r>
      <w:r>
        <w:rPr>
          <w:rFonts w:hint="eastAsia" w:ascii="方正楷体_GBK" w:hAnsi="方正楷体_GBK" w:eastAsia="方正楷体_GBK" w:cs="方正楷体_GBK"/>
          <w:color w:val="000000"/>
          <w:sz w:val="32"/>
          <w:szCs w:val="32"/>
          <w:u w:val="none"/>
        </w:rPr>
        <w:t>。</w:t>
      </w:r>
      <w:r>
        <w:rPr>
          <w:rFonts w:hint="eastAsia" w:ascii="方正仿宋_GBK" w:hAnsi="方正仿宋_GBK" w:eastAsia="方正仿宋_GBK" w:cs="方正仿宋_GBK"/>
          <w:color w:val="000000"/>
          <w:sz w:val="32"/>
          <w:szCs w:val="32"/>
          <w:u w:val="none"/>
        </w:rPr>
        <w:t>严格落实中央八项规定及其实施细则精神，持续纠治形式主义、官僚主义。</w:t>
      </w:r>
      <w:r>
        <w:rPr>
          <w:rFonts w:hint="eastAsia" w:ascii="Times New Roman" w:hAnsi="Times New Roman" w:eastAsia="方正仿宋_GBK" w:cs="Times New Roman"/>
          <w:sz w:val="32"/>
          <w:szCs w:val="20"/>
          <w:lang w:val="en-US" w:eastAsia="zh-CN"/>
        </w:rPr>
        <w:t>深入推进“以案四说”“以案四改”，加强廉政风险排查整治，让党员干部知敬畏、存戒惧、守底线</w:t>
      </w:r>
      <w:r>
        <w:rPr>
          <w:rFonts w:hint="default" w:ascii="Times New Roman" w:hAnsi="Times New Roman" w:eastAsia="方正仿宋_GBK" w:cs="Times New Roman"/>
          <w:sz w:val="32"/>
          <w:szCs w:val="20"/>
          <w:lang w:val="en-US" w:eastAsia="zh-CN"/>
        </w:rPr>
        <w:t>。</w:t>
      </w:r>
      <w:r>
        <w:rPr>
          <w:rFonts w:hint="eastAsia" w:ascii="方正仿宋_GBK" w:hAnsi="方正仿宋_GBK" w:eastAsia="方正仿宋_GBK" w:cs="方正仿宋_GBK"/>
          <w:color w:val="000000"/>
          <w:sz w:val="32"/>
          <w:szCs w:val="32"/>
          <w:u w:val="none"/>
        </w:rPr>
        <w:t>加强商务</w:t>
      </w:r>
      <w:r>
        <w:rPr>
          <w:rFonts w:hint="eastAsia" w:ascii="方正仿宋_GBK" w:hAnsi="方正仿宋_GBK" w:eastAsia="方正仿宋_GBK" w:cs="方正仿宋_GBK"/>
          <w:color w:val="000000"/>
          <w:sz w:val="32"/>
          <w:szCs w:val="32"/>
          <w:u w:val="none"/>
          <w:lang w:val="en-US" w:eastAsia="zh-CN"/>
        </w:rPr>
        <w:t>领域</w:t>
      </w:r>
      <w:r>
        <w:rPr>
          <w:rFonts w:hint="eastAsia" w:ascii="方正仿宋_GBK" w:hAnsi="方正仿宋_GBK" w:eastAsia="方正仿宋_GBK" w:cs="方正仿宋_GBK"/>
          <w:color w:val="000000"/>
          <w:sz w:val="32"/>
          <w:szCs w:val="32"/>
          <w:u w:val="none"/>
        </w:rPr>
        <w:t>意识形态阵地建设管理，落实意识形态责任制，健全分析研判、应急处置机制。提升意识形态领域风险防范意识和化解能力，加强舆情监测研判和导控。充分运用媒体融合宣传，讲好商务故事，传播商务好声音，不断提高新闻宣传和舆论引导效果。</w:t>
      </w:r>
      <w:r>
        <w:rPr>
          <w:rFonts w:hint="eastAsia" w:ascii="方正仿宋_GBK" w:hAnsi="方正仿宋_GBK" w:eastAsia="方正仿宋_GBK" w:cs="方正仿宋_GBK"/>
          <w:color w:val="000000"/>
          <w:sz w:val="32"/>
          <w:szCs w:val="32"/>
          <w:u w:val="none"/>
          <w:lang w:val="en-US" w:eastAsia="zh-CN"/>
        </w:rPr>
        <w:t>加强干部队伍建设，</w:t>
      </w:r>
      <w:r>
        <w:rPr>
          <w:rFonts w:hint="default" w:ascii="Times New Roman" w:hAnsi="Times New Roman" w:eastAsia="方正仿宋_GBK" w:cs="Times New Roman"/>
          <w:sz w:val="32"/>
          <w:szCs w:val="20"/>
          <w:lang w:val="en-US" w:eastAsia="zh-CN"/>
        </w:rPr>
        <w:t>坚持严管厚爱，加强正向激励，</w:t>
      </w:r>
      <w:r>
        <w:rPr>
          <w:rFonts w:hint="eastAsia" w:ascii="Times New Roman" w:hAnsi="Times New Roman" w:eastAsia="方正仿宋_GBK" w:cs="Times New Roman"/>
          <w:sz w:val="32"/>
          <w:szCs w:val="20"/>
          <w:lang w:val="en-US" w:eastAsia="zh-CN"/>
        </w:rPr>
        <w:t>打造忠诚干净担当的高素质干部队伍。健全完善商务</w:t>
      </w:r>
      <w:r>
        <w:rPr>
          <w:rFonts w:hint="eastAsia" w:ascii="Times New Roman" w:hAnsi="Times New Roman" w:cs="Times New Roman"/>
          <w:sz w:val="32"/>
          <w:szCs w:val="20"/>
          <w:lang w:val="en-US" w:eastAsia="zh-CN"/>
        </w:rPr>
        <w:t>产业</w:t>
      </w:r>
      <w:r>
        <w:rPr>
          <w:rFonts w:hint="eastAsia" w:ascii="Times New Roman" w:hAnsi="Times New Roman" w:eastAsia="方正仿宋_GBK" w:cs="Times New Roman"/>
          <w:sz w:val="32"/>
          <w:szCs w:val="20"/>
          <w:lang w:val="en-US" w:eastAsia="zh-CN"/>
        </w:rPr>
        <w:t>发展</w:t>
      </w:r>
      <w:r>
        <w:rPr>
          <w:rFonts w:hint="eastAsia" w:ascii="Times New Roman" w:hAnsi="Times New Roman" w:cs="Times New Roman"/>
          <w:sz w:val="32"/>
          <w:szCs w:val="20"/>
          <w:lang w:val="en-US" w:eastAsia="zh-CN"/>
        </w:rPr>
        <w:t>资金</w:t>
      </w:r>
      <w:r>
        <w:rPr>
          <w:rFonts w:hint="eastAsia" w:ascii="Times New Roman" w:hAnsi="Times New Roman" w:eastAsia="方正仿宋_GBK" w:cs="Times New Roman"/>
          <w:sz w:val="32"/>
          <w:szCs w:val="20"/>
          <w:lang w:val="en-US" w:eastAsia="zh-CN"/>
        </w:rPr>
        <w:t>项目</w:t>
      </w:r>
      <w:r>
        <w:rPr>
          <w:rFonts w:hint="eastAsia" w:ascii="Times New Roman" w:hAnsi="Times New Roman" w:cs="Times New Roman"/>
          <w:sz w:val="32"/>
          <w:szCs w:val="20"/>
          <w:lang w:val="en-US" w:eastAsia="zh-CN"/>
        </w:rPr>
        <w:t>兑付、验收等流程</w:t>
      </w:r>
      <w:r>
        <w:rPr>
          <w:rFonts w:hint="eastAsia" w:ascii="Times New Roman" w:hAnsi="Times New Roman" w:eastAsia="方正仿宋_GBK" w:cs="Times New Roman"/>
          <w:sz w:val="32"/>
          <w:szCs w:val="20"/>
          <w:lang w:val="en-US" w:eastAsia="zh-CN"/>
        </w:rPr>
        <w:t>，严格程序、堵塞漏洞。</w:t>
      </w:r>
    </w:p>
    <w:p>
      <w:pPr>
        <w:pStyle w:val="13"/>
        <w:keepNext w:val="0"/>
        <w:keepLines w:val="0"/>
        <w:pageBreakBefore w:val="0"/>
        <w:widowControl w:val="0"/>
        <w:kinsoku/>
        <w:wordWrap/>
        <w:overflowPunct/>
        <w:topLinePunct w:val="0"/>
        <w:bidi w:val="0"/>
        <w:adjustRightInd/>
        <w:spacing w:line="560" w:lineRule="exact"/>
        <w:ind w:firstLine="640"/>
        <w:textAlignment w:val="auto"/>
        <w:rPr>
          <w:rFonts w:hint="eastAsia" w:ascii="Times New Roman" w:hAnsi="Times New Roman" w:cs="Times New Roman"/>
          <w:sz w:val="32"/>
          <w:szCs w:val="20"/>
          <w:lang w:val="en-US" w:eastAsia="zh-CN"/>
        </w:rPr>
      </w:pPr>
      <w:r>
        <w:rPr>
          <w:rFonts w:hint="eastAsia" w:ascii="方正楷体_GBK" w:hAnsi="方正楷体_GBK" w:eastAsia="方正楷体_GBK" w:cs="方正楷体_GBK"/>
          <w:sz w:val="32"/>
          <w:szCs w:val="20"/>
          <w:lang w:val="en-US" w:eastAsia="zh-CN"/>
        </w:rPr>
        <w:t>（二十二）优化商务领域营商环境。</w:t>
      </w:r>
      <w:r>
        <w:rPr>
          <w:rFonts w:hint="eastAsia" w:ascii="Times New Roman" w:hAnsi="Times New Roman" w:eastAsia="方正仿宋_GBK" w:cs="Times New Roman"/>
          <w:sz w:val="32"/>
          <w:szCs w:val="20"/>
          <w:lang w:val="en-US" w:eastAsia="zh-CN"/>
        </w:rPr>
        <w:t>贯彻落实习近平总书记关于优化营商环境的系列重要论述和党中央关于优化营商环境重大决策部署</w:t>
      </w:r>
      <w:r>
        <w:rPr>
          <w:rFonts w:hint="eastAsia" w:ascii="Times New Roman" w:hAnsi="Times New Roman" w:cs="Times New Roman"/>
          <w:sz w:val="32"/>
          <w:szCs w:val="20"/>
          <w:lang w:val="en-US" w:eastAsia="zh-CN"/>
        </w:rPr>
        <w:t>，推动各项要求及措施在商务领域落地落实。调整优化商贸流通产业发展政策措施，加大宣传力度，助推商贸企业发展。深化政务服务改革，落实“放管服”改革举措，优化审批备案流程，精简办事程序。拓展服务企业发展措施，帮助企业解决实际困难。持续在优化办事流程、精简办事程序等重点环节上自查自纠，推动改进干部作风、提升服务水平，切实扫清影响“亲”“清”政商关系的障碍，推动形成良好的营商环境。</w:t>
      </w:r>
    </w:p>
    <w:p>
      <w:pPr>
        <w:keepNext w:val="0"/>
        <w:keepLines w:val="0"/>
        <w:pageBreakBefore w:val="0"/>
        <w:widowControl w:val="0"/>
        <w:kinsoku/>
        <w:wordWrap/>
        <w:overflowPunct/>
        <w:topLinePunct w:val="0"/>
        <w:bidi w:val="0"/>
        <w:adjustRightInd/>
        <w:spacing w:line="560" w:lineRule="exact"/>
        <w:rPr>
          <w:rFonts w:hint="eastAsia" w:ascii="方正楷体_GBK" w:hAnsi="方正楷体_GBK" w:eastAsia="方正楷体_GBK" w:cs="方正楷体_GBK"/>
          <w:color w:val="000000"/>
          <w:kern w:val="2"/>
          <w:sz w:val="32"/>
          <w:szCs w:val="32"/>
          <w:lang w:val="en-US" w:eastAsia="zh-CN" w:bidi="ar-SA"/>
        </w:rPr>
      </w:pPr>
    </w:p>
    <w:p>
      <w:pPr>
        <w:pStyle w:val="2"/>
        <w:pageBreakBefore w:val="0"/>
        <w:widowControl w:val="0"/>
        <w:kinsoku/>
        <w:wordWrap/>
        <w:overflowPunct/>
        <w:topLinePunct w:val="0"/>
        <w:bidi w:val="0"/>
        <w:adjustRightInd/>
        <w:spacing w:line="560" w:lineRule="exact"/>
        <w:rPr>
          <w:rFonts w:hint="default"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 xml:space="preserve">   </w:t>
      </w:r>
      <w:r>
        <w:rPr>
          <w:rFonts w:hint="eastAsia" w:ascii="Times New Roman" w:hAnsi="Times New Roman" w:eastAsia="方正仿宋_GBK" w:cs="Times New Roman"/>
          <w:b w:val="0"/>
          <w:bCs w:val="0"/>
          <w:color w:val="000000"/>
          <w:kern w:val="2"/>
          <w:sz w:val="32"/>
          <w:szCs w:val="20"/>
          <w:lang w:val="en-US" w:eastAsia="zh-CN" w:bidi="ar-SA"/>
        </w:rPr>
        <w:t xml:space="preserve"> 附件：2022年商务经济有关目标指导意见表</w:t>
      </w:r>
    </w:p>
    <w:p>
      <w:pPr>
        <w:rPr>
          <w:rFonts w:hint="eastAsia" w:ascii="方正楷体_GBK" w:hAnsi="方正楷体_GBK" w:eastAsia="方正楷体_GBK" w:cs="方正楷体_GBK"/>
          <w:color w:val="000000"/>
          <w:kern w:val="2"/>
          <w:sz w:val="32"/>
          <w:szCs w:val="32"/>
          <w:lang w:val="en-US" w:eastAsia="zh-CN" w:bidi="ar-SA"/>
        </w:rPr>
      </w:pPr>
    </w:p>
    <w:p>
      <w:pPr>
        <w:rPr>
          <w:rFonts w:hint="eastAsia" w:ascii="方正楷体_GBK" w:hAnsi="方正楷体_GBK" w:eastAsia="方正楷体_GBK" w:cs="方正楷体_GBK"/>
          <w:color w:val="000000"/>
          <w:kern w:val="2"/>
          <w:sz w:val="32"/>
          <w:szCs w:val="32"/>
          <w:lang w:val="en-US" w:eastAsia="zh-CN" w:bidi="ar-SA"/>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p>
    <w:p>
      <w:pPr>
        <w:spacing w:line="54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spacing w:line="540" w:lineRule="exact"/>
        <w:jc w:val="center"/>
        <w:rPr>
          <w:rFonts w:hint="eastAsia" w:ascii="方正小标宋_GBK" w:hAnsi="方正小标宋_GBK" w:eastAsia="方正小标宋_GBK"/>
          <w:sz w:val="32"/>
          <w:szCs w:val="32"/>
        </w:rPr>
      </w:pPr>
      <w:r>
        <w:rPr>
          <w:rFonts w:hint="eastAsia" w:ascii="方正小标宋_GBK" w:hAnsi="方正小标宋_GBK" w:eastAsia="方正小标宋_GBK"/>
          <w:sz w:val="44"/>
          <w:szCs w:val="44"/>
        </w:rPr>
        <w:t>20</w:t>
      </w:r>
      <w:r>
        <w:rPr>
          <w:rFonts w:hint="eastAsia" w:ascii="方正小标宋_GBK" w:hAnsi="方正小标宋_GBK" w:eastAsia="方正小标宋_GBK"/>
          <w:sz w:val="44"/>
          <w:szCs w:val="44"/>
          <w:lang w:val="en-US" w:eastAsia="zh-CN"/>
        </w:rPr>
        <w:t>22</w:t>
      </w:r>
      <w:r>
        <w:rPr>
          <w:rFonts w:hint="eastAsia" w:ascii="方正小标宋_GBK" w:hAnsi="方正小标宋_GBK" w:eastAsia="方正小标宋_GBK"/>
          <w:sz w:val="44"/>
          <w:szCs w:val="44"/>
        </w:rPr>
        <w:t>年商务经济有关目标指导意见表</w:t>
      </w:r>
      <w:r>
        <w:rPr>
          <w:rFonts w:hint="eastAsia" w:ascii="方正小标宋_GBK" w:hAnsi="方正小标宋_GBK" w:eastAsia="方正小标宋_GBK"/>
          <w:sz w:val="32"/>
          <w:szCs w:val="32"/>
        </w:rPr>
        <w:t xml:space="preserve"> </w:t>
      </w:r>
    </w:p>
    <w:tbl>
      <w:tblPr>
        <w:tblStyle w:val="16"/>
        <w:tblW w:w="9092" w:type="dxa"/>
        <w:jc w:val="center"/>
        <w:tblInd w:w="-1416" w:type="dxa"/>
        <w:tblLayout w:type="fixed"/>
        <w:tblCellMar>
          <w:top w:w="0" w:type="dxa"/>
          <w:left w:w="108" w:type="dxa"/>
          <w:bottom w:w="0" w:type="dxa"/>
          <w:right w:w="108" w:type="dxa"/>
        </w:tblCellMar>
      </w:tblPr>
      <w:tblGrid>
        <w:gridCol w:w="837"/>
        <w:gridCol w:w="2755"/>
        <w:gridCol w:w="2648"/>
        <w:gridCol w:w="2852"/>
      </w:tblGrid>
      <w:tr>
        <w:tblPrEx>
          <w:tblLayout w:type="fixed"/>
          <w:tblCellMar>
            <w:top w:w="0" w:type="dxa"/>
            <w:left w:w="108" w:type="dxa"/>
            <w:bottom w:w="0" w:type="dxa"/>
            <w:right w:w="108" w:type="dxa"/>
          </w:tblCellMar>
        </w:tblPrEx>
        <w:trPr>
          <w:trHeight w:val="512" w:hRule="atLeas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序号</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责任单位</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lang w:val="en-US" w:eastAsia="zh-CN"/>
              </w:rPr>
              <w:t>限上</w:t>
            </w:r>
            <w:r>
              <w:rPr>
                <w:rFonts w:hint="eastAsia" w:ascii="方正黑体_GBK" w:hAnsi="方正黑体_GBK" w:eastAsia="方正黑体_GBK" w:cs="方正黑体_GBK"/>
                <w:color w:val="000000"/>
                <w:szCs w:val="21"/>
              </w:rPr>
              <w:t>社零总额增长</w:t>
            </w:r>
            <w:r>
              <w:rPr>
                <w:rFonts w:hint="eastAsia" w:ascii="方正黑体_GBK" w:hAnsi="方正黑体_GBK" w:eastAsia="方正黑体_GBK" w:cs="方正黑体_GBK"/>
                <w:color w:val="000000"/>
                <w:szCs w:val="21"/>
                <w:lang w:val="en-US" w:eastAsia="zh-CN"/>
              </w:rPr>
              <w:t>率（含批零住餐）</w:t>
            </w:r>
            <w:r>
              <w:rPr>
                <w:rFonts w:hint="eastAsia" w:ascii="方正黑体_GBK" w:hAnsi="方正黑体_GBK" w:eastAsia="方正黑体_GBK" w:cs="方正黑体_GBK"/>
                <w:color w:val="000000"/>
                <w:szCs w:val="21"/>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实际利用外资（万美元）</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1</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龙溪街道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color w:val="000000"/>
                <w:sz w:val="24"/>
                <w:lang w:val="en-US"/>
              </w:rPr>
            </w:pPr>
            <w:r>
              <w:rPr>
                <w:rFonts w:hint="eastAsia" w:ascii="方正仿宋_GBK" w:hAnsi="方正仿宋_GBK"/>
                <w:color w:val="000000"/>
                <w:sz w:val="24"/>
                <w:lang w:val="en-US" w:eastAsia="zh-CN"/>
              </w:rPr>
              <w:t>15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2</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龙山街道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17</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3</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龙塔街道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16</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4</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两路街道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5</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双龙湖街道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16</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6</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双凤桥街道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7</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回兴街道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16</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8</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宝圣湖街道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16</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9</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仙桃街道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16</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ascii="方正仿宋_GBK" w:hAnsi="方正仿宋_GBK"/>
                <w:color w:val="000000"/>
                <w:sz w:val="18"/>
                <w:szCs w:val="18"/>
              </w:rPr>
              <w:t>10</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悦来街道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25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11</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王家街道</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20</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12</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eastAsia" w:ascii="方正仿宋_GBK" w:hAnsi="方正仿宋_GBK"/>
                <w:color w:val="000000"/>
                <w:sz w:val="18"/>
                <w:szCs w:val="18"/>
              </w:rPr>
            </w:pPr>
            <w:r>
              <w:rPr>
                <w:rFonts w:hint="eastAsia" w:ascii="方正仿宋_GBK" w:hAnsi="方正仿宋_GBK"/>
                <w:color w:val="000000"/>
                <w:sz w:val="18"/>
                <w:szCs w:val="18"/>
              </w:rPr>
              <w:t>龙兴镇</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仿宋_GBK" w:hAnsi="方正仿宋_GBK"/>
                <w:color w:val="000000"/>
                <w:sz w:val="24"/>
              </w:rPr>
            </w:pPr>
            <w:r>
              <w:rPr>
                <w:rFonts w:hint="eastAsia" w:ascii="方正仿宋_GBK" w:hAnsi="方正仿宋_GBK"/>
                <w:color w:val="000000"/>
                <w:sz w:val="24"/>
                <w:lang w:val="en-US" w:eastAsia="zh-CN"/>
              </w:rPr>
              <w:t>25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13</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木耳镇</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25</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14</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玉峰山镇</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24"/>
                <w:lang w:val="en-US" w:eastAsia="zh-CN"/>
              </w:rPr>
            </w:pPr>
            <w:r>
              <w:rPr>
                <w:rFonts w:hint="eastAsia" w:ascii="方正仿宋_GBK" w:hAnsi="方正仿宋_GBK"/>
                <w:color w:val="000000"/>
                <w:sz w:val="24"/>
                <w:lang w:val="en-US" w:eastAsia="zh-CN"/>
              </w:rPr>
              <w:t>20</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仿宋_GBK" w:hAnsi="方正仿宋_GBK"/>
                <w:color w:val="000000"/>
                <w:sz w:val="24"/>
              </w:rPr>
            </w:pPr>
            <w:r>
              <w:rPr>
                <w:rFonts w:ascii="方正仿宋_GBK" w:hAnsi="方正仿宋_GBK"/>
                <w:color w:val="000000"/>
                <w:sz w:val="24"/>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15</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区发</w:t>
            </w:r>
            <w:r>
              <w:rPr>
                <w:rFonts w:hint="eastAsia" w:ascii="方正仿宋_GBK" w:hAnsi="方正仿宋_GBK"/>
                <w:color w:val="000000"/>
                <w:sz w:val="18"/>
                <w:szCs w:val="18"/>
                <w:lang w:val="en-US" w:eastAsia="zh-CN"/>
              </w:rPr>
              <w:t>展改革</w:t>
            </w:r>
            <w:r>
              <w:rPr>
                <w:rFonts w:ascii="方正仿宋_GBK" w:hAnsi="方正仿宋_GBK"/>
                <w:color w:val="000000"/>
                <w:sz w:val="18"/>
                <w:szCs w:val="18"/>
              </w:rPr>
              <w:t>委</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方正仿宋_GBK" w:hAnsi="方正仿宋_GBK" w:eastAsiaTheme="minorEastAsia"/>
                <w:color w:val="000000"/>
                <w:sz w:val="24"/>
                <w:lang w:eastAsia="zh-CN"/>
              </w:rPr>
            </w:pPr>
            <w:r>
              <w:rPr>
                <w:rFonts w:hint="eastAsia" w:ascii="方正仿宋_GBK" w:hAnsi="方正仿宋_GBK"/>
                <w:color w:val="000000"/>
                <w:sz w:val="24"/>
              </w:rPr>
              <w:t>1000</w:t>
            </w:r>
            <w:r>
              <w:rPr>
                <w:rFonts w:hint="eastAsia" w:ascii="方正仿宋_GBK" w:hAnsi="方正仿宋_GBK"/>
                <w:color w:val="000000"/>
                <w:sz w:val="24"/>
                <w:lang w:eastAsia="zh-CN"/>
              </w:rPr>
              <w:t>（</w:t>
            </w:r>
            <w:r>
              <w:rPr>
                <w:rFonts w:hint="eastAsia" w:ascii="方正仿宋_GBK" w:hAnsi="方正仿宋_GBK"/>
                <w:color w:val="000000"/>
                <w:sz w:val="18"/>
                <w:szCs w:val="18"/>
              </w:rPr>
              <w:t>FDI</w:t>
            </w:r>
            <w:r>
              <w:rPr>
                <w:rFonts w:hint="eastAsia" w:ascii="方正仿宋_GBK" w:hAnsi="方正仿宋_GBK"/>
                <w:color w:val="000000"/>
                <w:sz w:val="18"/>
                <w:szCs w:val="18"/>
                <w:lang w:val="en-US" w:eastAsia="zh-CN"/>
              </w:rPr>
              <w:t>完成500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16</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区经</w:t>
            </w:r>
            <w:r>
              <w:rPr>
                <w:rFonts w:hint="eastAsia" w:ascii="方正仿宋_GBK" w:hAnsi="方正仿宋_GBK"/>
                <w:color w:val="000000"/>
                <w:sz w:val="18"/>
                <w:szCs w:val="18"/>
                <w:lang w:val="en-US" w:eastAsia="zh-CN"/>
              </w:rPr>
              <w:t>济</w:t>
            </w:r>
            <w:r>
              <w:rPr>
                <w:rFonts w:ascii="方正仿宋_GBK" w:hAnsi="方正仿宋_GBK"/>
                <w:color w:val="000000"/>
                <w:sz w:val="18"/>
                <w:szCs w:val="18"/>
              </w:rPr>
              <w:t>信</w:t>
            </w:r>
            <w:r>
              <w:rPr>
                <w:rFonts w:hint="eastAsia" w:ascii="方正仿宋_GBK" w:hAnsi="方正仿宋_GBK"/>
                <w:color w:val="000000"/>
                <w:sz w:val="18"/>
                <w:szCs w:val="18"/>
                <w:lang w:val="en-US" w:eastAsia="zh-CN"/>
              </w:rPr>
              <w:t>息</w:t>
            </w:r>
            <w:r>
              <w:rPr>
                <w:rFonts w:ascii="方正仿宋_GBK" w:hAnsi="方正仿宋_GBK"/>
                <w:color w:val="000000"/>
                <w:sz w:val="18"/>
                <w:szCs w:val="18"/>
              </w:rPr>
              <w:t>委</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1000</w:t>
            </w:r>
            <w:r>
              <w:rPr>
                <w:rFonts w:hint="eastAsia" w:ascii="方正仿宋_GBK" w:hAnsi="方正仿宋_GBK"/>
                <w:color w:val="000000"/>
                <w:sz w:val="24"/>
                <w:lang w:eastAsia="zh-CN"/>
              </w:rPr>
              <w:t>（</w:t>
            </w:r>
            <w:r>
              <w:rPr>
                <w:rFonts w:hint="eastAsia" w:ascii="方正仿宋_GBK" w:hAnsi="方正仿宋_GBK"/>
                <w:color w:val="000000"/>
                <w:sz w:val="18"/>
                <w:szCs w:val="18"/>
              </w:rPr>
              <w:t>FDI</w:t>
            </w:r>
            <w:r>
              <w:rPr>
                <w:rFonts w:hint="eastAsia" w:ascii="方正仿宋_GBK" w:hAnsi="方正仿宋_GBK"/>
                <w:color w:val="000000"/>
                <w:sz w:val="18"/>
                <w:szCs w:val="18"/>
                <w:lang w:val="en-US" w:eastAsia="zh-CN"/>
              </w:rPr>
              <w:t>完成500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17</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hint="eastAsia" w:ascii="方正仿宋_GBK" w:hAnsi="方正仿宋_GBK"/>
                <w:color w:val="000000"/>
                <w:sz w:val="18"/>
                <w:szCs w:val="18"/>
              </w:rPr>
              <w:t>区大数据局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1000</w:t>
            </w:r>
            <w:r>
              <w:rPr>
                <w:rFonts w:hint="eastAsia" w:ascii="方正仿宋_GBK" w:hAnsi="方正仿宋_GBK"/>
                <w:color w:val="000000"/>
                <w:sz w:val="24"/>
                <w:lang w:eastAsia="zh-CN"/>
              </w:rPr>
              <w:t>（</w:t>
            </w:r>
            <w:r>
              <w:rPr>
                <w:rFonts w:hint="eastAsia" w:ascii="方正仿宋_GBK" w:hAnsi="方正仿宋_GBK"/>
                <w:color w:val="000000"/>
                <w:sz w:val="18"/>
                <w:szCs w:val="18"/>
              </w:rPr>
              <w:t>FDI</w:t>
            </w:r>
            <w:r>
              <w:rPr>
                <w:rFonts w:hint="eastAsia" w:ascii="方正仿宋_GBK" w:hAnsi="方正仿宋_GBK"/>
                <w:color w:val="000000"/>
                <w:sz w:val="18"/>
                <w:szCs w:val="18"/>
                <w:lang w:val="en-US" w:eastAsia="zh-CN"/>
              </w:rPr>
              <w:t>完成500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18</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区商务</w:t>
            </w:r>
            <w:r>
              <w:rPr>
                <w:rFonts w:hint="eastAsia" w:ascii="方正仿宋_GBK" w:hAnsi="方正仿宋_GBK"/>
                <w:color w:val="000000"/>
                <w:sz w:val="18"/>
                <w:szCs w:val="18"/>
              </w:rPr>
              <w:t>委</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lang w:val="en-US" w:eastAsia="zh-CN"/>
              </w:rPr>
              <w:t>2500</w:t>
            </w:r>
            <w:r>
              <w:rPr>
                <w:rFonts w:hint="eastAsia" w:ascii="方正仿宋_GBK" w:hAnsi="方正仿宋_GBK"/>
                <w:color w:val="000000"/>
                <w:sz w:val="24"/>
                <w:lang w:eastAsia="zh-CN"/>
              </w:rPr>
              <w:t>（</w:t>
            </w:r>
            <w:r>
              <w:rPr>
                <w:rFonts w:hint="eastAsia" w:ascii="方正仿宋_GBK" w:hAnsi="方正仿宋_GBK"/>
                <w:color w:val="000000"/>
                <w:sz w:val="18"/>
                <w:szCs w:val="18"/>
              </w:rPr>
              <w:t>FDI</w:t>
            </w:r>
            <w:r>
              <w:rPr>
                <w:rFonts w:hint="eastAsia" w:ascii="方正仿宋_GBK" w:hAnsi="方正仿宋_GBK"/>
                <w:color w:val="000000"/>
                <w:sz w:val="18"/>
                <w:szCs w:val="18"/>
                <w:lang w:val="en-US" w:eastAsia="zh-CN"/>
              </w:rPr>
              <w:t>完成1500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19</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区</w:t>
            </w:r>
            <w:r>
              <w:rPr>
                <w:rFonts w:hint="eastAsia" w:ascii="方正仿宋_GBK" w:hAnsi="方正仿宋_GBK"/>
                <w:color w:val="000000"/>
                <w:sz w:val="18"/>
                <w:szCs w:val="18"/>
              </w:rPr>
              <w:t>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lang w:val="en-US" w:eastAsia="zh-CN"/>
              </w:rPr>
              <w:t>2000</w:t>
            </w:r>
            <w:r>
              <w:rPr>
                <w:rFonts w:hint="eastAsia" w:ascii="方正仿宋_GBK" w:hAnsi="方正仿宋_GBK"/>
                <w:color w:val="000000"/>
                <w:sz w:val="24"/>
                <w:lang w:eastAsia="zh-CN"/>
              </w:rPr>
              <w:t>（</w:t>
            </w:r>
            <w:r>
              <w:rPr>
                <w:rFonts w:hint="eastAsia" w:ascii="方正仿宋_GBK" w:hAnsi="方正仿宋_GBK"/>
                <w:color w:val="000000"/>
                <w:sz w:val="18"/>
                <w:szCs w:val="18"/>
              </w:rPr>
              <w:t>FDI</w:t>
            </w:r>
            <w:r>
              <w:rPr>
                <w:rFonts w:hint="eastAsia" w:ascii="方正仿宋_GBK" w:hAnsi="方正仿宋_GBK"/>
                <w:color w:val="000000"/>
                <w:sz w:val="18"/>
                <w:szCs w:val="18"/>
                <w:lang w:val="en-US" w:eastAsia="zh-CN"/>
              </w:rPr>
              <w:t>完成1000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20</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区金融办</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24"/>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00" w:lineRule="exact"/>
              <w:jc w:val="center"/>
              <w:textAlignment w:val="center"/>
              <w:rPr>
                <w:rFonts w:ascii="方正仿宋_GBK" w:hAnsi="方正仿宋_GBK"/>
                <w:color w:val="000000"/>
                <w:sz w:val="24"/>
              </w:rPr>
            </w:pPr>
            <w:r>
              <w:rPr>
                <w:rFonts w:hint="eastAsia" w:ascii="方正仿宋_GBK" w:hAnsi="方正仿宋_GBK"/>
                <w:color w:val="000000"/>
                <w:sz w:val="24"/>
                <w:lang w:val="en-US" w:eastAsia="zh-CN"/>
              </w:rPr>
              <w:t>5000</w:t>
            </w:r>
            <w:r>
              <w:rPr>
                <w:rFonts w:hint="eastAsia" w:ascii="方正仿宋_GBK" w:hAnsi="方正仿宋_GBK"/>
                <w:color w:val="000000"/>
                <w:sz w:val="24"/>
                <w:lang w:eastAsia="zh-CN"/>
              </w:rPr>
              <w:t>（</w:t>
            </w:r>
            <w:r>
              <w:rPr>
                <w:rFonts w:hint="eastAsia" w:ascii="方正仿宋_GBK" w:hAnsi="方正仿宋_GBK"/>
                <w:color w:val="000000"/>
                <w:sz w:val="18"/>
                <w:szCs w:val="18"/>
              </w:rPr>
              <w:t>FDI</w:t>
            </w:r>
            <w:r>
              <w:rPr>
                <w:rFonts w:hint="eastAsia" w:ascii="方正仿宋_GBK" w:hAnsi="方正仿宋_GBK"/>
                <w:color w:val="000000"/>
                <w:sz w:val="18"/>
                <w:szCs w:val="18"/>
                <w:lang w:val="en-US" w:eastAsia="zh-CN"/>
              </w:rPr>
              <w:t>完成3000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21</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空港经济公司</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lang w:val="en-US" w:eastAsia="zh-CN"/>
              </w:rPr>
              <w:t>3500</w:t>
            </w:r>
            <w:r>
              <w:rPr>
                <w:rFonts w:hint="eastAsia" w:ascii="方正仿宋_GBK" w:hAnsi="方正仿宋_GBK"/>
                <w:color w:val="000000"/>
                <w:sz w:val="24"/>
                <w:lang w:eastAsia="zh-CN"/>
              </w:rPr>
              <w:t>（</w:t>
            </w:r>
            <w:r>
              <w:rPr>
                <w:rFonts w:hint="eastAsia" w:ascii="方正仿宋_GBK" w:hAnsi="方正仿宋_GBK"/>
                <w:color w:val="000000"/>
                <w:sz w:val="18"/>
                <w:szCs w:val="18"/>
                <w:lang w:val="en-US" w:eastAsia="zh-CN"/>
              </w:rPr>
              <w:t>直接投资2500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22</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ascii="方正仿宋_GBK" w:hAnsi="方正仿宋_GBK"/>
                <w:color w:val="000000"/>
                <w:sz w:val="18"/>
                <w:szCs w:val="18"/>
              </w:rPr>
              <w:t>空港新城公司</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00" w:lineRule="exact"/>
              <w:jc w:val="center"/>
              <w:textAlignment w:val="center"/>
              <w:rPr>
                <w:rFonts w:ascii="方正仿宋_GBK" w:hAnsi="方正仿宋_GBK"/>
                <w:color w:val="000000"/>
                <w:sz w:val="18"/>
                <w:szCs w:val="18"/>
              </w:rPr>
            </w:pPr>
            <w:r>
              <w:rPr>
                <w:rFonts w:hint="eastAsia" w:ascii="方正仿宋_GBK" w:hAnsi="方正仿宋_GBK"/>
                <w:color w:val="000000"/>
                <w:sz w:val="24"/>
                <w:lang w:val="en-US" w:eastAsia="zh-CN"/>
              </w:rPr>
              <w:t>10000</w:t>
            </w:r>
            <w:r>
              <w:rPr>
                <w:rFonts w:hint="eastAsia" w:ascii="方正仿宋_GBK" w:hAnsi="方正仿宋_GBK"/>
                <w:color w:val="000000"/>
                <w:sz w:val="24"/>
                <w:lang w:eastAsia="zh-CN"/>
              </w:rPr>
              <w:t>（</w:t>
            </w:r>
            <w:r>
              <w:rPr>
                <w:rFonts w:hint="eastAsia" w:ascii="方正仿宋_GBK" w:hAnsi="方正仿宋_GBK"/>
                <w:color w:val="000000"/>
                <w:sz w:val="18"/>
                <w:szCs w:val="18"/>
                <w:lang w:val="en-US" w:eastAsia="zh-CN"/>
              </w:rPr>
              <w:t>直接投资4000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23</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创新经济走廊公司</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00" w:lineRule="exact"/>
              <w:jc w:val="center"/>
              <w:textAlignment w:val="center"/>
              <w:rPr>
                <w:rFonts w:ascii="方正仿宋_GBK" w:hAnsi="方正仿宋_GBK"/>
                <w:color w:val="000000"/>
                <w:sz w:val="18"/>
                <w:szCs w:val="18"/>
              </w:rPr>
            </w:pPr>
            <w:r>
              <w:rPr>
                <w:rFonts w:hint="eastAsia" w:ascii="方正仿宋_GBK" w:hAnsi="方正仿宋_GBK"/>
                <w:color w:val="000000"/>
                <w:sz w:val="24"/>
                <w:lang w:val="en-US" w:eastAsia="zh-CN"/>
              </w:rPr>
              <w:t>1500</w:t>
            </w:r>
            <w:r>
              <w:rPr>
                <w:rFonts w:hint="eastAsia" w:ascii="方正仿宋_GBK" w:hAnsi="方正仿宋_GBK"/>
                <w:color w:val="000000"/>
                <w:sz w:val="24"/>
                <w:lang w:eastAsia="zh-CN"/>
              </w:rPr>
              <w:t>（</w:t>
            </w:r>
            <w:r>
              <w:rPr>
                <w:rFonts w:hint="eastAsia" w:ascii="方正仿宋_GBK" w:hAnsi="方正仿宋_GBK"/>
                <w:color w:val="000000"/>
                <w:sz w:val="18"/>
                <w:szCs w:val="18"/>
                <w:lang w:val="en-US" w:eastAsia="zh-CN"/>
              </w:rPr>
              <w:t>直接投资1000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24</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方正仿宋_GBK" w:hAnsi="方正仿宋_GBK"/>
                <w:color w:val="000000"/>
                <w:sz w:val="18"/>
                <w:szCs w:val="18"/>
              </w:rPr>
            </w:pPr>
            <w:r>
              <w:rPr>
                <w:rFonts w:hint="eastAsia" w:ascii="方正仿宋_GBK" w:hAnsi="方正仿宋_GBK"/>
                <w:color w:val="000000"/>
                <w:sz w:val="18"/>
                <w:szCs w:val="18"/>
              </w:rPr>
              <w:t>仙桃</w:t>
            </w:r>
            <w:r>
              <w:rPr>
                <w:rFonts w:ascii="方正仿宋_GBK" w:hAnsi="方正仿宋_GBK"/>
                <w:color w:val="000000"/>
                <w:sz w:val="18"/>
                <w:szCs w:val="18"/>
              </w:rPr>
              <w:t>数据谷公司</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00" w:lineRule="exact"/>
              <w:jc w:val="center"/>
              <w:textAlignment w:val="center"/>
              <w:rPr>
                <w:rFonts w:ascii="方正仿宋_GBK" w:hAnsi="方正仿宋_GBK"/>
                <w:color w:val="000000"/>
                <w:sz w:val="18"/>
                <w:szCs w:val="18"/>
              </w:rPr>
            </w:pPr>
            <w:r>
              <w:rPr>
                <w:rFonts w:hint="eastAsia" w:ascii="方正仿宋_GBK" w:hAnsi="方正仿宋_GBK"/>
                <w:color w:val="000000"/>
                <w:sz w:val="24"/>
                <w:lang w:val="en-US" w:eastAsia="zh-CN"/>
              </w:rPr>
              <w:t>2000</w:t>
            </w:r>
            <w:r>
              <w:rPr>
                <w:rFonts w:hint="eastAsia" w:ascii="方正仿宋_GBK" w:hAnsi="方正仿宋_GBK"/>
                <w:color w:val="000000"/>
                <w:sz w:val="24"/>
                <w:lang w:eastAsia="zh-CN"/>
              </w:rPr>
              <w:t>（</w:t>
            </w:r>
            <w:r>
              <w:rPr>
                <w:rFonts w:hint="eastAsia" w:ascii="方正仿宋_GBK" w:hAnsi="方正仿宋_GBK"/>
                <w:color w:val="000000"/>
                <w:sz w:val="18"/>
                <w:szCs w:val="18"/>
                <w:lang w:val="en-US" w:eastAsia="zh-CN"/>
              </w:rPr>
              <w:t>直接投资1000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25</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城市更新公司</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00" w:lineRule="exact"/>
              <w:jc w:val="center"/>
              <w:textAlignment w:val="center"/>
              <w:rPr>
                <w:rFonts w:ascii="方正仿宋_GBK" w:hAnsi="方正仿宋_GBK"/>
                <w:color w:val="000000"/>
                <w:sz w:val="18"/>
                <w:szCs w:val="18"/>
              </w:rPr>
            </w:pPr>
            <w:r>
              <w:rPr>
                <w:rFonts w:hint="eastAsia" w:ascii="方正仿宋_GBK" w:hAnsi="方正仿宋_GBK"/>
                <w:color w:val="000000"/>
                <w:sz w:val="24"/>
                <w:lang w:val="en-US" w:eastAsia="zh-CN"/>
              </w:rPr>
              <w:t>2500</w:t>
            </w:r>
            <w:r>
              <w:rPr>
                <w:rFonts w:hint="eastAsia" w:ascii="方正仿宋_GBK" w:hAnsi="方正仿宋_GBK"/>
                <w:color w:val="000000"/>
                <w:sz w:val="24"/>
                <w:lang w:eastAsia="zh-CN"/>
              </w:rPr>
              <w:t>（</w:t>
            </w:r>
            <w:r>
              <w:rPr>
                <w:rFonts w:hint="eastAsia" w:ascii="方正仿宋_GBK" w:hAnsi="方正仿宋_GBK"/>
                <w:color w:val="000000"/>
                <w:sz w:val="18"/>
                <w:szCs w:val="18"/>
                <w:lang w:val="en-US" w:eastAsia="zh-CN"/>
              </w:rPr>
              <w:t>直接投资1000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26</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临空招商公司</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lang w:val="en-US" w:eastAsia="zh-CN"/>
              </w:rPr>
              <w:t>5000</w:t>
            </w:r>
            <w:r>
              <w:rPr>
                <w:rFonts w:hint="eastAsia" w:ascii="方正仿宋_GBK" w:hAnsi="方正仿宋_GBK"/>
                <w:color w:val="000000"/>
                <w:sz w:val="24"/>
                <w:lang w:eastAsia="zh-CN"/>
              </w:rPr>
              <w:t>（</w:t>
            </w:r>
            <w:r>
              <w:rPr>
                <w:rFonts w:hint="eastAsia" w:ascii="方正仿宋_GBK" w:hAnsi="方正仿宋_GBK"/>
                <w:color w:val="000000"/>
                <w:sz w:val="18"/>
                <w:szCs w:val="18"/>
                <w:lang w:val="en-US" w:eastAsia="zh-CN"/>
              </w:rPr>
              <w:t>直接投资2500</w:t>
            </w:r>
            <w:r>
              <w:rPr>
                <w:rFonts w:hint="eastAsia" w:ascii="方正仿宋_GBK" w:hAnsi="方正仿宋_GBK"/>
                <w:color w:val="000000"/>
                <w:sz w:val="18"/>
                <w:szCs w:val="18"/>
              </w:rPr>
              <w:t>万美元</w:t>
            </w:r>
            <w:r>
              <w:rPr>
                <w:rFonts w:hint="eastAsia" w:ascii="方正仿宋_GBK" w:hAnsi="方正仿宋_GBK"/>
                <w:color w:val="000000"/>
                <w:sz w:val="24"/>
                <w:lang w:eastAsia="zh-CN"/>
              </w:rPr>
              <w:t>）</w:t>
            </w:r>
          </w:p>
        </w:tc>
      </w:tr>
      <w:tr>
        <w:tblPrEx>
          <w:tblLayout w:type="fixed"/>
          <w:tblCellMar>
            <w:top w:w="0" w:type="dxa"/>
            <w:left w:w="108" w:type="dxa"/>
            <w:bottom w:w="0" w:type="dxa"/>
            <w:right w:w="108" w:type="dxa"/>
          </w:tblCellMar>
        </w:tblPrEx>
        <w:trPr>
          <w:trHeight w:val="397" w:hRule="exact"/>
          <w:jc w:val="center"/>
        </w:trPr>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27</w:t>
            </w:r>
          </w:p>
        </w:tc>
        <w:tc>
          <w:tcPr>
            <w:tcW w:w="275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18"/>
                <w:szCs w:val="18"/>
                <w:lang w:val="en-US" w:eastAsia="zh-CN"/>
              </w:rPr>
              <w:t>临空文旅公司</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方正仿宋_GBK" w:hAnsi="方正仿宋_GBK"/>
                <w:color w:val="000000"/>
                <w:sz w:val="18"/>
                <w:szCs w:val="18"/>
              </w:rPr>
            </w:pPr>
            <w:r>
              <w:rPr>
                <w:rFonts w:hint="eastAsia" w:ascii="方正仿宋_GBK" w:hAnsi="方正仿宋_GBK"/>
                <w:color w:val="000000"/>
                <w:sz w:val="24"/>
              </w:rPr>
              <w:t>-</w:t>
            </w:r>
          </w:p>
        </w:tc>
        <w:tc>
          <w:tcPr>
            <w:tcW w:w="28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default" w:ascii="方正仿宋_GBK" w:hAnsi="方正仿宋_GBK" w:eastAsiaTheme="minorEastAsia"/>
                <w:color w:val="000000"/>
                <w:sz w:val="18"/>
                <w:szCs w:val="18"/>
                <w:lang w:val="en-US" w:eastAsia="zh-CN"/>
              </w:rPr>
            </w:pPr>
            <w:r>
              <w:rPr>
                <w:rFonts w:hint="eastAsia" w:ascii="方正仿宋_GBK" w:hAnsi="方正仿宋_GBK"/>
                <w:color w:val="000000"/>
                <w:sz w:val="24"/>
                <w:lang w:val="en-US" w:eastAsia="zh-CN"/>
              </w:rPr>
              <w:t>1000</w:t>
            </w:r>
          </w:p>
        </w:tc>
      </w:tr>
    </w:tbl>
    <w:p>
      <w:pPr>
        <w:pStyle w:val="2"/>
        <w:rPr>
          <w:rFonts w:hint="eastAsia" w:ascii="方正楷体_GBK" w:hAnsi="方正楷体_GBK" w:eastAsia="方正楷体_GBK" w:cs="方正楷体_GBK"/>
          <w:color w:val="000000"/>
          <w:kern w:val="2"/>
          <w:sz w:val="32"/>
          <w:szCs w:val="32"/>
          <w:lang w:val="en-US" w:eastAsia="zh-CN" w:bidi="ar-SA"/>
        </w:rPr>
      </w:pPr>
    </w:p>
    <w:p>
      <w:pPr>
        <w:rPr>
          <w:rFonts w:hint="eastAsia" w:ascii="方正楷体_GBK" w:hAnsi="方正楷体_GBK" w:eastAsia="方正楷体_GBK" w:cs="方正楷体_GBK"/>
          <w:color w:val="000000"/>
          <w:kern w:val="2"/>
          <w:sz w:val="32"/>
          <w:szCs w:val="32"/>
          <w:lang w:val="en-US" w:eastAsia="zh-CN" w:bidi="ar-SA"/>
        </w:rPr>
      </w:pPr>
    </w:p>
    <w:p>
      <w:pPr>
        <w:pStyle w:val="2"/>
        <w:rPr>
          <w:rFonts w:hint="eastAsia" w:ascii="方正楷体_GBK" w:hAnsi="方正楷体_GBK" w:eastAsia="方正楷体_GBK" w:cs="方正楷体_GBK"/>
          <w:color w:val="000000"/>
          <w:kern w:val="2"/>
          <w:sz w:val="32"/>
          <w:szCs w:val="32"/>
          <w:lang w:val="en-US" w:eastAsia="zh-CN" w:bidi="ar-SA"/>
        </w:rPr>
      </w:pPr>
    </w:p>
    <w:p>
      <w:pPr>
        <w:rPr>
          <w:rFonts w:hint="eastAsia" w:ascii="方正楷体_GBK" w:hAnsi="方正楷体_GBK" w:eastAsia="方正楷体_GBK" w:cs="方正楷体_GBK"/>
          <w:color w:val="000000"/>
          <w:kern w:val="2"/>
          <w:sz w:val="32"/>
          <w:szCs w:val="32"/>
          <w:lang w:val="en-US" w:eastAsia="zh-CN" w:bidi="ar-SA"/>
        </w:rPr>
      </w:pPr>
    </w:p>
    <w:p>
      <w:pPr>
        <w:pStyle w:val="2"/>
        <w:rPr>
          <w:rFonts w:hint="eastAsia" w:ascii="方正楷体_GBK" w:hAnsi="方正楷体_GBK" w:eastAsia="方正楷体_GBK" w:cs="方正楷体_GBK"/>
          <w:color w:val="000000"/>
          <w:kern w:val="2"/>
          <w:sz w:val="32"/>
          <w:szCs w:val="32"/>
          <w:lang w:val="en-US" w:eastAsia="zh-CN" w:bidi="ar-SA"/>
        </w:rPr>
      </w:pPr>
    </w:p>
    <w:p>
      <w:pPr>
        <w:rPr>
          <w:rFonts w:hint="eastAsia" w:ascii="方正楷体_GBK" w:hAnsi="方正楷体_GBK" w:eastAsia="方正楷体_GBK" w:cs="方正楷体_GBK"/>
          <w:color w:val="000000"/>
          <w:kern w:val="2"/>
          <w:sz w:val="32"/>
          <w:szCs w:val="32"/>
          <w:lang w:val="en-US" w:eastAsia="zh-CN" w:bidi="ar-SA"/>
        </w:rPr>
      </w:pPr>
    </w:p>
    <w:p>
      <w:pPr>
        <w:pStyle w:val="2"/>
        <w:rPr>
          <w:rFonts w:hint="eastAsia"/>
          <w:lang w:val="en-US" w:eastAsia="zh-CN"/>
        </w:rPr>
      </w:pPr>
    </w:p>
    <w:p>
      <w:pPr>
        <w:pStyle w:val="53"/>
        <w:rPr>
          <w:rFonts w:hint="eastAsia"/>
          <w:lang w:val="en-US" w:eastAsia="zh-CN"/>
        </w:rPr>
      </w:pPr>
    </w:p>
    <w:p>
      <w:pPr>
        <w:pStyle w:val="7"/>
        <w:keepNext w:val="0"/>
        <w:keepLines w:val="0"/>
        <w:pageBreakBefore w:val="0"/>
        <w:widowControl w:val="0"/>
        <w:kinsoku/>
        <w:wordWrap/>
        <w:overflowPunct/>
        <w:topLinePunct w:val="0"/>
        <w:bidi w:val="0"/>
        <w:adjustRightIn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pict>
          <v:shape id="直接箭头连接符 21" o:spid="_x0000_s2051" o:spt="32" type="#_x0000_t32" style="position:absolute;left:0pt;margin-left:1.5pt;margin-top:62pt;height:0pt;width:414.75pt;z-index:251659264;mso-width-relative:page;mso-height-relative:page;" filled="f" stroked="t" coordsize="21600,21600" o:gfxdata="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8wAv1gAAAAkBAAAPAAAA&#10;AAAAAAEAIAAAACIAAABkcnMvZG93bnJldi54bWxQSwECFAAUAAAACACHTuJAVP+5Lt4BAACAAwAA&#10;DgAAAAAAAAABACAAAAAlAQAAZHJzL2Uyb0RvYy54bWxQSwUGAAAAAAYABgBZAQAAdQUAAAAA&#10;">
            <v:path arrowok="t"/>
            <v:fill on="f" focussize="0,0"/>
            <v:stroke color="#000000" joinstyle="round"/>
            <v:imagedata o:title=""/>
            <o:lock v:ext="edit" aspectratio="f"/>
          </v:shape>
        </w:pic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仿宋_GBK" w:hAnsi="方正仿宋_GBK" w:eastAsia="方正仿宋_GBK" w:cs="方正仿宋_GBK"/>
          <w:sz w:val="28"/>
          <w:szCs w:val="28"/>
        </w:rPr>
        <w:pict>
          <v:shape id="直接箭头连接符 22" o:spid="_x0000_s2052" o:spt="32" type="#_x0000_t32" style="position:absolute;left:0pt;margin-left:2.1pt;margin-top:3.6pt;height:0pt;width:414.75pt;z-index:251660288;mso-width-relative:page;mso-height-relative:page;" filled="f" stroked="t" coordsize="21600,21600" o:gfxdata="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N5VI1AAAAAUBAAAPAAAAAAAA&#10;AAEAIAAAACIAAABkcnMvZG93bnJldi54bWxQSwECFAAUAAAACACHTuJAKCNPOd0BAACAAwAADgAA&#10;AAAAAAABACAAAAAjAQAAZHJzL2Uyb0RvYy54bWxQSwUGAAAAAAYABgBZAQAAcgUAAAAA&#10;">
            <v:path arrowok="t"/>
            <v:fill on="f" focussize="0,0"/>
            <v:stroke color="#000000" joinstyle="round"/>
            <v:imagedata o:title=""/>
            <o:lock v:ext="edit" aspectratio="f"/>
          </v:shape>
        </w:pict>
      </w:r>
      <w:r>
        <w:rPr>
          <w:rFonts w:hint="eastAsia" w:ascii="方正仿宋_GBK" w:hAnsi="方正仿宋_GBK" w:eastAsia="方正仿宋_GBK" w:cs="方正仿宋_GBK"/>
          <w:sz w:val="28"/>
          <w:szCs w:val="28"/>
        </w:rPr>
        <w:t xml:space="preserve"> 重庆市渝北区商务委员会</w:t>
      </w:r>
      <w:r>
        <w:rPr>
          <w:rFonts w:hint="eastAsia" w:ascii="方正仿宋_GBK" w:hAnsi="方正仿宋_GBK" w:eastAsia="方正仿宋_GBK" w:cs="方正仿宋_GBK"/>
          <w:sz w:val="28"/>
          <w:szCs w:val="28"/>
          <w:lang w:eastAsia="zh-CN"/>
        </w:rPr>
        <w:t>综合科</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25</w:t>
      </w:r>
      <w:r>
        <w:rPr>
          <w:rFonts w:hint="eastAsia" w:ascii="方正仿宋_GBK" w:hAnsi="方正仿宋_GBK" w:eastAsia="方正仿宋_GBK" w:cs="方正仿宋_GBK"/>
          <w:sz w:val="28"/>
          <w:szCs w:val="28"/>
        </w:rPr>
        <w:t>日印发</w:t>
      </w:r>
      <w:r>
        <w:rPr>
          <w:sz w:val="20"/>
        </w:rPr>
        <w:pict>
          <v:shape id="文本框 19" o:spid="_x0000_s2050" o:spt="202" type="#_x0000_t202" style="position:absolute;left:0pt;margin-left:-1.9pt;margin-top:41.1pt;height:30.5pt;width:54.8pt;mso-position-horizontal-relative:margin;z-index:251658240;mso-width-relative:page;mso-height-relative:page;" filled="f" stroked="f" coordsize="21600,21600" o:gfxdata="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iTd5tgA&#10;AAAJAQAADwAAAAAAAAABACAAAAAiAAAAZHJzL2Rvd25yZXYueG1sUEsBAhQAFAAAAAgAh07iQAiX&#10;CagfAgAAIwQAAA4AAAAAAAAAAQAgAAAAJwEAAGRycy9lMm9Eb2MueG1sUEsFBgAAAAAGAAYAWQEA&#10;ALgFAAAAAA==&#10;">
            <v:path/>
            <v:fill on="f" focussize="0,0"/>
            <v:stroke on="f" weight="0.5pt"/>
            <v:imagedata o:title=""/>
            <o:lock v:ext="edit" aspectratio="f"/>
            <v:textbox inset="0mm,0mm,0mm,0mm">
              <w:txbxContent>
                <w:p>
                  <w:pPr>
                    <w:rPr>
                      <w:rFonts w:hint="eastAsia"/>
                      <w:lang w:eastAsia="zh-CN"/>
                    </w:rPr>
                  </w:pPr>
                </w:p>
              </w:txbxContent>
            </v:textbox>
          </v:shape>
        </w:pic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ndalus">
    <w:panose1 w:val="02020603050405020304"/>
    <w:charset w:val="00"/>
    <w:family w:val="roman"/>
    <w:pitch w:val="default"/>
    <w:sig w:usb0="00002003" w:usb1="80000000" w:usb2="00000008" w:usb3="00000000" w:csb0="00000041" w:csb1="2008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2D3D"/>
    <w:rsid w:val="00010D65"/>
    <w:rsid w:val="00011718"/>
    <w:rsid w:val="00073FC2"/>
    <w:rsid w:val="00135491"/>
    <w:rsid w:val="0016250E"/>
    <w:rsid w:val="00163EF8"/>
    <w:rsid w:val="001B1FCC"/>
    <w:rsid w:val="001C6CD7"/>
    <w:rsid w:val="001D7A70"/>
    <w:rsid w:val="00205862"/>
    <w:rsid w:val="00247F25"/>
    <w:rsid w:val="00250530"/>
    <w:rsid w:val="002E446E"/>
    <w:rsid w:val="00302E6B"/>
    <w:rsid w:val="0031468B"/>
    <w:rsid w:val="00335907"/>
    <w:rsid w:val="00366C4C"/>
    <w:rsid w:val="00370E7F"/>
    <w:rsid w:val="003A5644"/>
    <w:rsid w:val="003C1543"/>
    <w:rsid w:val="004034DE"/>
    <w:rsid w:val="00462D6C"/>
    <w:rsid w:val="00493101"/>
    <w:rsid w:val="00573C92"/>
    <w:rsid w:val="005A7ADC"/>
    <w:rsid w:val="005C6F17"/>
    <w:rsid w:val="005E7619"/>
    <w:rsid w:val="00650369"/>
    <w:rsid w:val="00655388"/>
    <w:rsid w:val="006646C3"/>
    <w:rsid w:val="00690E54"/>
    <w:rsid w:val="006F4869"/>
    <w:rsid w:val="00717019"/>
    <w:rsid w:val="007B0129"/>
    <w:rsid w:val="007F2D3D"/>
    <w:rsid w:val="00831A08"/>
    <w:rsid w:val="00847392"/>
    <w:rsid w:val="008813DB"/>
    <w:rsid w:val="00890858"/>
    <w:rsid w:val="008B571A"/>
    <w:rsid w:val="008F0C41"/>
    <w:rsid w:val="0091312A"/>
    <w:rsid w:val="0095735E"/>
    <w:rsid w:val="00A45ADB"/>
    <w:rsid w:val="00A82C09"/>
    <w:rsid w:val="00B10892"/>
    <w:rsid w:val="00B10B32"/>
    <w:rsid w:val="00B17B60"/>
    <w:rsid w:val="00C61BC9"/>
    <w:rsid w:val="00C7421D"/>
    <w:rsid w:val="00C81B84"/>
    <w:rsid w:val="00C92A88"/>
    <w:rsid w:val="00C94281"/>
    <w:rsid w:val="00CB12C4"/>
    <w:rsid w:val="00D17A6B"/>
    <w:rsid w:val="00D56746"/>
    <w:rsid w:val="00E20907"/>
    <w:rsid w:val="00EF50B6"/>
    <w:rsid w:val="00F332C6"/>
    <w:rsid w:val="00F540AC"/>
    <w:rsid w:val="00F63CD2"/>
    <w:rsid w:val="00F97820"/>
    <w:rsid w:val="00FD72C5"/>
    <w:rsid w:val="0168709B"/>
    <w:rsid w:val="01E02E27"/>
    <w:rsid w:val="01F562AA"/>
    <w:rsid w:val="02121ECD"/>
    <w:rsid w:val="0275199C"/>
    <w:rsid w:val="02BF64EC"/>
    <w:rsid w:val="04496A53"/>
    <w:rsid w:val="04601471"/>
    <w:rsid w:val="05121F43"/>
    <w:rsid w:val="056B0AF9"/>
    <w:rsid w:val="058E4D96"/>
    <w:rsid w:val="059553B5"/>
    <w:rsid w:val="05E51A29"/>
    <w:rsid w:val="06433906"/>
    <w:rsid w:val="066B0B14"/>
    <w:rsid w:val="066E38FC"/>
    <w:rsid w:val="06722466"/>
    <w:rsid w:val="068A4438"/>
    <w:rsid w:val="068C461E"/>
    <w:rsid w:val="06C23981"/>
    <w:rsid w:val="0729298D"/>
    <w:rsid w:val="075F7E7C"/>
    <w:rsid w:val="079E4A52"/>
    <w:rsid w:val="07D50651"/>
    <w:rsid w:val="08302EFC"/>
    <w:rsid w:val="084655CA"/>
    <w:rsid w:val="090F4DDB"/>
    <w:rsid w:val="092051A9"/>
    <w:rsid w:val="095D42AD"/>
    <w:rsid w:val="09E422F0"/>
    <w:rsid w:val="0A731C64"/>
    <w:rsid w:val="0A8B7A63"/>
    <w:rsid w:val="0AA65B44"/>
    <w:rsid w:val="0B0D2D9F"/>
    <w:rsid w:val="0B8A1E76"/>
    <w:rsid w:val="0BB73826"/>
    <w:rsid w:val="0BC22A7F"/>
    <w:rsid w:val="0C3D3825"/>
    <w:rsid w:val="0CE21114"/>
    <w:rsid w:val="0D4C0C24"/>
    <w:rsid w:val="0D6A7673"/>
    <w:rsid w:val="0D84655A"/>
    <w:rsid w:val="0D951E6C"/>
    <w:rsid w:val="0DC928EC"/>
    <w:rsid w:val="0DFD0BFD"/>
    <w:rsid w:val="0E44035F"/>
    <w:rsid w:val="0E953177"/>
    <w:rsid w:val="0F2952F7"/>
    <w:rsid w:val="0F597CB9"/>
    <w:rsid w:val="0F7B39F9"/>
    <w:rsid w:val="0F9956E5"/>
    <w:rsid w:val="0FB66534"/>
    <w:rsid w:val="101D5A8A"/>
    <w:rsid w:val="10766D6C"/>
    <w:rsid w:val="109E28BE"/>
    <w:rsid w:val="10BB1076"/>
    <w:rsid w:val="10F54356"/>
    <w:rsid w:val="11C62B9A"/>
    <w:rsid w:val="11DF6AD5"/>
    <w:rsid w:val="122E5C22"/>
    <w:rsid w:val="12324366"/>
    <w:rsid w:val="127135E1"/>
    <w:rsid w:val="12CB3E5D"/>
    <w:rsid w:val="13180AAE"/>
    <w:rsid w:val="133E181A"/>
    <w:rsid w:val="139100DD"/>
    <w:rsid w:val="13A72AB2"/>
    <w:rsid w:val="13E40EEF"/>
    <w:rsid w:val="140277CC"/>
    <w:rsid w:val="147813D9"/>
    <w:rsid w:val="154B73F0"/>
    <w:rsid w:val="154E2A53"/>
    <w:rsid w:val="158202CB"/>
    <w:rsid w:val="158C22FD"/>
    <w:rsid w:val="15AE4771"/>
    <w:rsid w:val="15C80DB0"/>
    <w:rsid w:val="1638057A"/>
    <w:rsid w:val="164674A0"/>
    <w:rsid w:val="16CF7E40"/>
    <w:rsid w:val="16D91A72"/>
    <w:rsid w:val="183E720E"/>
    <w:rsid w:val="190104D0"/>
    <w:rsid w:val="196266CA"/>
    <w:rsid w:val="19735D48"/>
    <w:rsid w:val="19E015AA"/>
    <w:rsid w:val="1A2E2C26"/>
    <w:rsid w:val="1B037791"/>
    <w:rsid w:val="1B646966"/>
    <w:rsid w:val="1BCB3FB6"/>
    <w:rsid w:val="1BE2482E"/>
    <w:rsid w:val="1BE355F1"/>
    <w:rsid w:val="1BF26738"/>
    <w:rsid w:val="1C27585D"/>
    <w:rsid w:val="1C3C4AB6"/>
    <w:rsid w:val="1C667E1C"/>
    <w:rsid w:val="1C972208"/>
    <w:rsid w:val="1CCA0A19"/>
    <w:rsid w:val="1CD03B4B"/>
    <w:rsid w:val="1D2E5D98"/>
    <w:rsid w:val="1D367DC9"/>
    <w:rsid w:val="1D56730C"/>
    <w:rsid w:val="1D710C73"/>
    <w:rsid w:val="1DA96C19"/>
    <w:rsid w:val="1DC175AF"/>
    <w:rsid w:val="1F64012A"/>
    <w:rsid w:val="1F9612BB"/>
    <w:rsid w:val="1F98018F"/>
    <w:rsid w:val="1F9942FC"/>
    <w:rsid w:val="1FED1B69"/>
    <w:rsid w:val="1FFA2D74"/>
    <w:rsid w:val="20114BFB"/>
    <w:rsid w:val="20187106"/>
    <w:rsid w:val="204A29DE"/>
    <w:rsid w:val="2100574B"/>
    <w:rsid w:val="215716CA"/>
    <w:rsid w:val="216536C1"/>
    <w:rsid w:val="21701FE1"/>
    <w:rsid w:val="21B511A9"/>
    <w:rsid w:val="21BA50EE"/>
    <w:rsid w:val="21C70E2F"/>
    <w:rsid w:val="21C72ECC"/>
    <w:rsid w:val="21DF2425"/>
    <w:rsid w:val="227036F0"/>
    <w:rsid w:val="233E2D4B"/>
    <w:rsid w:val="23CD30DF"/>
    <w:rsid w:val="23DE01AE"/>
    <w:rsid w:val="243702E0"/>
    <w:rsid w:val="243B12B4"/>
    <w:rsid w:val="243B6826"/>
    <w:rsid w:val="244B306C"/>
    <w:rsid w:val="245D1EBF"/>
    <w:rsid w:val="24FC1E27"/>
    <w:rsid w:val="25994230"/>
    <w:rsid w:val="259D4667"/>
    <w:rsid w:val="25D1769F"/>
    <w:rsid w:val="25E32FDC"/>
    <w:rsid w:val="262356AE"/>
    <w:rsid w:val="264C223B"/>
    <w:rsid w:val="26636933"/>
    <w:rsid w:val="269E28E3"/>
    <w:rsid w:val="26C24278"/>
    <w:rsid w:val="26CD0C77"/>
    <w:rsid w:val="26EC26C1"/>
    <w:rsid w:val="270B0E9E"/>
    <w:rsid w:val="27102C2F"/>
    <w:rsid w:val="279239BF"/>
    <w:rsid w:val="280C6B04"/>
    <w:rsid w:val="28156D62"/>
    <w:rsid w:val="289C7C11"/>
    <w:rsid w:val="28AC1AA0"/>
    <w:rsid w:val="28EB003E"/>
    <w:rsid w:val="28EE7B0F"/>
    <w:rsid w:val="291540BD"/>
    <w:rsid w:val="29E10081"/>
    <w:rsid w:val="29E43FDD"/>
    <w:rsid w:val="2A1642A6"/>
    <w:rsid w:val="2A911DAE"/>
    <w:rsid w:val="2AC9766E"/>
    <w:rsid w:val="2AE152E3"/>
    <w:rsid w:val="2B00042C"/>
    <w:rsid w:val="2B403BFD"/>
    <w:rsid w:val="2B4E1BAF"/>
    <w:rsid w:val="2B7D6F72"/>
    <w:rsid w:val="2BC16FEB"/>
    <w:rsid w:val="2C6F3F48"/>
    <w:rsid w:val="2C754863"/>
    <w:rsid w:val="2C9E50D7"/>
    <w:rsid w:val="2D197B3F"/>
    <w:rsid w:val="2D2E4B75"/>
    <w:rsid w:val="2D3A0D12"/>
    <w:rsid w:val="2D736DCA"/>
    <w:rsid w:val="2E034CF7"/>
    <w:rsid w:val="2E1877CA"/>
    <w:rsid w:val="2E357719"/>
    <w:rsid w:val="2E3E4759"/>
    <w:rsid w:val="2E476B38"/>
    <w:rsid w:val="2EDE34EA"/>
    <w:rsid w:val="2EE64DE5"/>
    <w:rsid w:val="2FAC5CFF"/>
    <w:rsid w:val="302020F6"/>
    <w:rsid w:val="30282D70"/>
    <w:rsid w:val="30503432"/>
    <w:rsid w:val="30765B3F"/>
    <w:rsid w:val="30787E53"/>
    <w:rsid w:val="30A2361C"/>
    <w:rsid w:val="30CA3B2E"/>
    <w:rsid w:val="30F91679"/>
    <w:rsid w:val="311D7EAA"/>
    <w:rsid w:val="319B1913"/>
    <w:rsid w:val="31ED6C33"/>
    <w:rsid w:val="32355275"/>
    <w:rsid w:val="324B64C6"/>
    <w:rsid w:val="327E642E"/>
    <w:rsid w:val="32A04544"/>
    <w:rsid w:val="32CE17A4"/>
    <w:rsid w:val="32F36A18"/>
    <w:rsid w:val="33353099"/>
    <w:rsid w:val="333B4E85"/>
    <w:rsid w:val="3392348C"/>
    <w:rsid w:val="350C6626"/>
    <w:rsid w:val="353A2C3C"/>
    <w:rsid w:val="354C1267"/>
    <w:rsid w:val="359C2D7C"/>
    <w:rsid w:val="35CE668F"/>
    <w:rsid w:val="3623530A"/>
    <w:rsid w:val="36D53EEB"/>
    <w:rsid w:val="36F7601C"/>
    <w:rsid w:val="371A35EA"/>
    <w:rsid w:val="371A6A54"/>
    <w:rsid w:val="377805F1"/>
    <w:rsid w:val="37794A60"/>
    <w:rsid w:val="37955BA3"/>
    <w:rsid w:val="38202B73"/>
    <w:rsid w:val="382E0E25"/>
    <w:rsid w:val="38A5273D"/>
    <w:rsid w:val="38E157D1"/>
    <w:rsid w:val="38FB1115"/>
    <w:rsid w:val="398F6D1B"/>
    <w:rsid w:val="39994D4C"/>
    <w:rsid w:val="3A72210C"/>
    <w:rsid w:val="3A7D1814"/>
    <w:rsid w:val="3A957898"/>
    <w:rsid w:val="3AD10135"/>
    <w:rsid w:val="3AF7520F"/>
    <w:rsid w:val="3B0219B8"/>
    <w:rsid w:val="3B1F3534"/>
    <w:rsid w:val="3B316ACA"/>
    <w:rsid w:val="3B542669"/>
    <w:rsid w:val="3B612798"/>
    <w:rsid w:val="3B703DA9"/>
    <w:rsid w:val="3B7E7690"/>
    <w:rsid w:val="3B8360D2"/>
    <w:rsid w:val="3B8674DF"/>
    <w:rsid w:val="3B8D0552"/>
    <w:rsid w:val="3B967577"/>
    <w:rsid w:val="3BA90CAB"/>
    <w:rsid w:val="3C0979A4"/>
    <w:rsid w:val="3C0F5D3C"/>
    <w:rsid w:val="3C406E52"/>
    <w:rsid w:val="3C5D3803"/>
    <w:rsid w:val="3CA07957"/>
    <w:rsid w:val="3CA67C6B"/>
    <w:rsid w:val="3D11709D"/>
    <w:rsid w:val="3D29442E"/>
    <w:rsid w:val="3D9B65B2"/>
    <w:rsid w:val="3DF37AA1"/>
    <w:rsid w:val="3E412728"/>
    <w:rsid w:val="3EBB7AF2"/>
    <w:rsid w:val="3F731F70"/>
    <w:rsid w:val="40634A7F"/>
    <w:rsid w:val="40C04193"/>
    <w:rsid w:val="40CE4FBA"/>
    <w:rsid w:val="40EC7C06"/>
    <w:rsid w:val="40F441D3"/>
    <w:rsid w:val="413C3BB8"/>
    <w:rsid w:val="41AD3347"/>
    <w:rsid w:val="41FB21D0"/>
    <w:rsid w:val="4218417E"/>
    <w:rsid w:val="42F72271"/>
    <w:rsid w:val="436D404E"/>
    <w:rsid w:val="441E31F3"/>
    <w:rsid w:val="444402C1"/>
    <w:rsid w:val="44493053"/>
    <w:rsid w:val="44B444F9"/>
    <w:rsid w:val="44D940D6"/>
    <w:rsid w:val="44D97EA6"/>
    <w:rsid w:val="44EE507D"/>
    <w:rsid w:val="455A086C"/>
    <w:rsid w:val="456728C0"/>
    <w:rsid w:val="458E6204"/>
    <w:rsid w:val="45907023"/>
    <w:rsid w:val="45E20732"/>
    <w:rsid w:val="45E3583D"/>
    <w:rsid w:val="46932C93"/>
    <w:rsid w:val="471D5B1C"/>
    <w:rsid w:val="478E2944"/>
    <w:rsid w:val="480E3806"/>
    <w:rsid w:val="48427E77"/>
    <w:rsid w:val="48F97FA8"/>
    <w:rsid w:val="49540B24"/>
    <w:rsid w:val="4954153D"/>
    <w:rsid w:val="49654182"/>
    <w:rsid w:val="49785578"/>
    <w:rsid w:val="498D7F00"/>
    <w:rsid w:val="4AB57EE6"/>
    <w:rsid w:val="4AC35F73"/>
    <w:rsid w:val="4AEF3971"/>
    <w:rsid w:val="4B58293F"/>
    <w:rsid w:val="4BB00614"/>
    <w:rsid w:val="4BBE271D"/>
    <w:rsid w:val="4C0349EB"/>
    <w:rsid w:val="4C0A5A39"/>
    <w:rsid w:val="4C4A21E2"/>
    <w:rsid w:val="4C665FF7"/>
    <w:rsid w:val="4C7572C8"/>
    <w:rsid w:val="4C8B0323"/>
    <w:rsid w:val="4D037A65"/>
    <w:rsid w:val="4D2D02AC"/>
    <w:rsid w:val="4E4B73EF"/>
    <w:rsid w:val="4E4F342C"/>
    <w:rsid w:val="4E5E7EC5"/>
    <w:rsid w:val="4EF7297C"/>
    <w:rsid w:val="50333471"/>
    <w:rsid w:val="50533FBC"/>
    <w:rsid w:val="506502BC"/>
    <w:rsid w:val="50650339"/>
    <w:rsid w:val="507E1363"/>
    <w:rsid w:val="50F20361"/>
    <w:rsid w:val="5120336C"/>
    <w:rsid w:val="51244EA7"/>
    <w:rsid w:val="512E4804"/>
    <w:rsid w:val="51910580"/>
    <w:rsid w:val="51B0116B"/>
    <w:rsid w:val="523124F7"/>
    <w:rsid w:val="523F4568"/>
    <w:rsid w:val="52D6040C"/>
    <w:rsid w:val="54474172"/>
    <w:rsid w:val="54B963EF"/>
    <w:rsid w:val="551D3ECB"/>
    <w:rsid w:val="553958FB"/>
    <w:rsid w:val="556637E0"/>
    <w:rsid w:val="556E2C54"/>
    <w:rsid w:val="55841C20"/>
    <w:rsid w:val="55997500"/>
    <w:rsid w:val="55A63006"/>
    <w:rsid w:val="55BF4462"/>
    <w:rsid w:val="56346687"/>
    <w:rsid w:val="56833920"/>
    <w:rsid w:val="56D65A9F"/>
    <w:rsid w:val="56E45F7C"/>
    <w:rsid w:val="571E58AB"/>
    <w:rsid w:val="57214B65"/>
    <w:rsid w:val="57510FB8"/>
    <w:rsid w:val="5798564F"/>
    <w:rsid w:val="584B3680"/>
    <w:rsid w:val="5867685D"/>
    <w:rsid w:val="586B078E"/>
    <w:rsid w:val="58721DA3"/>
    <w:rsid w:val="588D2C07"/>
    <w:rsid w:val="58B91AF5"/>
    <w:rsid w:val="59223858"/>
    <w:rsid w:val="59311DA4"/>
    <w:rsid w:val="59412832"/>
    <w:rsid w:val="59655D17"/>
    <w:rsid w:val="596B4D56"/>
    <w:rsid w:val="598C341C"/>
    <w:rsid w:val="59A47A42"/>
    <w:rsid w:val="59B3153A"/>
    <w:rsid w:val="5AA16E22"/>
    <w:rsid w:val="5B2050EE"/>
    <w:rsid w:val="5BAC3360"/>
    <w:rsid w:val="5BE6035B"/>
    <w:rsid w:val="5BFB228D"/>
    <w:rsid w:val="5C096B6A"/>
    <w:rsid w:val="5C674FEE"/>
    <w:rsid w:val="5D362CF5"/>
    <w:rsid w:val="5D5706F1"/>
    <w:rsid w:val="5D955594"/>
    <w:rsid w:val="5DA65884"/>
    <w:rsid w:val="5DBD2DD9"/>
    <w:rsid w:val="5E4043EA"/>
    <w:rsid w:val="5EA01FDC"/>
    <w:rsid w:val="5EA20EDE"/>
    <w:rsid w:val="5EB07622"/>
    <w:rsid w:val="5ECB4BAD"/>
    <w:rsid w:val="5F030AEF"/>
    <w:rsid w:val="5F317774"/>
    <w:rsid w:val="6045269B"/>
    <w:rsid w:val="60CA5860"/>
    <w:rsid w:val="60F634EE"/>
    <w:rsid w:val="612D481E"/>
    <w:rsid w:val="61761E09"/>
    <w:rsid w:val="61D40CF2"/>
    <w:rsid w:val="62513255"/>
    <w:rsid w:val="62842BC1"/>
    <w:rsid w:val="639E4E16"/>
    <w:rsid w:val="63E3620E"/>
    <w:rsid w:val="64784D3C"/>
    <w:rsid w:val="64927376"/>
    <w:rsid w:val="64996434"/>
    <w:rsid w:val="653B0BA4"/>
    <w:rsid w:val="65417807"/>
    <w:rsid w:val="65A5740C"/>
    <w:rsid w:val="65AA130A"/>
    <w:rsid w:val="65DF0EF8"/>
    <w:rsid w:val="65E23E6D"/>
    <w:rsid w:val="666C6BAC"/>
    <w:rsid w:val="66CE0684"/>
    <w:rsid w:val="67C341E6"/>
    <w:rsid w:val="6851511C"/>
    <w:rsid w:val="68555071"/>
    <w:rsid w:val="68B35848"/>
    <w:rsid w:val="6931763B"/>
    <w:rsid w:val="69553490"/>
    <w:rsid w:val="69806092"/>
    <w:rsid w:val="69C06A35"/>
    <w:rsid w:val="69D25BF7"/>
    <w:rsid w:val="6A897560"/>
    <w:rsid w:val="6AA65E92"/>
    <w:rsid w:val="6B0D6BD7"/>
    <w:rsid w:val="6B466676"/>
    <w:rsid w:val="6B4D2FF0"/>
    <w:rsid w:val="6BB30E27"/>
    <w:rsid w:val="6C19430D"/>
    <w:rsid w:val="6CB66AB5"/>
    <w:rsid w:val="6CFA09D4"/>
    <w:rsid w:val="6D805E1E"/>
    <w:rsid w:val="6D857408"/>
    <w:rsid w:val="6D8740DC"/>
    <w:rsid w:val="6D8A376E"/>
    <w:rsid w:val="6D8C0835"/>
    <w:rsid w:val="6E192D6A"/>
    <w:rsid w:val="6E5371E2"/>
    <w:rsid w:val="6E8C6F75"/>
    <w:rsid w:val="6EBC1EDA"/>
    <w:rsid w:val="6EF4534F"/>
    <w:rsid w:val="6F4E5336"/>
    <w:rsid w:val="6F7536A3"/>
    <w:rsid w:val="70202F8D"/>
    <w:rsid w:val="70AB6AFA"/>
    <w:rsid w:val="70CD2A5C"/>
    <w:rsid w:val="70FD22D9"/>
    <w:rsid w:val="71636660"/>
    <w:rsid w:val="71D423E7"/>
    <w:rsid w:val="722544E6"/>
    <w:rsid w:val="722A2C9A"/>
    <w:rsid w:val="72323FC1"/>
    <w:rsid w:val="726E45C9"/>
    <w:rsid w:val="72AC0639"/>
    <w:rsid w:val="72CA0B29"/>
    <w:rsid w:val="72D24CDE"/>
    <w:rsid w:val="72F25F27"/>
    <w:rsid w:val="733B329A"/>
    <w:rsid w:val="73535412"/>
    <w:rsid w:val="735C5471"/>
    <w:rsid w:val="73614945"/>
    <w:rsid w:val="73A812E6"/>
    <w:rsid w:val="73E328AF"/>
    <w:rsid w:val="750D146C"/>
    <w:rsid w:val="7553798F"/>
    <w:rsid w:val="75653567"/>
    <w:rsid w:val="75D760F2"/>
    <w:rsid w:val="75FC7D87"/>
    <w:rsid w:val="760F70F6"/>
    <w:rsid w:val="76466E3A"/>
    <w:rsid w:val="764B292B"/>
    <w:rsid w:val="764D2910"/>
    <w:rsid w:val="766E4336"/>
    <w:rsid w:val="76723ED8"/>
    <w:rsid w:val="76B612C5"/>
    <w:rsid w:val="76DA23A7"/>
    <w:rsid w:val="76DB533A"/>
    <w:rsid w:val="76F44F6E"/>
    <w:rsid w:val="78297E13"/>
    <w:rsid w:val="78BA489F"/>
    <w:rsid w:val="78DD6B67"/>
    <w:rsid w:val="78DE4717"/>
    <w:rsid w:val="7A354410"/>
    <w:rsid w:val="7A39416E"/>
    <w:rsid w:val="7A4D7C58"/>
    <w:rsid w:val="7A99460D"/>
    <w:rsid w:val="7AB75327"/>
    <w:rsid w:val="7B4A6407"/>
    <w:rsid w:val="7B4C3B41"/>
    <w:rsid w:val="7B930B0E"/>
    <w:rsid w:val="7C4571B9"/>
    <w:rsid w:val="7C5465C7"/>
    <w:rsid w:val="7C55146B"/>
    <w:rsid w:val="7D074257"/>
    <w:rsid w:val="7D37747A"/>
    <w:rsid w:val="7D7F22E2"/>
    <w:rsid w:val="7DF5442B"/>
    <w:rsid w:val="7E4126F6"/>
    <w:rsid w:val="7E5213EE"/>
    <w:rsid w:val="7F220FED"/>
    <w:rsid w:val="7FA52B5D"/>
    <w:rsid w:val="7FB2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箭头连接符 21"/>
        <o:r id="V:Rule2" type="connector" idref="#直接箭头连接符 22"/>
        <o:r id="V:Rule3"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2">
    <w:name w:val="heading 5"/>
    <w:basedOn w:val="1"/>
    <w:next w:val="1"/>
    <w:qFormat/>
    <w:uiPriority w:val="9"/>
    <w:pPr>
      <w:keepNext/>
      <w:keepLines/>
      <w:ind w:left="851" w:hanging="851"/>
      <w:outlineLvl w:val="4"/>
    </w:pPr>
    <w:rPr>
      <w:b/>
      <w:bCs/>
      <w:szCs w:val="28"/>
    </w:rPr>
  </w:style>
  <w:style w:type="character" w:default="1" w:styleId="18">
    <w:name w:val="Default Paragraph Font"/>
    <w:link w:val="19"/>
    <w:semiHidden/>
    <w:unhideWhenUsed/>
    <w:qFormat/>
    <w:uiPriority w:val="1"/>
    <w:rPr>
      <w:rFonts w:ascii="Verdana" w:hAnsi="Verdana" w:eastAsia="仿宋_GB2312"/>
      <w:kern w:val="0"/>
      <w:sz w:val="24"/>
      <w:szCs w:val="20"/>
      <w:lang w:eastAsia="en-US"/>
    </w:rPr>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Body Text"/>
    <w:basedOn w:val="1"/>
    <w:next w:val="8"/>
    <w:unhideWhenUsed/>
    <w:qFormat/>
    <w:uiPriority w:val="99"/>
    <w:pPr>
      <w:jc w:val="center"/>
    </w:pPr>
    <w:rPr>
      <w:rFonts w:ascii="方正大标宋简体" w:hAnsi="宋体" w:eastAsia="方正大标宋简体"/>
      <w:sz w:val="36"/>
      <w:szCs w:val="36"/>
    </w:rPr>
  </w:style>
  <w:style w:type="paragraph" w:styleId="8">
    <w:name w:val="toc 5"/>
    <w:basedOn w:val="1"/>
    <w:next w:val="1"/>
    <w:unhideWhenUsed/>
    <w:qFormat/>
    <w:uiPriority w:val="39"/>
    <w:pPr>
      <w:ind w:left="1680" w:leftChars="800"/>
    </w:pPr>
  </w:style>
  <w:style w:type="paragraph" w:styleId="9">
    <w:name w:val="Plain Text"/>
    <w:basedOn w:val="1"/>
    <w:link w:val="34"/>
    <w:qFormat/>
    <w:uiPriority w:val="0"/>
    <w:rPr>
      <w:rFonts w:ascii="宋体" w:hAnsi="Courier New" w:eastAsia="宋体" w:cs="Courier New"/>
      <w:szCs w:val="21"/>
    </w:rPr>
  </w:style>
  <w:style w:type="paragraph" w:styleId="10">
    <w:name w:val="Date"/>
    <w:basedOn w:val="1"/>
    <w:next w:val="1"/>
    <w:link w:val="32"/>
    <w:qFormat/>
    <w:uiPriority w:val="0"/>
    <w:pPr>
      <w:ind w:left="100" w:leftChars="2500"/>
    </w:pPr>
  </w:style>
  <w:style w:type="paragraph" w:styleId="11">
    <w:name w:val="footer"/>
    <w:basedOn w:val="1"/>
    <w:link w:val="38"/>
    <w:qFormat/>
    <w:uiPriority w:val="99"/>
    <w:pPr>
      <w:tabs>
        <w:tab w:val="center" w:pos="4153"/>
        <w:tab w:val="right" w:pos="8306"/>
      </w:tabs>
      <w:snapToGrid w:val="0"/>
      <w:jc w:val="left"/>
    </w:pPr>
    <w:rPr>
      <w:sz w:val="18"/>
    </w:rPr>
  </w:style>
  <w:style w:type="paragraph" w:styleId="12">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qFormat/>
    <w:uiPriority w:val="0"/>
    <w:pPr>
      <w:snapToGrid w:val="0"/>
      <w:spacing w:line="540" w:lineRule="exact"/>
    </w:pPr>
    <w:rPr>
      <w:rFonts w:eastAsia="方正仿宋_GBK"/>
      <w:color w:val="000000"/>
    </w:rPr>
  </w:style>
  <w:style w:type="paragraph" w:styleId="14">
    <w:name w:val="Normal (Web)"/>
    <w:basedOn w:val="1"/>
    <w:unhideWhenUsed/>
    <w:qFormat/>
    <w:uiPriority w:val="99"/>
    <w:pPr>
      <w:jc w:val="left"/>
    </w:pPr>
    <w:rPr>
      <w:rFonts w:ascii="Times New Roman" w:hAnsi="Times New Roman" w:eastAsia="方正仿宋_GBK" w:cs="Times New Roman"/>
      <w:kern w:val="0"/>
      <w:sz w:val="18"/>
      <w:szCs w:val="18"/>
    </w:rPr>
  </w:style>
  <w:style w:type="paragraph" w:styleId="15">
    <w:name w:val="Title"/>
    <w:basedOn w:val="1"/>
    <w:next w:val="1"/>
    <w:qFormat/>
    <w:uiPriority w:val="10"/>
    <w:pPr>
      <w:spacing w:before="240" w:after="60"/>
      <w:jc w:val="center"/>
      <w:outlineLvl w:val="0"/>
    </w:pPr>
    <w:rPr>
      <w:rFonts w:ascii="Cambria" w:hAnsi="Cambria" w:cs="Times New Roman"/>
      <w:b/>
      <w:bCs/>
      <w:sz w:val="32"/>
      <w:szCs w:val="32"/>
    </w:rPr>
  </w:style>
  <w:style w:type="table" w:styleId="17">
    <w:name w:val="Table Grid"/>
    <w:basedOn w:val="1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 Char"/>
    <w:basedOn w:val="1"/>
    <w:link w:val="18"/>
    <w:qFormat/>
    <w:uiPriority w:val="0"/>
    <w:pPr>
      <w:widowControl/>
      <w:spacing w:after="160" w:line="240" w:lineRule="exact"/>
      <w:jc w:val="left"/>
    </w:pPr>
    <w:rPr>
      <w:rFonts w:ascii="Verdana" w:hAnsi="Verdana" w:eastAsia="仿宋_GB2312"/>
      <w:kern w:val="0"/>
      <w:sz w:val="24"/>
      <w:szCs w:val="20"/>
      <w:lang w:eastAsia="en-US"/>
    </w:rPr>
  </w:style>
  <w:style w:type="character" w:styleId="20">
    <w:name w:val="Strong"/>
    <w:qFormat/>
    <w:uiPriority w:val="0"/>
    <w:rPr>
      <w:b/>
      <w:bCs/>
    </w:rPr>
  </w:style>
  <w:style w:type="character" w:styleId="21">
    <w:name w:val="page number"/>
    <w:basedOn w:val="18"/>
    <w:qFormat/>
    <w:uiPriority w:val="0"/>
  </w:style>
  <w:style w:type="character" w:styleId="22">
    <w:name w:val="FollowedHyperlink"/>
    <w:unhideWhenUsed/>
    <w:qFormat/>
    <w:uiPriority w:val="99"/>
    <w:rPr>
      <w:color w:val="000000"/>
      <w:u w:val="none"/>
    </w:rPr>
  </w:style>
  <w:style w:type="character" w:styleId="23">
    <w:name w:val="Emphasis"/>
    <w:qFormat/>
    <w:uiPriority w:val="0"/>
    <w:rPr>
      <w:i/>
      <w:iCs/>
    </w:rPr>
  </w:style>
  <w:style w:type="character" w:styleId="24">
    <w:name w:val="HTML Definition"/>
    <w:basedOn w:val="18"/>
    <w:qFormat/>
    <w:uiPriority w:val="0"/>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unhideWhenUsed/>
    <w:qFormat/>
    <w:uiPriority w:val="99"/>
    <w:rPr>
      <w:color w:val="000000"/>
      <w:u w:val="none"/>
    </w:rPr>
  </w:style>
  <w:style w:type="character" w:styleId="28">
    <w:name w:val="HTML Code"/>
    <w:basedOn w:val="18"/>
    <w:qFormat/>
    <w:uiPriority w:val="0"/>
    <w:rPr>
      <w:rFonts w:hint="eastAsia" w:ascii="微软雅黑" w:hAnsi="微软雅黑" w:eastAsia="微软雅黑" w:cs="微软雅黑"/>
      <w:color w:val="333333"/>
      <w:sz w:val="21"/>
      <w:szCs w:val="21"/>
    </w:rPr>
  </w:style>
  <w:style w:type="character" w:styleId="29">
    <w:name w:val="HTML Cite"/>
    <w:basedOn w:val="18"/>
    <w:qFormat/>
    <w:uiPriority w:val="0"/>
  </w:style>
  <w:style w:type="paragraph" w:customStyle="1" w:styleId="30">
    <w:name w:val="无间隔1"/>
    <w:qFormat/>
    <w:uiPriority w:val="1"/>
    <w:pPr>
      <w:jc w:val="both"/>
    </w:pPr>
    <w:rPr>
      <w:rFonts w:ascii="Times New Roman" w:hAnsi="Times New Roman" w:eastAsia="Times New Roman" w:cs="Times New Roman"/>
      <w:sz w:val="21"/>
      <w:szCs w:val="22"/>
      <w:lang w:val="en-US" w:eastAsia="zh-CN" w:bidi="ar-SA"/>
    </w:rPr>
  </w:style>
  <w:style w:type="paragraph" w:customStyle="1" w:styleId="31">
    <w:name w:val="普通(网站)1"/>
    <w:basedOn w:val="1"/>
    <w:qFormat/>
    <w:uiPriority w:val="0"/>
    <w:rPr>
      <w:sz w:val="24"/>
      <w:szCs w:val="22"/>
    </w:rPr>
  </w:style>
  <w:style w:type="character" w:customStyle="1" w:styleId="32">
    <w:name w:val="日期 Char"/>
    <w:basedOn w:val="18"/>
    <w:link w:val="10"/>
    <w:qFormat/>
    <w:uiPriority w:val="0"/>
    <w:rPr>
      <w:rFonts w:asciiTheme="minorHAnsi" w:hAnsiTheme="minorHAnsi" w:eastAsiaTheme="minorEastAsia" w:cstheme="minorBidi"/>
      <w:kern w:val="2"/>
      <w:sz w:val="21"/>
      <w:szCs w:val="24"/>
    </w:rPr>
  </w:style>
  <w:style w:type="paragraph" w:styleId="33">
    <w:name w:val="List Paragraph"/>
    <w:basedOn w:val="1"/>
    <w:qFormat/>
    <w:uiPriority w:val="34"/>
    <w:pPr>
      <w:ind w:firstLine="420" w:firstLineChars="200"/>
    </w:pPr>
    <w:rPr>
      <w:szCs w:val="22"/>
    </w:rPr>
  </w:style>
  <w:style w:type="character" w:customStyle="1" w:styleId="34">
    <w:name w:val="纯文本 Char"/>
    <w:basedOn w:val="18"/>
    <w:link w:val="9"/>
    <w:qFormat/>
    <w:uiPriority w:val="0"/>
    <w:rPr>
      <w:rFonts w:ascii="宋体" w:hAnsi="Courier New" w:cs="Courier New"/>
      <w:kern w:val="2"/>
      <w:sz w:val="21"/>
      <w:szCs w:val="21"/>
    </w:rPr>
  </w:style>
  <w:style w:type="character" w:customStyle="1" w:styleId="35">
    <w:name w:val="标题 1 Char"/>
    <w:basedOn w:val="18"/>
    <w:link w:val="3"/>
    <w:qFormat/>
    <w:uiPriority w:val="0"/>
    <w:rPr>
      <w:rFonts w:ascii="宋体" w:hAnsi="宋体" w:cs="宋体"/>
      <w:b/>
      <w:bCs/>
      <w:kern w:val="36"/>
      <w:sz w:val="48"/>
      <w:szCs w:val="48"/>
    </w:rPr>
  </w:style>
  <w:style w:type="paragraph" w:customStyle="1" w:styleId="36">
    <w:name w:val="标准标题"/>
    <w:next w:val="1"/>
    <w:link w:val="37"/>
    <w:qFormat/>
    <w:uiPriority w:val="99"/>
    <w:pPr>
      <w:spacing w:line="700" w:lineRule="exact"/>
      <w:jc w:val="center"/>
    </w:pPr>
    <w:rPr>
      <w:rFonts w:ascii="方正小标宋_GBK" w:hAnsi="Cambria" w:eastAsia="方正小标宋_GBK" w:cs="Times New Roman"/>
      <w:bCs/>
      <w:kern w:val="2"/>
      <w:sz w:val="44"/>
      <w:szCs w:val="44"/>
      <w:lang w:val="en-US" w:eastAsia="zh-CN" w:bidi="ar-SA"/>
    </w:rPr>
  </w:style>
  <w:style w:type="character" w:customStyle="1" w:styleId="37">
    <w:name w:val="标准标题 Char"/>
    <w:basedOn w:val="18"/>
    <w:link w:val="36"/>
    <w:qFormat/>
    <w:uiPriority w:val="99"/>
    <w:rPr>
      <w:rFonts w:ascii="方正小标宋_GBK" w:hAnsi="Cambria" w:eastAsia="方正小标宋_GBK"/>
      <w:bCs/>
      <w:kern w:val="2"/>
      <w:sz w:val="44"/>
      <w:szCs w:val="44"/>
    </w:rPr>
  </w:style>
  <w:style w:type="character" w:customStyle="1" w:styleId="38">
    <w:name w:val="页脚 Char"/>
    <w:basedOn w:val="18"/>
    <w:link w:val="11"/>
    <w:qFormat/>
    <w:uiPriority w:val="99"/>
    <w:rPr>
      <w:rFonts w:asciiTheme="minorHAnsi" w:hAnsiTheme="minorHAnsi" w:eastAsiaTheme="minorEastAsia" w:cstheme="minorBidi"/>
      <w:kern w:val="2"/>
      <w:sz w:val="18"/>
      <w:szCs w:val="24"/>
    </w:rPr>
  </w:style>
  <w:style w:type="character" w:customStyle="1" w:styleId="39">
    <w:name w:val="页眉 Char"/>
    <w:basedOn w:val="18"/>
    <w:link w:val="12"/>
    <w:qFormat/>
    <w:uiPriority w:val="0"/>
    <w:rPr>
      <w:rFonts w:asciiTheme="minorHAnsi" w:hAnsiTheme="minorHAnsi" w:eastAsiaTheme="minorEastAsia" w:cstheme="minorBidi"/>
      <w:kern w:val="2"/>
      <w:sz w:val="18"/>
      <w:szCs w:val="24"/>
    </w:rPr>
  </w:style>
  <w:style w:type="character" w:customStyle="1" w:styleId="40">
    <w:name w:val="font51"/>
    <w:basedOn w:val="18"/>
    <w:qFormat/>
    <w:uiPriority w:val="0"/>
    <w:rPr>
      <w:rFonts w:hint="eastAsia" w:ascii="宋体" w:hAnsi="宋体" w:eastAsia="宋体" w:cs="宋体"/>
      <w:color w:val="000000"/>
      <w:sz w:val="24"/>
      <w:szCs w:val="24"/>
      <w:u w:val="none"/>
    </w:rPr>
  </w:style>
  <w:style w:type="character" w:customStyle="1" w:styleId="41">
    <w:name w:val="r"/>
    <w:basedOn w:val="18"/>
    <w:qFormat/>
    <w:uiPriority w:val="0"/>
  </w:style>
  <w:style w:type="character" w:customStyle="1" w:styleId="42">
    <w:name w:val="sp1"/>
    <w:basedOn w:val="18"/>
    <w:qFormat/>
    <w:uiPriority w:val="0"/>
  </w:style>
  <w:style w:type="character" w:customStyle="1" w:styleId="43">
    <w:name w:val="l"/>
    <w:basedOn w:val="18"/>
    <w:qFormat/>
    <w:uiPriority w:val="0"/>
  </w:style>
  <w:style w:type="character" w:customStyle="1" w:styleId="44">
    <w:name w:val="r1"/>
    <w:basedOn w:val="18"/>
    <w:qFormat/>
    <w:uiPriority w:val="0"/>
  </w:style>
  <w:style w:type="character" w:customStyle="1" w:styleId="45">
    <w:name w:val="l1"/>
    <w:basedOn w:val="18"/>
    <w:qFormat/>
    <w:uiPriority w:val="0"/>
  </w:style>
  <w:style w:type="character" w:customStyle="1" w:styleId="46">
    <w:name w:val="sp3"/>
    <w:basedOn w:val="18"/>
    <w:qFormat/>
    <w:uiPriority w:val="0"/>
  </w:style>
  <w:style w:type="character" w:customStyle="1" w:styleId="47">
    <w:name w:val="sp2"/>
    <w:basedOn w:val="18"/>
    <w:qFormat/>
    <w:uiPriority w:val="0"/>
  </w:style>
  <w:style w:type="character" w:customStyle="1" w:styleId="48">
    <w:name w:val="btn4"/>
    <w:basedOn w:val="18"/>
    <w:qFormat/>
    <w:uiPriority w:val="0"/>
  </w:style>
  <w:style w:type="paragraph" w:customStyle="1" w:styleId="4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50">
    <w:name w:val="列出段落1"/>
    <w:qFormat/>
    <w:uiPriority w:val="0"/>
    <w:pPr>
      <w:ind w:firstLine="420" w:firstLineChars="200"/>
    </w:pPr>
    <w:rPr>
      <w:rFonts w:ascii="Times New Roman" w:hAnsi="Times New Roman" w:eastAsia="宋体" w:cs="Calibri"/>
      <w:sz w:val="21"/>
      <w:szCs w:val="22"/>
      <w:lang w:val="en-US" w:eastAsia="zh-CN" w:bidi="ar-SA"/>
    </w:rPr>
  </w:style>
  <w:style w:type="paragraph" w:customStyle="1" w:styleId="51">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52">
    <w:name w:val="NormalCharacter"/>
    <w:semiHidden/>
    <w:qFormat/>
    <w:uiPriority w:val="0"/>
    <w:rPr>
      <w:rFonts w:ascii="Calibri" w:hAnsi="Calibri" w:eastAsia="宋体" w:cs="Times New Roman"/>
      <w:kern w:val="2"/>
      <w:sz w:val="28"/>
      <w:szCs w:val="24"/>
      <w:lang w:val="en-US" w:eastAsia="zh-CN" w:bidi="ar-SA"/>
    </w:rPr>
  </w:style>
  <w:style w:type="paragraph" w:customStyle="1" w:styleId="53">
    <w:name w:val="BodyText"/>
    <w:basedOn w:val="1"/>
    <w:qFormat/>
    <w:uiPriority w:val="0"/>
    <w:pPr>
      <w:spacing w:after="120" w:line="240" w:lineRule="auto"/>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3" textRotate="1"/>
    <customShpInfo spid="_x0000_s2055"/>
    <customShpInfo spid="_x0000_s2051"/>
    <customShpInfo spid="_x0000_s2052"/>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94473-DCAB-47B4-8BD7-B612F90E70F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78</Words>
  <Characters>445</Characters>
  <Lines>3</Lines>
  <Paragraphs>1</Paragraphs>
  <TotalTime>0</TotalTime>
  <ScaleCrop>false</ScaleCrop>
  <LinksUpToDate>false</LinksUpToDate>
  <CharactersWithSpaces>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2021-02-01T07:50:00Z</cp:lastPrinted>
  <dcterms:modified xsi:type="dcterms:W3CDTF">2022-03-25T06:14:19Z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