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jc w:val="center"/>
        <w:rPr>
          <w:rFonts w:hint="eastAsia" w:ascii="Times New Roman" w:hAnsi="Times New Roman" w:eastAsia="方正小标宋_GBK"/>
          <w:sz w:val="44"/>
          <w:szCs w:val="44"/>
        </w:rPr>
      </w:pPr>
      <w:bookmarkStart w:id="0" w:name="_GoBack"/>
      <w:bookmarkEnd w:id="0"/>
      <w:r>
        <w:rPr>
          <w:rFonts w:hint="eastAsia" w:ascii="Times New Roman" w:hAnsi="Times New Roman" w:eastAsia="方正小标宋_GBK"/>
          <w:sz w:val="44"/>
          <w:szCs w:val="44"/>
        </w:rPr>
        <w:t>重庆市渝北区水利行政执法支队</w:t>
      </w:r>
    </w:p>
    <w:p>
      <w:pPr>
        <w:spacing w:line="560" w:lineRule="exact"/>
        <w:ind w:firstLine="1100" w:firstLineChars="250"/>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2022年度部门决算情况说明</w:t>
      </w:r>
    </w:p>
    <w:p>
      <w:pPr>
        <w:pStyle w:val="16"/>
        <w:tabs>
          <w:tab w:val="center" w:pos="4153"/>
          <w:tab w:val="left" w:pos="7275"/>
        </w:tabs>
        <w:spacing w:line="560" w:lineRule="exact"/>
        <w:ind w:firstLine="640"/>
        <w:rPr>
          <w:rFonts w:hint="eastAsia" w:ascii="Times New Roman" w:hAnsi="Times New Roman" w:eastAsia="方正黑体_GBK"/>
          <w:sz w:val="32"/>
          <w:szCs w:val="32"/>
        </w:rPr>
      </w:pPr>
    </w:p>
    <w:p>
      <w:pPr>
        <w:pStyle w:val="16"/>
        <w:tabs>
          <w:tab w:val="center" w:pos="4153"/>
          <w:tab w:val="left" w:pos="7275"/>
        </w:tabs>
        <w:spacing w:line="56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（一）职能职责</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根据《中共重庆市渝北区委机构编制委员会关于重庆市渝北区水利行政执法支队机构编制事项的通知》（渝北委编[2020]11号）精神，我队职能职责是以区水利局名义执法，统一行使水利领域的行政处罚权及与之相关的行政检查、行政强制权等执法职能，具体包括：</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1、承担全区水利综合行政执法的组织、指导、协调和监督。组织开展有关专项执法、交叉执法、异地执法。贯彻执行水利综合行政执法工作制度、执法标准规范。</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2、承担河道管理、水旱灾害防御等领域的执法和监督检查。</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3、承担水土保持、水文、水资源管理等领域的执法和监督检查。</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4、承担水利工程、大中型水库移民等领域的执法和监督检查。</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5、承担法律法规规章授权给区水利工作部门的其他行政执法职能。</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6、指导镇（街道）水利综合行政执法工作。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7、承担水利综合行政执法有关信访投诉、举报受理和纠纷调解工作。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8、承担与水利综合行政执法有关的应急工作。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9、完成区委、区政府和区水利局交办的其他任务。</w:t>
      </w:r>
    </w:p>
    <w:p>
      <w:pPr>
        <w:spacing w:line="560" w:lineRule="exac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w:t>
      </w:r>
      <w:r>
        <w:rPr>
          <w:rFonts w:hint="eastAsia" w:ascii="方正楷体_GBK" w:hAnsi="方正楷体_GBK" w:eastAsia="方正楷体_GBK" w:cs="方正楷体_GBK"/>
          <w:snapToGrid w:val="0"/>
          <w:kern w:val="32"/>
          <w:sz w:val="32"/>
          <w:szCs w:val="32"/>
        </w:rPr>
        <w:t>（二）机构设置</w:t>
      </w:r>
    </w:p>
    <w:p>
      <w:pPr>
        <w:spacing w:line="600" w:lineRule="exact"/>
        <w:ind w:firstLine="640" w:firstLineChars="200"/>
        <w:rPr>
          <w:rFonts w:hint="eastAsia" w:ascii="方正黑体_GBK" w:hAnsi="黑体" w:eastAsia="方正黑体_GBK" w:cs="仿宋_GB2312"/>
          <w:sz w:val="32"/>
        </w:rPr>
      </w:pPr>
      <w:r>
        <w:rPr>
          <w:rFonts w:hint="eastAsia" w:ascii="Times New Roman" w:hAnsi="Times New Roman" w:eastAsia="方正仿宋_GBK" w:cs="宋体"/>
          <w:kern w:val="0"/>
          <w:sz w:val="32"/>
          <w:szCs w:val="32"/>
        </w:rPr>
        <w:t> </w:t>
      </w:r>
      <w:r>
        <w:rPr>
          <w:rFonts w:hint="eastAsia" w:ascii="方正仿宋_GBK" w:hAnsi="仿宋_GB2312" w:eastAsia="方正仿宋_GBK" w:cs="仿宋_GB2312"/>
          <w:sz w:val="32"/>
        </w:rPr>
        <w:t>我队是渝北区水利局所属二级预算单位，没有内设机构。</w:t>
      </w:r>
    </w:p>
    <w:p>
      <w:pPr>
        <w:pStyle w:val="16"/>
        <w:tabs>
          <w:tab w:val="center" w:pos="4153"/>
          <w:tab w:val="left" w:pos="7275"/>
        </w:tabs>
        <w:spacing w:line="56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 二、部门决算情况说明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（一）收入支出决算总体情况说明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w:t>
      </w:r>
      <w:r>
        <w:rPr>
          <w:rFonts w:hint="eastAsia" w:ascii="方正仿宋_GBK" w:hAnsi="仿宋_GB2312" w:eastAsia="方正仿宋_GBK" w:cs="仿宋_GB2312"/>
          <w:b/>
          <w:bCs/>
          <w:sz w:val="32"/>
        </w:rPr>
        <w:t>1.总体情况。</w:t>
      </w:r>
      <w:r>
        <w:rPr>
          <w:rFonts w:hint="eastAsia" w:ascii="方正仿宋_GBK" w:hAnsi="仿宋_GB2312" w:eastAsia="方正仿宋_GBK" w:cs="仿宋_GB2312"/>
          <w:sz w:val="32"/>
        </w:rPr>
        <w:t>2022年度收入总计318.58万元，支出总计318.58万元。收支较上年决算数增加25.15万元,增长8.6%，主要原因是2022年发放了2021年年终考核和健康休养费。</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w:t>
      </w:r>
      <w:r>
        <w:rPr>
          <w:rFonts w:hint="eastAsia" w:ascii="方正仿宋_GBK" w:hAnsi="仿宋_GB2312" w:eastAsia="方正仿宋_GBK" w:cs="仿宋_GB2312"/>
          <w:b/>
          <w:bCs/>
          <w:sz w:val="32"/>
        </w:rPr>
        <w:t>2.收入情况</w:t>
      </w:r>
      <w:r>
        <w:rPr>
          <w:rFonts w:hint="eastAsia" w:ascii="方正仿宋_GBK" w:hAnsi="仿宋_GB2312" w:eastAsia="方正仿宋_GBK" w:cs="仿宋_GB2312"/>
          <w:sz w:val="32"/>
        </w:rPr>
        <w:t>。2022年度收入合计318.58万元，较上年决算数增加25.15万元，增长8.6%，主要原因是2022年发放了2021年年终考核和健康休养费。其中：财政拨款收入318.58万元，占100.0%。</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w:t>
      </w:r>
      <w:r>
        <w:rPr>
          <w:rFonts w:hint="eastAsia" w:ascii="方正仿宋_GBK" w:hAnsi="仿宋_GB2312" w:eastAsia="方正仿宋_GBK" w:cs="仿宋_GB2312"/>
          <w:b/>
          <w:bCs/>
          <w:sz w:val="32"/>
        </w:rPr>
        <w:t>3.支出情况。</w:t>
      </w:r>
      <w:r>
        <w:rPr>
          <w:rFonts w:hint="eastAsia" w:ascii="方正仿宋_GBK" w:hAnsi="仿宋_GB2312" w:eastAsia="方正仿宋_GBK" w:cs="仿宋_GB2312"/>
          <w:sz w:val="32"/>
        </w:rPr>
        <w:t>2022年度支出合计318.58万元，较上年决算增加25.15万元，增长8.6%，主要原因是2022年发放了2021年年终考核和健康休养费。其中：基本支出275.67万元，占86.5%；项目支出42.91万元，占13.5%。</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w:t>
      </w:r>
      <w:r>
        <w:rPr>
          <w:rFonts w:hint="eastAsia" w:ascii="方正仿宋_GBK" w:hAnsi="仿宋_GB2312" w:eastAsia="方正仿宋_GBK" w:cs="仿宋_GB2312"/>
          <w:b/>
          <w:bCs/>
          <w:sz w:val="32"/>
        </w:rPr>
        <w:t>4.结转结余情况。</w:t>
      </w:r>
      <w:r>
        <w:rPr>
          <w:rFonts w:hint="eastAsia" w:ascii="方正仿宋_GBK" w:hAnsi="仿宋_GB2312" w:eastAsia="方正仿宋_GBK" w:cs="仿宋_GB2312"/>
          <w:sz w:val="32"/>
        </w:rPr>
        <w:t>2022年度年末结转和结余0.00万元，较上年决算数增加0.00万元，增长0.0%，主要原因是上年和本年我队均无结转结余情况。</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2022年度财政拨款收、支总计318.58万元，与2021年相比，财政拨款收、支总计各增加25.15万元，增长8.6%。主要原因是2022年发放了2021年年终考核和健康休养费。</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（三）一般公共预算财政拨款收入支出决算情况说明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w:t>
      </w:r>
      <w:r>
        <w:rPr>
          <w:rFonts w:hint="eastAsia" w:ascii="方正仿宋_GBK" w:hAnsi="仿宋_GB2312" w:eastAsia="方正仿宋_GBK" w:cs="仿宋_GB2312"/>
          <w:b/>
          <w:bCs/>
          <w:sz w:val="32"/>
        </w:rPr>
        <w:t>1.收入情况。</w:t>
      </w:r>
      <w:r>
        <w:rPr>
          <w:rFonts w:hint="eastAsia" w:ascii="方正仿宋_GBK" w:hAnsi="仿宋_GB2312" w:eastAsia="方正仿宋_GBK" w:cs="仿宋_GB2312"/>
          <w:sz w:val="32"/>
        </w:rPr>
        <w:t>2022年度一般公共预算财政拨款收入318.58万元，较上年决算数增加25.15万元，增长8.6%。主要原因是2022年发放了2021年年终考核和健康休养费。较年初预算数增加7.27万元，增长2.3%。主要原因是年初预算了在职人员年终目标考核和退休人员健康休养费，但未实际发放。此外，年初财政拨款结转和结余0.00万元。</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w:t>
      </w:r>
      <w:r>
        <w:rPr>
          <w:rFonts w:hint="eastAsia" w:ascii="方正仿宋_GBK" w:hAnsi="仿宋_GB2312" w:eastAsia="方正仿宋_GBK" w:cs="仿宋_GB2312"/>
          <w:b/>
          <w:bCs/>
          <w:sz w:val="32"/>
        </w:rPr>
        <w:t>2.支出情况。</w:t>
      </w:r>
      <w:r>
        <w:rPr>
          <w:rFonts w:hint="eastAsia" w:ascii="方正仿宋_GBK" w:hAnsi="仿宋_GB2312" w:eastAsia="方正仿宋_GBK" w:cs="仿宋_GB2312"/>
          <w:sz w:val="32"/>
        </w:rPr>
        <w:t>2022年度一般公共预算财政拨款支出318.58万元，较上年决算数增加25.15万元，增长8.6%。主要原因是2022年发放了2021年年终考核和健康休养费。较年初预算数增加7.27万元，增长2.3%。主要原因是年初预算了在职人员年终目标考核和退休人员健康休养费，但未实际发放。</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w:t>
      </w:r>
      <w:r>
        <w:rPr>
          <w:rFonts w:hint="eastAsia" w:ascii="方正仿宋_GBK" w:hAnsi="仿宋_GB2312" w:eastAsia="方正仿宋_GBK" w:cs="仿宋_GB2312"/>
          <w:b/>
          <w:bCs/>
          <w:sz w:val="32"/>
        </w:rPr>
        <w:t>3.结转结余情况。</w:t>
      </w:r>
      <w:r>
        <w:rPr>
          <w:rFonts w:hint="eastAsia" w:ascii="方正仿宋_GBK" w:hAnsi="仿宋_GB2312" w:eastAsia="方正仿宋_GBK" w:cs="仿宋_GB2312"/>
          <w:sz w:val="32"/>
        </w:rPr>
        <w:t>2022年度年末一般公共预算财政拨款结转和结余0.00万元，较上年决算数增加0.00万元，增长0.0%，主要原因是上年和本年我队均无结转结余情况。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w:t>
      </w:r>
      <w:r>
        <w:rPr>
          <w:rFonts w:hint="eastAsia" w:ascii="方正仿宋_GBK" w:hAnsi="仿宋_GB2312" w:eastAsia="方正仿宋_GBK" w:cs="仿宋_GB2312"/>
          <w:b/>
          <w:bCs/>
          <w:sz w:val="32"/>
        </w:rPr>
        <w:t>4.比较情况。</w:t>
      </w:r>
      <w:r>
        <w:rPr>
          <w:rFonts w:hint="eastAsia" w:ascii="方正仿宋_GBK" w:hAnsi="仿宋_GB2312" w:eastAsia="方正仿宋_GBK" w:cs="仿宋_GB2312"/>
          <w:sz w:val="32"/>
        </w:rPr>
        <w:t>本部门2022年度一般公共预算财政拨款支出主要用于以下几个方面：</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（1）社会保障与就业支出28.47万元，占8.9%，较年初预算数增加5.22万元，增长22.4%，主要原因是年初预算了退休人员健康休养费，但未实际发放。</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 （2）卫生健康支出11.52万元，占3.6%，较年初预算数增加1.63万元，增长16.5%，主要原因是工资参数约有变化。</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（3）农林水支出267.31万元，占83.9%，较年初预算数减少1.37万元，下降0.5%，主要原因是我局大力压减一般性支出。</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（4）住房保障支出11.28万元，占3.5%，较年初预算数增加1.81万元，增长19.1%，主要原因是年中追加了住房补贴预算。</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（四）一般公共预算财政拨款基本支出决算情况说明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2022年度一般公共预算财政拨款基本支出275.67万元。其中：人员经费191.43万元，较上年决算数增加18.76万元，增长10.9%，主要原因是2022年发放了2021年年终考核和健康休养费。人员经费用途主要包括基本工资、津贴补贴、奖金、绩效工资、机关事业单位基本养老保险缴费、职业年金缴费、职工基本医疗保险缴费、公务员医疗补助缴费、其他社会保障缴费、住房公积金、医疗费、生活补助、其他工资福利支出。公用经费84.24万元，较上年决算数增加6.48万元，增长8.3%，主要原因是我队加强了执法监督力度。公用经费用途主要包括办公费、印刷费、水费、电费、邮电费、物业管理费、差旅费、维修（护）费、工会经费、福利费、公务接待费、公务用车运行维护费、其他交通费、会议费、培训费、咨询费、劳务费、其他商品和服务支出。</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（五）政府性基金预算收支决算情况说明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本单位2022年度无政府性基金预算财政拨款收支。</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（六）国有资本经营预算财政拨款支出决算情况说明。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本单位2022年度无国有资本经营预算财政拨款支出。</w:t>
      </w:r>
    </w:p>
    <w:p>
      <w:pPr>
        <w:pStyle w:val="16"/>
        <w:tabs>
          <w:tab w:val="center" w:pos="4153"/>
          <w:tab w:val="left" w:pos="7275"/>
        </w:tabs>
        <w:spacing w:line="56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 三、“三公”经费情况说明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（一）“三公”经费支出总体情况说明。</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2022年度“三公”经费支出共计0.48万元，与年初预算数持平，主要原因是我队严格执行预算，坚持预算刚性约整，较上年支出数增加0.01万元，增长2.1%，与上年基本持平，主要原因是今年加大了执法监督力度导致费用有所增长，但未超年初预算。</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（二）“三公”经费分项支出情况。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2022年度本部门因公出国（境）费用0.00万元，主要是用于因公出国（境）支出。费用支出较年初预算数增加0.00万元，增长0.0%；较上年支出数增加0.00万元，增长0.0%，主要原因是上年及本年我队均未安排也未支出因公出国（境）费用。</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公务车购置费0.00万元，主要用于公务用车的购置。费用支出较年初预算数增加0.00万元，增长0.0%；较上年支出数增加0.00万元，增长0.0%，主要原因是上年及本年我队均未安排也未支出公务车购置费。</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 公务车运行维护费0.00万元，主要用于机要文件交换、市内因公出行、水行政执法等工作所需车辆的燃料费、维修费、过桥过路费、保险费等)。费用支出较年初预算数增加0.00万元，增长0.0%，较上年支出数增加0.00万元，增长0.0%，主要原因是上年及本年我队没有公务用车，均未安排也未支出公务车运行维护费。</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公务接待费0.48万元，主要用于接待其他区县</w:t>
      </w:r>
      <w:r>
        <w:rPr>
          <w:rFonts w:hint="eastAsia" w:ascii="方正仿宋_GBK" w:hAnsi="仿宋_GB2312" w:eastAsia="方正仿宋_GBK" w:cs="仿宋_GB2312"/>
          <w:sz w:val="32"/>
          <w:lang w:eastAsia="zh-CN"/>
        </w:rPr>
        <w:t>水行政执法</w:t>
      </w:r>
      <w:r>
        <w:rPr>
          <w:rFonts w:hint="eastAsia" w:ascii="方正仿宋_GBK" w:hAnsi="仿宋_GB2312" w:eastAsia="方正仿宋_GBK" w:cs="仿宋_GB2312"/>
          <w:sz w:val="32"/>
        </w:rPr>
        <w:t>部门到我队交流学习，接受相关部门检查指导工作发生的接待支出。费用支出较年初预算数减少0.00万元，下降0.0%，主要原因是我队严格执行预算，坚持预算刚性约整，较上年支出数增加0.01万元，增长2.1%，与上年基本持平，主要原因是今年加大了执法监督力度导致费用有所增长，但未超年初预算。</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（三）“三公”经费实物量情况。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2022年度本部门因公出国（境）共计0个团组，0人；公务用车购置0辆，公务车保有量为0辆；国内公务接待12批次 119人，其中：国内外事接待0批次，0人；国（境）外公务接待0批次，0人。2022年本部门人均接待费39.92元，车均购置费0.00万元，车均维护费0.00万元。</w:t>
      </w:r>
    </w:p>
    <w:p>
      <w:pPr>
        <w:pStyle w:val="16"/>
        <w:tabs>
          <w:tab w:val="center" w:pos="4153"/>
          <w:tab w:val="left" w:pos="7275"/>
        </w:tabs>
        <w:spacing w:line="56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 四、其他需要说明的事项</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（一）一般公共预算财政拨款会议费和培训费情况说明。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本年度会议费支出0.00万元，较上年决算数增加0.00万元，增长0.0%，主要原因是今年没有安排会议。本年度培训费支出0.60万元，较上年决算数增加0.60万元，增长0.0%，主要原因是上年没有安排培训，今年根据工作需要安排了必要培训。</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（二）机关运行经费情况说明。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2022年度本部门机关运行经费支出84.24万元，机关运行经费主要用于开支办公费、印刷费、咨询费、手续费、水费、电费、邮电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机关运行经费较上年决算数增加6.48万元，增长8.3%，主要原因是我队加强了执法监督力度。</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（三）国有资产占用情况说明。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截至2022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（四）政府采购支出情况说明。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2022年度我单位未发生政府采购事项，无相关支出。</w:t>
      </w:r>
    </w:p>
    <w:p>
      <w:pPr>
        <w:pStyle w:val="16"/>
        <w:tabs>
          <w:tab w:val="center" w:pos="4153"/>
          <w:tab w:val="left" w:pos="7275"/>
        </w:tabs>
        <w:spacing w:line="56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 五、预算绩效管理情况说明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（一）预算绩效管理工作开展情况。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根据预算绩效管理要求，我队对2个项目开展了绩效自评，其中，以填报自评表形式开展自评2项，涉及资金42.91万元；没有以委托第三方出具报告的方式开展绩效评价。</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（二）绩效自评结果。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1.绩效目标自评表。</w:t>
      </w:r>
    </w:p>
    <w:tbl>
      <w:tblPr>
        <w:tblStyle w:val="8"/>
        <w:tblpPr w:leftFromText="180" w:rightFromText="180" w:vertAnchor="text" w:horzAnchor="page" w:tblpX="1788" w:tblpY="599"/>
        <w:tblOverlap w:val="never"/>
        <w:tblW w:w="0" w:type="auto"/>
        <w:tblInd w:w="0" w:type="dxa"/>
        <w:tblLayout w:type="fixed"/>
        <w:tblCellMar>
          <w:top w:w="15" w:type="dxa"/>
          <w:left w:w="15" w:type="dxa"/>
          <w:bottom w:w="15" w:type="dxa"/>
          <w:right w:w="15" w:type="dxa"/>
        </w:tblCellMar>
      </w:tblPr>
      <w:tblGrid>
        <w:gridCol w:w="988"/>
        <w:gridCol w:w="176"/>
        <w:gridCol w:w="872"/>
        <w:gridCol w:w="293"/>
        <w:gridCol w:w="670"/>
        <w:gridCol w:w="52"/>
        <w:gridCol w:w="620"/>
        <w:gridCol w:w="648"/>
        <w:gridCol w:w="22"/>
        <w:gridCol w:w="672"/>
        <w:gridCol w:w="398"/>
        <w:gridCol w:w="272"/>
        <w:gridCol w:w="556"/>
        <w:gridCol w:w="116"/>
        <w:gridCol w:w="671"/>
        <w:gridCol w:w="29"/>
        <w:gridCol w:w="643"/>
        <w:gridCol w:w="671"/>
        <w:gridCol w:w="672"/>
      </w:tblGrid>
      <w:tr>
        <w:tblPrEx>
          <w:tblCellMar>
            <w:top w:w="15" w:type="dxa"/>
            <w:left w:w="15" w:type="dxa"/>
            <w:bottom w:w="15" w:type="dxa"/>
            <w:right w:w="15" w:type="dxa"/>
          </w:tblCellMar>
        </w:tblPrEx>
        <w:trPr>
          <w:trHeight w:val="795" w:hRule="atLeast"/>
        </w:trPr>
        <w:tc>
          <w:tcPr>
            <w:tcW w:w="9041"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编外聘用人员经费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50011222T000000068165</w:t>
            </w:r>
          </w:p>
        </w:tc>
        <w:tc>
          <w:tcPr>
            <w:tcW w:w="1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自评总分：</w:t>
            </w:r>
          </w:p>
        </w:tc>
        <w:tc>
          <w:tcPr>
            <w:tcW w:w="3630"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r>
              <w:rPr>
                <w:rFonts w:hint="eastAsia" w:ascii="宋体" w:hAnsi="宋体" w:cs="宋体"/>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kern w:val="0"/>
                <w:sz w:val="15"/>
                <w:szCs w:val="15"/>
                <w:lang w:bidi="ar"/>
              </w:rPr>
            </w:pPr>
            <w:r>
              <w:rPr>
                <w:rFonts w:hint="eastAsia" w:ascii="宋体" w:hAnsi="宋体" w:cs="宋体"/>
                <w:b/>
                <w:color w:val="000000"/>
                <w:kern w:val="0"/>
                <w:sz w:val="15"/>
                <w:szCs w:val="15"/>
                <w:lang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 w:val="15"/>
                <w:szCs w:val="15"/>
                <w:lang w:bidi="ar"/>
              </w:rPr>
            </w:pPr>
            <w:r>
              <w:rPr>
                <w:rFonts w:hint="eastAsia" w:ascii="宋体" w:hAnsi="宋体" w:cs="宋体"/>
                <w:b/>
                <w:color w:val="000000"/>
                <w:kern w:val="0"/>
                <w:sz w:val="15"/>
                <w:szCs w:val="15"/>
                <w:lang w:bidi="ar"/>
              </w:rPr>
              <w:t>　区水利局</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kern w:val="0"/>
                <w:sz w:val="15"/>
                <w:szCs w:val="15"/>
                <w:lang w:bidi="ar"/>
              </w:rPr>
            </w:pPr>
            <w:r>
              <w:rPr>
                <w:rFonts w:hint="eastAsia" w:ascii="宋体" w:hAnsi="宋体" w:cs="宋体"/>
                <w:b/>
                <w:color w:val="000000"/>
                <w:kern w:val="0"/>
                <w:sz w:val="15"/>
                <w:szCs w:val="15"/>
                <w:lang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 w:val="15"/>
                <w:szCs w:val="15"/>
                <w:lang w:bidi="ar"/>
              </w:rPr>
            </w:pPr>
            <w:r>
              <w:rPr>
                <w:rFonts w:hint="eastAsia" w:ascii="宋体" w:hAnsi="宋体" w:cs="宋体"/>
                <w:b/>
                <w:color w:val="000000"/>
                <w:kern w:val="0"/>
                <w:sz w:val="15"/>
                <w:szCs w:val="15"/>
                <w:lang w:bidi="ar"/>
              </w:rPr>
              <w:t>　农业农村科</w:t>
            </w:r>
          </w:p>
        </w:tc>
        <w:tc>
          <w:tcPr>
            <w:tcW w:w="1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kern w:val="0"/>
                <w:sz w:val="15"/>
                <w:szCs w:val="15"/>
                <w:lang w:bidi="ar"/>
              </w:rPr>
            </w:pPr>
            <w:r>
              <w:rPr>
                <w:rFonts w:hint="eastAsia" w:ascii="宋体" w:hAnsi="宋体" w:cs="宋体"/>
                <w:b/>
                <w:color w:val="000000"/>
                <w:kern w:val="0"/>
                <w:sz w:val="15"/>
                <w:szCs w:val="15"/>
                <w:lang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 w:val="15"/>
                <w:szCs w:val="15"/>
                <w:lang w:bidi="ar"/>
              </w:rPr>
            </w:pPr>
            <w:r>
              <w:rPr>
                <w:rFonts w:hint="eastAsia" w:ascii="宋体" w:hAnsi="宋体" w:cs="宋体"/>
                <w:b/>
                <w:color w:val="000000"/>
                <w:kern w:val="0"/>
                <w:sz w:val="15"/>
                <w:szCs w:val="15"/>
                <w:lang w:bidi="ar"/>
              </w:rPr>
              <w:t>徐中斌</w:t>
            </w:r>
          </w:p>
        </w:tc>
        <w:tc>
          <w:tcPr>
            <w:tcW w:w="8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sz w:val="15"/>
                <w:szCs w:val="15"/>
              </w:rPr>
            </w:pPr>
            <w:r>
              <w:rPr>
                <w:rFonts w:hint="eastAsia" w:ascii="宋体" w:hAnsi="宋体" w:cs="宋体"/>
                <w:b/>
                <w:color w:val="000000"/>
                <w:kern w:val="0"/>
                <w:sz w:val="15"/>
                <w:szCs w:val="15"/>
                <w:lang w:bidi="ar"/>
              </w:rPr>
              <w:t>67820525</w:t>
            </w:r>
          </w:p>
        </w:tc>
      </w:tr>
      <w:tr>
        <w:tblPrEx>
          <w:tblCellMar>
            <w:top w:w="15" w:type="dxa"/>
            <w:left w:w="15" w:type="dxa"/>
            <w:bottom w:w="15" w:type="dxa"/>
            <w:right w:w="15" w:type="dxa"/>
          </w:tblCellMar>
        </w:tblPrEx>
        <w:trPr>
          <w:trHeight w:val="477" w:hRule="atLeast"/>
        </w:trPr>
        <w:tc>
          <w:tcPr>
            <w:tcW w:w="9041"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808080"/>
                <w:sz w:val="15"/>
                <w:szCs w:val="15"/>
              </w:rPr>
            </w:pPr>
            <w:r>
              <w:rPr>
                <w:rFonts w:hint="eastAsia" w:ascii="微软雅黑" w:hAnsi="微软雅黑" w:eastAsia="微软雅黑" w:cs="微软雅黑"/>
                <w:b/>
                <w:color w:val="808080"/>
                <w:kern w:val="0"/>
                <w:sz w:val="15"/>
                <w:szCs w:val="15"/>
                <w:lang w:bidi="ar"/>
              </w:rPr>
              <w:t>资金情况</w:t>
            </w:r>
          </w:p>
        </w:tc>
      </w:tr>
      <w:tr>
        <w:tblPrEx>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15"/>
                <w:szCs w:val="15"/>
              </w:rPr>
            </w:pP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年初预算数</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全年（调整）预算数</w:t>
            </w:r>
          </w:p>
        </w:tc>
        <w:tc>
          <w:tcPr>
            <w:tcW w:w="13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全年执行数</w:t>
            </w:r>
          </w:p>
        </w:tc>
        <w:tc>
          <w:tcPr>
            <w:tcW w:w="13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执行率</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执行率权重</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5"/>
                <w:szCs w:val="15"/>
              </w:rPr>
            </w:pPr>
            <w:r>
              <w:rPr>
                <w:rFonts w:hint="eastAsia" w:ascii="宋体" w:hAnsi="宋体" w:cs="宋体"/>
                <w:b/>
                <w:color w:val="000000"/>
                <w:kern w:val="0"/>
                <w:sz w:val="15"/>
                <w:szCs w:val="15"/>
                <w:lang w:bidi="ar"/>
              </w:rPr>
              <w:t>执行率得分</w:t>
            </w:r>
          </w:p>
        </w:tc>
      </w:tr>
      <w:tr>
        <w:tblPrEx>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年度总金额</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100,000.00 </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100,000.00 </w:t>
            </w:r>
          </w:p>
        </w:tc>
        <w:tc>
          <w:tcPr>
            <w:tcW w:w="134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100,000.00 </w:t>
            </w:r>
          </w:p>
        </w:tc>
        <w:tc>
          <w:tcPr>
            <w:tcW w:w="134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其中：财政拨款</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100,000.00 </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100,000.00 </w:t>
            </w:r>
          </w:p>
        </w:tc>
        <w:tc>
          <w:tcPr>
            <w:tcW w:w="134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100,000.00 </w:t>
            </w:r>
          </w:p>
        </w:tc>
        <w:tc>
          <w:tcPr>
            <w:tcW w:w="1343"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sz w:val="15"/>
                <w:szCs w:val="15"/>
              </w:rPr>
            </w:pPr>
            <w:r>
              <w:rPr>
                <w:rFonts w:hint="eastAsia" w:ascii="宋体" w:hAnsi="宋体" w:cs="宋体"/>
                <w:color w:val="000000"/>
                <w:kern w:val="0"/>
                <w:sz w:val="15"/>
                <w:szCs w:val="15"/>
                <w:lang w:bidi="ar"/>
              </w:rPr>
              <w:t xml:space="preserve">10.00 </w:t>
            </w:r>
          </w:p>
        </w:tc>
      </w:tr>
      <w:tr>
        <w:tblPrEx>
          <w:tblCellMar>
            <w:top w:w="15" w:type="dxa"/>
            <w:left w:w="15" w:type="dxa"/>
            <w:bottom w:w="15" w:type="dxa"/>
            <w:right w:w="15" w:type="dxa"/>
          </w:tblCellMar>
        </w:tblPrEx>
        <w:trPr>
          <w:trHeight w:val="477" w:hRule="atLeast"/>
        </w:trPr>
        <w:tc>
          <w:tcPr>
            <w:tcW w:w="9041"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808080"/>
                <w:sz w:val="15"/>
                <w:szCs w:val="15"/>
              </w:rPr>
            </w:pPr>
            <w:r>
              <w:rPr>
                <w:rFonts w:hint="eastAsia" w:ascii="微软雅黑" w:hAnsi="微软雅黑" w:eastAsia="微软雅黑" w:cs="微软雅黑"/>
                <w:b/>
                <w:color w:val="808080"/>
                <w:kern w:val="0"/>
                <w:sz w:val="15"/>
                <w:szCs w:val="15"/>
                <w:lang w:bidi="ar"/>
              </w:rPr>
              <w:t>绩效目标</w:t>
            </w:r>
          </w:p>
        </w:tc>
      </w:tr>
      <w:tr>
        <w:tblPrEx>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年初绩效目标</w:t>
            </w:r>
          </w:p>
        </w:tc>
        <w:tc>
          <w:tcPr>
            <w:tcW w:w="268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全年（调整）绩效目标</w:t>
            </w:r>
          </w:p>
        </w:tc>
        <w:tc>
          <w:tcPr>
            <w:tcW w:w="268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全年目标实际完成情况</w:t>
            </w:r>
          </w:p>
        </w:tc>
      </w:tr>
      <w:tr>
        <w:tblPrEx>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cs="宋体"/>
                <w:color w:val="000000"/>
                <w:sz w:val="15"/>
                <w:szCs w:val="15"/>
              </w:rPr>
            </w:pPr>
            <w:r>
              <w:rPr>
                <w:rFonts w:hint="eastAsia" w:ascii="宋体" w:hAnsi="宋体" w:cs="宋体"/>
                <w:color w:val="000000"/>
                <w:kern w:val="0"/>
                <w:sz w:val="15"/>
                <w:szCs w:val="15"/>
                <w:lang w:bidi="ar"/>
              </w:rPr>
              <w:t>更好为群众提供服务，让人民群众有更多的获得感、幸福感。</w:t>
            </w:r>
          </w:p>
        </w:tc>
        <w:tc>
          <w:tcPr>
            <w:tcW w:w="2684" w:type="dxa"/>
            <w:gridSpan w:val="7"/>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sz w:val="15"/>
                <w:szCs w:val="15"/>
              </w:rPr>
            </w:pPr>
          </w:p>
        </w:tc>
        <w:tc>
          <w:tcPr>
            <w:tcW w:w="2686" w:type="dxa"/>
            <w:gridSpan w:val="5"/>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cs="宋体"/>
                <w:color w:val="000000"/>
                <w:sz w:val="15"/>
                <w:szCs w:val="15"/>
              </w:rPr>
            </w:pPr>
            <w:r>
              <w:rPr>
                <w:rFonts w:hint="eastAsia" w:ascii="宋体" w:hAnsi="宋体" w:cs="宋体"/>
                <w:color w:val="000000"/>
                <w:kern w:val="0"/>
                <w:sz w:val="15"/>
                <w:szCs w:val="15"/>
                <w:lang w:bidi="ar"/>
              </w:rPr>
              <w:t>更好为群众提供服务，让人民群众有更多的获得感、幸福感。</w:t>
            </w:r>
          </w:p>
        </w:tc>
      </w:tr>
      <w:tr>
        <w:tblPrEx>
          <w:tblCellMar>
            <w:top w:w="15" w:type="dxa"/>
            <w:left w:w="15" w:type="dxa"/>
            <w:bottom w:w="15" w:type="dxa"/>
            <w:right w:w="15" w:type="dxa"/>
          </w:tblCellMar>
        </w:tblPrEx>
        <w:trPr>
          <w:trHeight w:val="521" w:hRule="atLeast"/>
        </w:trPr>
        <w:tc>
          <w:tcPr>
            <w:tcW w:w="9041"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808080"/>
                <w:sz w:val="15"/>
                <w:szCs w:val="15"/>
              </w:rPr>
            </w:pPr>
            <w:r>
              <w:rPr>
                <w:rFonts w:hint="eastAsia" w:ascii="微软雅黑" w:hAnsi="微软雅黑" w:eastAsia="微软雅黑" w:cs="微软雅黑"/>
                <w:b/>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指标值</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偏离度（%）</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指标权重</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5"/>
                <w:szCs w:val="15"/>
              </w:rPr>
            </w:pPr>
            <w:r>
              <w:rPr>
                <w:rFonts w:hint="eastAsia" w:ascii="宋体" w:hAnsi="宋体" w:cs="宋体"/>
                <w:b/>
                <w:color w:val="000000"/>
                <w:kern w:val="0"/>
                <w:sz w:val="15"/>
                <w:szCs w:val="15"/>
                <w:lang w:bidi="ar"/>
              </w:rPr>
              <w:t>说明</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p>
        </w:tc>
      </w:tr>
      <w:tr>
        <w:tblPrEx>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聘用人数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人</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协助执法，更好为群众提供服务</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优</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服务对象满意度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未完成绩效目标或偏离较多的原因、改进措施及其他说明</w:t>
            </w:r>
          </w:p>
        </w:tc>
        <w:tc>
          <w:tcPr>
            <w:tcW w:w="7877" w:type="dxa"/>
            <w:gridSpan w:val="17"/>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795" w:hRule="atLeast"/>
        </w:trPr>
        <w:tc>
          <w:tcPr>
            <w:tcW w:w="9041"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lang w:bidi="ar"/>
              </w:rPr>
              <w:t>2022年度项目绩效自评表</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执法办案与勘察鉴定费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50011222T000000068368</w:t>
            </w:r>
          </w:p>
        </w:tc>
        <w:tc>
          <w:tcPr>
            <w:tcW w:w="1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自评总分：</w:t>
            </w:r>
          </w:p>
        </w:tc>
        <w:tc>
          <w:tcPr>
            <w:tcW w:w="3630"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r>
              <w:rPr>
                <w:rFonts w:hint="eastAsia" w:ascii="宋体" w:hAnsi="宋体" w:cs="宋体"/>
                <w:color w:val="000000"/>
                <w:kern w:val="0"/>
                <w:sz w:val="15"/>
                <w:szCs w:val="15"/>
                <w:lang w:bidi="ar"/>
              </w:rPr>
              <w:t>100.00</w:t>
            </w:r>
          </w:p>
        </w:tc>
      </w:tr>
      <w:tr>
        <w:tblPrEx>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kern w:val="0"/>
                <w:sz w:val="15"/>
                <w:szCs w:val="15"/>
                <w:lang w:bidi="ar"/>
              </w:rPr>
            </w:pPr>
            <w:r>
              <w:rPr>
                <w:rFonts w:hint="eastAsia" w:ascii="宋体" w:hAnsi="宋体" w:cs="宋体"/>
                <w:b/>
                <w:color w:val="000000"/>
                <w:kern w:val="0"/>
                <w:sz w:val="15"/>
                <w:szCs w:val="15"/>
                <w:lang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 w:val="15"/>
                <w:szCs w:val="15"/>
                <w:lang w:bidi="ar"/>
              </w:rPr>
            </w:pPr>
            <w:r>
              <w:rPr>
                <w:rFonts w:hint="eastAsia" w:ascii="宋体" w:hAnsi="宋体" w:cs="宋体"/>
                <w:b/>
                <w:color w:val="000000"/>
                <w:kern w:val="0"/>
                <w:sz w:val="15"/>
                <w:szCs w:val="15"/>
                <w:lang w:bidi="ar"/>
              </w:rPr>
              <w:t>　区水利局</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kern w:val="0"/>
                <w:sz w:val="15"/>
                <w:szCs w:val="15"/>
                <w:lang w:bidi="ar"/>
              </w:rPr>
            </w:pPr>
            <w:r>
              <w:rPr>
                <w:rFonts w:hint="eastAsia" w:ascii="宋体" w:hAnsi="宋体" w:cs="宋体"/>
                <w:b/>
                <w:color w:val="000000"/>
                <w:kern w:val="0"/>
                <w:sz w:val="15"/>
                <w:szCs w:val="15"/>
                <w:lang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 w:val="15"/>
                <w:szCs w:val="15"/>
                <w:lang w:bidi="ar"/>
              </w:rPr>
            </w:pPr>
            <w:r>
              <w:rPr>
                <w:rFonts w:hint="eastAsia" w:ascii="宋体" w:hAnsi="宋体" w:cs="宋体"/>
                <w:b/>
                <w:color w:val="000000"/>
                <w:kern w:val="0"/>
                <w:sz w:val="15"/>
                <w:szCs w:val="15"/>
                <w:lang w:bidi="ar"/>
              </w:rPr>
              <w:t>　农业农村科</w:t>
            </w:r>
          </w:p>
        </w:tc>
        <w:tc>
          <w:tcPr>
            <w:tcW w:w="1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kern w:val="0"/>
                <w:sz w:val="15"/>
                <w:szCs w:val="15"/>
                <w:lang w:bidi="ar"/>
              </w:rPr>
            </w:pPr>
            <w:r>
              <w:rPr>
                <w:rFonts w:hint="eastAsia" w:ascii="宋体" w:hAnsi="宋体" w:cs="宋体"/>
                <w:b/>
                <w:color w:val="000000"/>
                <w:kern w:val="0"/>
                <w:sz w:val="15"/>
                <w:szCs w:val="15"/>
                <w:lang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 w:val="15"/>
                <w:szCs w:val="15"/>
                <w:lang w:bidi="ar"/>
              </w:rPr>
            </w:pPr>
            <w:r>
              <w:rPr>
                <w:rFonts w:hint="eastAsia" w:ascii="宋体" w:hAnsi="宋体" w:cs="宋体"/>
                <w:b/>
                <w:color w:val="000000"/>
                <w:kern w:val="0"/>
                <w:sz w:val="15"/>
                <w:szCs w:val="15"/>
                <w:lang w:bidi="ar"/>
              </w:rPr>
              <w:t>徐中斌</w:t>
            </w:r>
          </w:p>
        </w:tc>
        <w:tc>
          <w:tcPr>
            <w:tcW w:w="8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sz w:val="15"/>
                <w:szCs w:val="15"/>
              </w:rPr>
            </w:pPr>
            <w:r>
              <w:rPr>
                <w:rFonts w:hint="eastAsia" w:ascii="宋体" w:hAnsi="宋体" w:cs="宋体"/>
                <w:b/>
                <w:color w:val="000000"/>
                <w:kern w:val="0"/>
                <w:sz w:val="15"/>
                <w:szCs w:val="15"/>
                <w:lang w:bidi="ar"/>
              </w:rPr>
              <w:t>67820525</w:t>
            </w:r>
          </w:p>
        </w:tc>
      </w:tr>
      <w:tr>
        <w:tblPrEx>
          <w:tblCellMar>
            <w:top w:w="15" w:type="dxa"/>
            <w:left w:w="15" w:type="dxa"/>
            <w:bottom w:w="15" w:type="dxa"/>
            <w:right w:w="15" w:type="dxa"/>
          </w:tblCellMar>
        </w:tblPrEx>
        <w:trPr>
          <w:trHeight w:val="477" w:hRule="atLeast"/>
        </w:trPr>
        <w:tc>
          <w:tcPr>
            <w:tcW w:w="9041"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808080"/>
                <w:sz w:val="15"/>
                <w:szCs w:val="15"/>
              </w:rPr>
            </w:pPr>
            <w:r>
              <w:rPr>
                <w:rFonts w:hint="eastAsia" w:ascii="微软雅黑" w:hAnsi="微软雅黑" w:eastAsia="微软雅黑" w:cs="微软雅黑"/>
                <w:b/>
                <w:color w:val="808080"/>
                <w:kern w:val="0"/>
                <w:sz w:val="15"/>
                <w:szCs w:val="15"/>
                <w:lang w:bidi="ar"/>
              </w:rPr>
              <w:t>资金情况</w:t>
            </w:r>
          </w:p>
        </w:tc>
      </w:tr>
      <w:tr>
        <w:tblPrEx>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15"/>
                <w:szCs w:val="15"/>
              </w:rPr>
            </w:pP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年初预算数</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全年（调整）预算数</w:t>
            </w:r>
          </w:p>
        </w:tc>
        <w:tc>
          <w:tcPr>
            <w:tcW w:w="13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全年执行数</w:t>
            </w:r>
          </w:p>
        </w:tc>
        <w:tc>
          <w:tcPr>
            <w:tcW w:w="13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执行率</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执行率权重</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5"/>
                <w:szCs w:val="15"/>
              </w:rPr>
            </w:pPr>
            <w:r>
              <w:rPr>
                <w:rFonts w:hint="eastAsia" w:ascii="宋体" w:hAnsi="宋体" w:cs="宋体"/>
                <w:b/>
                <w:color w:val="000000"/>
                <w:kern w:val="0"/>
                <w:sz w:val="15"/>
                <w:szCs w:val="15"/>
                <w:lang w:bidi="ar"/>
              </w:rPr>
              <w:t>执行率得分</w:t>
            </w:r>
          </w:p>
        </w:tc>
      </w:tr>
      <w:tr>
        <w:tblPrEx>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年度总金额</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330,000.00 </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329,124.30 </w:t>
            </w:r>
          </w:p>
        </w:tc>
        <w:tc>
          <w:tcPr>
            <w:tcW w:w="134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329,124.30 </w:t>
            </w:r>
          </w:p>
        </w:tc>
        <w:tc>
          <w:tcPr>
            <w:tcW w:w="134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其中：财政拨款</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330,000.00 </w:t>
            </w:r>
          </w:p>
        </w:tc>
        <w:tc>
          <w:tcPr>
            <w:tcW w:w="134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329,124.30 </w:t>
            </w:r>
          </w:p>
        </w:tc>
        <w:tc>
          <w:tcPr>
            <w:tcW w:w="134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329,124.30 </w:t>
            </w:r>
          </w:p>
        </w:tc>
        <w:tc>
          <w:tcPr>
            <w:tcW w:w="1343"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sz w:val="15"/>
                <w:szCs w:val="15"/>
              </w:rPr>
            </w:pPr>
            <w:r>
              <w:rPr>
                <w:rFonts w:hint="eastAsia" w:ascii="宋体" w:hAnsi="宋体" w:cs="宋体"/>
                <w:color w:val="000000"/>
                <w:kern w:val="0"/>
                <w:sz w:val="15"/>
                <w:szCs w:val="15"/>
                <w:lang w:bidi="ar"/>
              </w:rPr>
              <w:t xml:space="preserve">10.00 </w:t>
            </w:r>
          </w:p>
        </w:tc>
      </w:tr>
      <w:tr>
        <w:tblPrEx>
          <w:tblCellMar>
            <w:top w:w="15" w:type="dxa"/>
            <w:left w:w="15" w:type="dxa"/>
            <w:bottom w:w="15" w:type="dxa"/>
            <w:right w:w="15" w:type="dxa"/>
          </w:tblCellMar>
        </w:tblPrEx>
        <w:trPr>
          <w:trHeight w:val="477" w:hRule="atLeast"/>
        </w:trPr>
        <w:tc>
          <w:tcPr>
            <w:tcW w:w="9041"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808080"/>
                <w:sz w:val="15"/>
                <w:szCs w:val="15"/>
              </w:rPr>
            </w:pPr>
            <w:r>
              <w:rPr>
                <w:rFonts w:hint="eastAsia" w:ascii="微软雅黑" w:hAnsi="微软雅黑" w:eastAsia="微软雅黑" w:cs="微软雅黑"/>
                <w:b/>
                <w:color w:val="808080"/>
                <w:kern w:val="0"/>
                <w:sz w:val="15"/>
                <w:szCs w:val="15"/>
                <w:lang w:bidi="ar"/>
              </w:rPr>
              <w:t>绩效目标</w:t>
            </w:r>
          </w:p>
        </w:tc>
      </w:tr>
      <w:tr>
        <w:tblPrEx>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年初绩效目标</w:t>
            </w:r>
          </w:p>
        </w:tc>
        <w:tc>
          <w:tcPr>
            <w:tcW w:w="268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全年（调整）绩效目标</w:t>
            </w:r>
          </w:p>
        </w:tc>
        <w:tc>
          <w:tcPr>
            <w:tcW w:w="268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全年目标实际完成情况</w:t>
            </w:r>
          </w:p>
        </w:tc>
      </w:tr>
      <w:tr>
        <w:tblPrEx>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cs="宋体"/>
                <w:color w:val="000000"/>
                <w:sz w:val="15"/>
                <w:szCs w:val="15"/>
              </w:rPr>
            </w:pPr>
            <w:r>
              <w:rPr>
                <w:rFonts w:hint="eastAsia" w:ascii="宋体" w:hAnsi="宋体" w:cs="宋体"/>
                <w:color w:val="000000"/>
                <w:kern w:val="0"/>
                <w:sz w:val="15"/>
                <w:szCs w:val="15"/>
                <w:lang w:bidi="ar"/>
              </w:rPr>
              <w:t>通过查处系列水事违法案件，震慑违法人员，进一步维护全区正常的水事秩序；加强普法宣传教育，促进依法行政。</w:t>
            </w:r>
          </w:p>
        </w:tc>
        <w:tc>
          <w:tcPr>
            <w:tcW w:w="2684" w:type="dxa"/>
            <w:gridSpan w:val="7"/>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sz w:val="15"/>
                <w:szCs w:val="15"/>
              </w:rPr>
            </w:pPr>
          </w:p>
        </w:tc>
        <w:tc>
          <w:tcPr>
            <w:tcW w:w="2686" w:type="dxa"/>
            <w:gridSpan w:val="5"/>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cs="宋体"/>
                <w:color w:val="000000"/>
                <w:sz w:val="15"/>
                <w:szCs w:val="15"/>
              </w:rPr>
            </w:pPr>
            <w:r>
              <w:rPr>
                <w:rFonts w:hint="eastAsia" w:ascii="宋体" w:hAnsi="宋体" w:cs="宋体"/>
                <w:color w:val="000000"/>
                <w:kern w:val="0"/>
                <w:sz w:val="15"/>
                <w:szCs w:val="15"/>
                <w:lang w:bidi="ar"/>
              </w:rPr>
              <w:t>通过查处系列水事违法案件，震慑违法人员，进一步维护全区正常的水事秩序；加强普法宣传教育，促进依法行政。</w:t>
            </w:r>
          </w:p>
        </w:tc>
      </w:tr>
      <w:tr>
        <w:tblPrEx>
          <w:tblCellMar>
            <w:top w:w="15" w:type="dxa"/>
            <w:left w:w="15" w:type="dxa"/>
            <w:bottom w:w="15" w:type="dxa"/>
            <w:right w:w="15" w:type="dxa"/>
          </w:tblCellMar>
        </w:tblPrEx>
        <w:trPr>
          <w:trHeight w:val="521" w:hRule="atLeast"/>
        </w:trPr>
        <w:tc>
          <w:tcPr>
            <w:tcW w:w="9041"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808080"/>
                <w:sz w:val="15"/>
                <w:szCs w:val="15"/>
              </w:rPr>
            </w:pPr>
            <w:r>
              <w:rPr>
                <w:rFonts w:hint="eastAsia" w:ascii="微软雅黑" w:hAnsi="微软雅黑" w:eastAsia="微软雅黑" w:cs="微软雅黑"/>
                <w:b/>
                <w:color w:val="808080"/>
                <w:kern w:val="0"/>
                <w:sz w:val="15"/>
                <w:szCs w:val="15"/>
                <w:lang w:bidi="ar"/>
              </w:rPr>
              <w:t>绩效指标</w:t>
            </w:r>
          </w:p>
        </w:tc>
      </w:tr>
      <w:tr>
        <w:tblPrEx>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指标值</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偏离度（%）</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指标权重</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lang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15"/>
                <w:szCs w:val="15"/>
              </w:rPr>
            </w:pPr>
            <w:r>
              <w:rPr>
                <w:rFonts w:hint="eastAsia" w:ascii="宋体" w:hAnsi="宋体" w:cs="宋体"/>
                <w:b/>
                <w:color w:val="000000"/>
                <w:kern w:val="0"/>
                <w:sz w:val="15"/>
                <w:szCs w:val="15"/>
                <w:lang w:bidi="ar"/>
              </w:rPr>
              <w:t>说明</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5"/>
                <w:szCs w:val="15"/>
              </w:rPr>
            </w:pPr>
          </w:p>
        </w:tc>
      </w:tr>
      <w:tr>
        <w:tblPrEx>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查处违法案件</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件</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违法案件查处率</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违法案件查处及时</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优</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总成本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万元</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33</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33</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37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震慑水事违法行为</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优</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654"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保护生态环境</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优</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480"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树立守法意识</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优</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480"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0</w:t>
            </w:r>
          </w:p>
        </w:tc>
        <w:tc>
          <w:tcPr>
            <w:tcW w:w="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left"/>
              <w:rPr>
                <w:sz w:val="15"/>
                <w:szCs w:val="15"/>
              </w:rPr>
            </w:pPr>
          </w:p>
        </w:tc>
        <w:tc>
          <w:tcPr>
            <w:tcW w:w="67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r>
        <w:tblPrEx>
          <w:tblCellMar>
            <w:top w:w="15" w:type="dxa"/>
            <w:left w:w="15" w:type="dxa"/>
            <w:bottom w:w="15" w:type="dxa"/>
            <w:right w:w="15" w:type="dxa"/>
          </w:tblCellMar>
        </w:tblPrEx>
        <w:trPr>
          <w:trHeight w:val="480"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未完成绩效目标或偏离较多的原因、改进措施及其他说明</w:t>
            </w:r>
          </w:p>
        </w:tc>
        <w:tc>
          <w:tcPr>
            <w:tcW w:w="7877" w:type="dxa"/>
            <w:gridSpan w:val="17"/>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5"/>
                <w:szCs w:val="15"/>
              </w:rPr>
            </w:pPr>
          </w:p>
        </w:tc>
      </w:tr>
    </w:tbl>
    <w:p>
      <w:pPr>
        <w:spacing w:line="600" w:lineRule="exact"/>
        <w:ind w:firstLine="640" w:firstLineChars="200"/>
        <w:rPr>
          <w:rFonts w:hint="eastAsia" w:ascii="方正仿宋_GBK" w:hAnsi="仿宋_GB2312" w:eastAsia="方正仿宋_GBK" w:cs="仿宋_GB2312"/>
          <w:sz w:val="32"/>
        </w:rPr>
      </w:pP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2.绩效自评报告或案例。</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我队是采用填报自评表形式开展绩效自评，没有绩效自评报告。</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3.关于绩效自评结果的说明</w:t>
      </w:r>
    </w:p>
    <w:p>
      <w:pPr>
        <w:pStyle w:val="15"/>
        <w:tabs>
          <w:tab w:val="center" w:pos="4153"/>
          <w:tab w:val="left" w:pos="7275"/>
        </w:tabs>
        <w:spacing w:line="560" w:lineRule="exact"/>
        <w:ind w:firstLine="64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经评价，各项目均达到了年度绩效目标。</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 （三）重点绩效评价结果</w:t>
      </w:r>
    </w:p>
    <w:p>
      <w:pPr>
        <w:pStyle w:val="15"/>
        <w:tabs>
          <w:tab w:val="center" w:pos="4153"/>
          <w:tab w:val="left" w:pos="7275"/>
        </w:tabs>
        <w:spacing w:line="560" w:lineRule="exact"/>
        <w:ind w:firstLine="640"/>
        <w:rPr>
          <w:rFonts w:ascii="宋体" w:hAnsi="宋体" w:cs="宋体"/>
          <w:kern w:val="0"/>
          <w:sz w:val="24"/>
          <w:szCs w:val="24"/>
        </w:rPr>
      </w:pPr>
      <w:r>
        <w:rPr>
          <w:rFonts w:hint="eastAsia" w:ascii="Times New Roman" w:hAnsi="Times New Roman" w:eastAsia="方正仿宋_GBK" w:cs="宋体"/>
          <w:kern w:val="0"/>
          <w:sz w:val="32"/>
          <w:szCs w:val="32"/>
        </w:rPr>
        <w:t>我队2022年没有区财政局委托第三方对部门政策或项目开展重点绩效评价的。</w:t>
      </w:r>
    </w:p>
    <w:p>
      <w:pPr>
        <w:pStyle w:val="16"/>
        <w:tabs>
          <w:tab w:val="center" w:pos="4153"/>
          <w:tab w:val="left" w:pos="7275"/>
        </w:tabs>
        <w:spacing w:line="560" w:lineRule="exact"/>
        <w:ind w:firstLine="321"/>
        <w:rPr>
          <w:rFonts w:hint="eastAsia" w:ascii="Times New Roman" w:hAnsi="Times New Roman" w:eastAsia="方正黑体_GBK"/>
          <w:sz w:val="32"/>
          <w:szCs w:val="32"/>
        </w:rPr>
      </w:pPr>
      <w:r>
        <w:rPr>
          <w:rFonts w:ascii="宋体" w:hAnsi="宋体" w:cs="宋体"/>
          <w:b/>
          <w:bCs/>
          <w:kern w:val="0"/>
          <w:sz w:val="16"/>
        </w:rPr>
        <w:t> </w:t>
      </w:r>
      <w:r>
        <w:rPr>
          <w:rFonts w:hint="eastAsia" w:ascii="Times New Roman" w:hAnsi="Times New Roman" w:eastAsia="方正黑体_GBK"/>
          <w:sz w:val="32"/>
          <w:szCs w:val="32"/>
        </w:rPr>
        <w:t>六、专业名词解释</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（一）财政拨款收入：</w:t>
      </w:r>
      <w:r>
        <w:rPr>
          <w:rFonts w:hint="eastAsia" w:ascii="Times New Roman" w:hAnsi="Times New Roman" w:eastAsia="方正仿宋_GBK" w:cs="宋体"/>
          <w:kern w:val="0"/>
          <w:sz w:val="32"/>
          <w:szCs w:val="32"/>
        </w:rPr>
        <w:t>指本年度从本级财政部门取得的财政拨款，包括一般公共预算财政拨款和政府性基金预算财政拨款。</w:t>
      </w:r>
    </w:p>
    <w:p>
      <w:pPr>
        <w:widowControl/>
        <w:shd w:val="clear" w:color="auto" w:fill="FFFFFF"/>
        <w:ind w:firstLine="640" w:firstLineChars="200"/>
        <w:jc w:val="left"/>
        <w:rPr>
          <w:rFonts w:ascii="宋体" w:hAnsi="宋体" w:cs="宋体"/>
          <w:kern w:val="0"/>
          <w:sz w:val="24"/>
          <w:szCs w:val="24"/>
        </w:rPr>
      </w:pPr>
      <w:r>
        <w:rPr>
          <w:rFonts w:hint="eastAsia" w:ascii="方正楷体_GBK" w:hAnsi="方正楷体_GBK" w:eastAsia="方正楷体_GBK" w:cs="方正楷体_GBK"/>
          <w:snapToGrid w:val="0"/>
          <w:kern w:val="32"/>
          <w:sz w:val="32"/>
          <w:szCs w:val="32"/>
        </w:rPr>
        <w:t>（二）事业收入：</w:t>
      </w:r>
      <w:r>
        <w:rPr>
          <w:rFonts w:hint="eastAsia" w:ascii="Times New Roman" w:hAnsi="Times New Roman" w:eastAsia="方正仿宋_GBK" w:cs="宋体"/>
          <w:kern w:val="0"/>
          <w:sz w:val="32"/>
          <w:szCs w:val="32"/>
        </w:rPr>
        <w:t>指事业单位开展专业业务活动及其辅助活动取得的现金流入；事业单位收到的财政专户实际核拨的教育收费等资金在此反映。</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（三）经营收入：</w:t>
      </w:r>
      <w:r>
        <w:rPr>
          <w:rFonts w:hint="eastAsia" w:ascii="Times New Roman" w:hAnsi="Times New Roman" w:eastAsia="方正仿宋_GBK" w:cs="宋体"/>
          <w:kern w:val="0"/>
          <w:sz w:val="32"/>
          <w:szCs w:val="32"/>
        </w:rPr>
        <w:t>指事业单位在专业业务活动及其辅助活动之外开展非独立核算经营活动取得的现金流入。</w:t>
      </w:r>
    </w:p>
    <w:p>
      <w:pPr>
        <w:widowControl/>
        <w:shd w:val="clear" w:color="auto" w:fill="FFFFFF"/>
        <w:ind w:firstLine="321" w:firstLineChars="200"/>
        <w:jc w:val="left"/>
        <w:rPr>
          <w:rFonts w:hint="eastAsia" w:ascii="Times New Roman" w:hAnsi="Times New Roman" w:eastAsia="方正仿宋_GBK" w:cs="宋体"/>
          <w:kern w:val="0"/>
          <w:sz w:val="32"/>
          <w:szCs w:val="32"/>
        </w:rPr>
      </w:pPr>
      <w:r>
        <w:rPr>
          <w:rFonts w:ascii="宋体" w:hAnsi="宋体" w:cs="宋体"/>
          <w:b/>
          <w:bCs/>
          <w:kern w:val="0"/>
          <w:sz w:val="16"/>
        </w:rPr>
        <w:t> </w:t>
      </w:r>
      <w:r>
        <w:rPr>
          <w:rFonts w:hint="eastAsia" w:ascii="方正楷体_GBK" w:hAnsi="方正楷体_GBK" w:eastAsia="方正楷体_GBK" w:cs="方正楷体_GBK"/>
          <w:snapToGrid w:val="0"/>
          <w:kern w:val="32"/>
          <w:sz w:val="32"/>
          <w:szCs w:val="32"/>
        </w:rPr>
        <w:t>（四）其他收入：</w:t>
      </w:r>
      <w:r>
        <w:rPr>
          <w:rFonts w:hint="eastAsia" w:ascii="Times New Roman" w:hAnsi="Times New Roman" w:eastAsia="方正仿宋_GBK" w:cs="宋体"/>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（五）使用非财政拨款结余：</w:t>
      </w:r>
      <w:r>
        <w:rPr>
          <w:rFonts w:hint="eastAsia" w:ascii="Times New Roman" w:hAnsi="Times New Roman" w:eastAsia="方正仿宋_GBK" w:cs="宋体"/>
          <w:kern w:val="0"/>
          <w:sz w:val="32"/>
          <w:szCs w:val="32"/>
        </w:rPr>
        <w:t>指单位在当年的“财政拨款收入”、“事业收入”、“经营收入”、“其他收入”等不足以安排当年支出的情况下，使用以前年度积累的非财政拨款结余弥补本年度收支缺口的资金。</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（六）年初结转和结余：</w:t>
      </w:r>
      <w:r>
        <w:rPr>
          <w:rFonts w:hint="eastAsia" w:ascii="Times New Roman" w:hAnsi="Times New Roman" w:eastAsia="方正仿宋_GBK" w:cs="宋体"/>
          <w:kern w:val="0"/>
          <w:sz w:val="32"/>
          <w:szCs w:val="32"/>
        </w:rPr>
        <w:t>指单位上年结转本年使用的基本支出结转、项目支出结转和结余、经营结余。</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（七）结余分配：</w:t>
      </w:r>
      <w:r>
        <w:rPr>
          <w:rFonts w:hint="eastAsia" w:ascii="Times New Roman" w:hAnsi="Times New Roman" w:eastAsia="方正仿宋_GBK" w:cs="宋体"/>
          <w:kern w:val="0"/>
          <w:sz w:val="32"/>
          <w:szCs w:val="32"/>
        </w:rPr>
        <w:t>指单位按照国家有关规定，缴纳所得税、提取专用基金、转入非财政拨款结余等当年结余的分配情况。</w:t>
      </w:r>
    </w:p>
    <w:p>
      <w:pPr>
        <w:widowControl/>
        <w:shd w:val="clear" w:color="auto" w:fill="FFFFFF"/>
        <w:ind w:firstLine="640" w:firstLineChars="200"/>
        <w:jc w:val="left"/>
        <w:rPr>
          <w:rFonts w:ascii="宋体" w:hAnsi="宋体" w:cs="宋体"/>
          <w:kern w:val="0"/>
          <w:sz w:val="24"/>
          <w:szCs w:val="24"/>
        </w:rPr>
      </w:pPr>
      <w:r>
        <w:rPr>
          <w:rFonts w:hint="eastAsia" w:ascii="方正楷体_GBK" w:hAnsi="方正楷体_GBK" w:eastAsia="方正楷体_GBK" w:cs="方正楷体_GBK"/>
          <w:snapToGrid w:val="0"/>
          <w:kern w:val="32"/>
          <w:sz w:val="32"/>
          <w:szCs w:val="32"/>
        </w:rPr>
        <w:t>（八）年末结转和结余：</w:t>
      </w:r>
      <w:r>
        <w:rPr>
          <w:rFonts w:hint="eastAsia" w:ascii="Times New Roman" w:hAnsi="Times New Roman" w:eastAsia="方正仿宋_GBK" w:cs="宋体"/>
          <w:kern w:val="0"/>
          <w:sz w:val="32"/>
          <w:szCs w:val="32"/>
        </w:rPr>
        <w:t>指单位结转下年的基本支出结转、项目支出结转和结余、经营结余。</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（九）基本支出：</w:t>
      </w:r>
      <w:r>
        <w:rPr>
          <w:rFonts w:hint="eastAsia" w:ascii="Times New Roman" w:hAnsi="Times New Roman" w:eastAsia="方正仿宋_GBK" w:cs="宋体"/>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ind w:firstLine="640" w:firstLineChars="200"/>
        <w:jc w:val="left"/>
        <w:rPr>
          <w:rFonts w:ascii="宋体" w:hAnsi="宋体" w:cs="宋体"/>
          <w:kern w:val="0"/>
          <w:sz w:val="24"/>
          <w:szCs w:val="24"/>
        </w:rPr>
      </w:pPr>
      <w:r>
        <w:rPr>
          <w:rFonts w:hint="eastAsia" w:ascii="方正楷体_GBK" w:hAnsi="方正楷体_GBK" w:eastAsia="方正楷体_GBK" w:cs="方正楷体_GBK"/>
          <w:snapToGrid w:val="0"/>
          <w:kern w:val="32"/>
          <w:sz w:val="32"/>
          <w:szCs w:val="32"/>
        </w:rPr>
        <w:t>（十）项目支出：</w:t>
      </w:r>
      <w:r>
        <w:rPr>
          <w:rFonts w:hint="eastAsia" w:ascii="Times New Roman" w:hAnsi="Times New Roman" w:eastAsia="方正仿宋_GBK" w:cs="宋体"/>
          <w:kern w:val="0"/>
          <w:sz w:val="32"/>
          <w:szCs w:val="32"/>
        </w:rPr>
        <w:t>指在基本支出之外为完成特定行政任务和事业发展目标所发生的支出。</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（十一）经营支出：</w:t>
      </w:r>
      <w:r>
        <w:rPr>
          <w:rFonts w:hint="eastAsia" w:ascii="Times New Roman" w:hAnsi="Times New Roman" w:eastAsia="方正仿宋_GBK" w:cs="宋体"/>
          <w:kern w:val="0"/>
          <w:sz w:val="32"/>
          <w:szCs w:val="32"/>
        </w:rPr>
        <w:t>指事业单位在专业业务活动及其辅助活动之外开展非独立核算经营活动发生的支出。</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（十二）“三公”经费：</w:t>
      </w:r>
      <w:r>
        <w:rPr>
          <w:rFonts w:hint="eastAsia" w:ascii="Times New Roman" w:hAnsi="Times New Roman" w:eastAsia="方正仿宋_GBK" w:cs="宋体"/>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（十三）机关运行经费：</w:t>
      </w:r>
      <w:r>
        <w:rPr>
          <w:rFonts w:hint="eastAsia" w:ascii="Times New Roman" w:hAnsi="Times New Roman" w:eastAsia="方正仿宋_GBK" w:cs="宋体"/>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（十四）工资福利支出（支出经济分类科目类级）：</w:t>
      </w:r>
      <w:r>
        <w:rPr>
          <w:rFonts w:hint="eastAsia" w:ascii="Times New Roman" w:hAnsi="Times New Roman" w:eastAsia="方正仿宋_GBK" w:cs="宋体"/>
          <w:kern w:val="0"/>
          <w:sz w:val="32"/>
          <w:szCs w:val="32"/>
        </w:rPr>
        <w:t>反映单位开支的在职职工和编制外长期聘用人员的各类劳动报酬，以及为上述人员缴纳的各项社会保险费等。</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（十五）商品和服务支出（支出经济分类科目类级）：</w:t>
      </w:r>
      <w:r>
        <w:rPr>
          <w:rFonts w:hint="eastAsia" w:ascii="Times New Roman" w:hAnsi="Times New Roman" w:eastAsia="方正仿宋_GBK" w:cs="宋体"/>
          <w:kern w:val="0"/>
          <w:sz w:val="32"/>
          <w:szCs w:val="32"/>
        </w:rPr>
        <w:t>反映单位购买商品和服务的支出（不包括用于购置固定资产的支出、战略性和应急储备支出）。</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（十六）对个人和家庭的补助（支出经济分类科目类级）：</w:t>
      </w:r>
      <w:r>
        <w:rPr>
          <w:rFonts w:hint="eastAsia" w:ascii="Times New Roman" w:hAnsi="Times New Roman" w:eastAsia="方正仿宋_GBK" w:cs="宋体"/>
          <w:kern w:val="0"/>
          <w:sz w:val="32"/>
          <w:szCs w:val="32"/>
        </w:rPr>
        <w:t>反映用于对个人和家庭的补助支出。</w:t>
      </w:r>
    </w:p>
    <w:p>
      <w:pPr>
        <w:widowControl/>
        <w:shd w:val="clear" w:color="auto" w:fill="FFFFFF"/>
        <w:ind w:firstLine="640" w:firstLineChars="200"/>
        <w:jc w:val="left"/>
        <w:rPr>
          <w:rFonts w:hint="eastAsia" w:ascii="Times New Roman" w:hAnsi="Times New Roman" w:eastAsia="方正仿宋_GBK" w:cs="宋体"/>
          <w:kern w:val="0"/>
          <w:sz w:val="32"/>
          <w:szCs w:val="32"/>
        </w:rPr>
      </w:pPr>
      <w:r>
        <w:rPr>
          <w:rFonts w:hint="eastAsia" w:ascii="方正楷体_GBK" w:hAnsi="方正楷体_GBK" w:eastAsia="方正楷体_GBK" w:cs="方正楷体_GBK"/>
          <w:snapToGrid w:val="0"/>
          <w:kern w:val="32"/>
          <w:sz w:val="32"/>
          <w:szCs w:val="32"/>
        </w:rPr>
        <w:t>（十七）其他资本性支出（支出经济分类科目类级）：</w:t>
      </w:r>
      <w:r>
        <w:rPr>
          <w:rFonts w:hint="eastAsia" w:ascii="Times New Roman" w:hAnsi="Times New Roman" w:eastAsia="方正仿宋_GBK" w:cs="宋体"/>
          <w:kern w:val="0"/>
          <w:sz w:val="32"/>
          <w:szCs w:val="32"/>
        </w:rPr>
        <w:t>反映非各级发展与改革部门集中安排的用于购置固定资产、战略性和应急性储备、土地和无形资产，以及构建基础设施、大型修缮和财政支持企业更新改造所发生的支出。</w:t>
      </w:r>
    </w:p>
    <w:p>
      <w:pPr>
        <w:pStyle w:val="16"/>
        <w:tabs>
          <w:tab w:val="center" w:pos="4153"/>
          <w:tab w:val="left" w:pos="7275"/>
        </w:tabs>
        <w:spacing w:line="56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七、决算公开联系方式及信息反馈渠道</w:t>
      </w:r>
    </w:p>
    <w:p>
      <w:pPr>
        <w:snapToGrid w:val="0"/>
        <w:spacing w:line="600" w:lineRule="exact"/>
        <w:ind w:firstLine="640" w:firstLineChars="200"/>
        <w:rPr>
          <w:rFonts w:hint="eastAsia" w:ascii="方正仿宋_GBK" w:hAnsi="Times New Roman" w:eastAsia="方正仿宋_GBK"/>
          <w:snapToGrid w:val="0"/>
          <w:kern w:val="32"/>
          <w:sz w:val="32"/>
          <w:szCs w:val="24"/>
        </w:rPr>
      </w:pPr>
      <w:r>
        <w:rPr>
          <w:rFonts w:hint="eastAsia" w:ascii="方正仿宋_GBK" w:hAnsi="Times New Roman" w:eastAsia="方正仿宋_GBK"/>
          <w:snapToGrid w:val="0"/>
          <w:kern w:val="32"/>
          <w:sz w:val="32"/>
          <w:szCs w:val="24"/>
        </w:rPr>
        <w:t>部门决</w:t>
      </w:r>
      <w:r>
        <w:rPr>
          <w:rFonts w:ascii="方正仿宋_GBK" w:hAnsi="Times New Roman" w:eastAsia="方正仿宋_GBK"/>
          <w:snapToGrid w:val="0"/>
          <w:kern w:val="32"/>
          <w:sz w:val="32"/>
          <w:szCs w:val="24"/>
        </w:rPr>
        <w:t>算公开联系人：</w:t>
      </w:r>
      <w:r>
        <w:rPr>
          <w:rFonts w:hint="eastAsia" w:ascii="方正仿宋_GBK" w:hAnsi="Times New Roman" w:eastAsia="方正仿宋_GBK"/>
          <w:snapToGrid w:val="0"/>
          <w:kern w:val="32"/>
          <w:sz w:val="32"/>
          <w:szCs w:val="24"/>
        </w:rPr>
        <w:t>肖成义</w:t>
      </w:r>
    </w:p>
    <w:p>
      <w:pPr>
        <w:snapToGrid w:val="0"/>
        <w:spacing w:line="600" w:lineRule="exact"/>
        <w:ind w:firstLine="640" w:firstLineChars="200"/>
        <w:rPr>
          <w:rFonts w:hint="eastAsia" w:ascii="方正仿宋_GBK" w:hAnsi="Times New Roman" w:eastAsia="方正仿宋_GBK"/>
          <w:snapToGrid w:val="0"/>
          <w:kern w:val="32"/>
          <w:sz w:val="32"/>
          <w:szCs w:val="24"/>
        </w:rPr>
      </w:pPr>
      <w:r>
        <w:rPr>
          <w:rFonts w:ascii="方正仿宋_GBK" w:hAnsi="Times New Roman" w:eastAsia="方正仿宋_GBK"/>
          <w:snapToGrid w:val="0"/>
          <w:kern w:val="32"/>
          <w:sz w:val="32"/>
          <w:szCs w:val="24"/>
        </w:rPr>
        <w:t>联系</w:t>
      </w:r>
      <w:r>
        <w:rPr>
          <w:rFonts w:hint="eastAsia" w:ascii="方正仿宋_GBK" w:hAnsi="Times New Roman" w:eastAsia="方正仿宋_GBK"/>
          <w:snapToGrid w:val="0"/>
          <w:kern w:val="32"/>
          <w:sz w:val="32"/>
          <w:szCs w:val="24"/>
        </w:rPr>
        <w:t>电话</w:t>
      </w:r>
      <w:r>
        <w:rPr>
          <w:rFonts w:ascii="方正仿宋_GBK" w:hAnsi="Times New Roman" w:eastAsia="方正仿宋_GBK"/>
          <w:snapToGrid w:val="0"/>
          <w:kern w:val="32"/>
          <w:sz w:val="32"/>
          <w:szCs w:val="24"/>
        </w:rPr>
        <w:t>：</w:t>
      </w:r>
      <w:r>
        <w:rPr>
          <w:rFonts w:hint="eastAsia" w:ascii="方正仿宋_GBK" w:hAnsi="Times New Roman" w:eastAsia="方正仿宋_GBK"/>
          <w:snapToGrid w:val="0"/>
          <w:kern w:val="32"/>
          <w:sz w:val="32"/>
          <w:szCs w:val="24"/>
        </w:rPr>
        <w:t>023-67823171</w:t>
      </w:r>
    </w:p>
    <w:p>
      <w:pPr>
        <w:snapToGrid w:val="0"/>
        <w:spacing w:line="600" w:lineRule="exact"/>
        <w:ind w:firstLine="640" w:firstLineChars="200"/>
        <w:rPr>
          <w:rFonts w:hint="eastAsia" w:ascii="方正仿宋_GBK" w:hAnsi="Times New Roman" w:eastAsia="方正仿宋_GBK"/>
          <w:snapToGrid w:val="0"/>
          <w:kern w:val="32"/>
          <w:sz w:val="32"/>
          <w:szCs w:val="24"/>
        </w:rPr>
      </w:pPr>
      <w:r>
        <w:rPr>
          <w:rFonts w:hint="eastAsia" w:ascii="方正仿宋_GBK" w:hAnsi="Times New Roman" w:eastAsia="方正仿宋_GBK"/>
          <w:snapToGrid w:val="0"/>
          <w:kern w:val="32"/>
          <w:sz w:val="32"/>
          <w:szCs w:val="24"/>
        </w:rPr>
        <w:t>邮箱：522633401@QQ.COM</w:t>
      </w:r>
    </w:p>
    <w:p>
      <w:pPr>
        <w:widowControl/>
        <w:jc w:val="left"/>
        <w:rPr>
          <w:rFonts w:ascii="宋体" w:hAnsi="宋体" w:cs="宋体"/>
          <w:kern w:val="0"/>
          <w:sz w:val="24"/>
          <w:szCs w:val="24"/>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MzUwZjE3YWQwNDEzYjkxOTBjOTBjOGUwZDc0NWMifQ=="/>
  </w:docVars>
  <w:rsids>
    <w:rsidRoot w:val="0095082D"/>
    <w:rsid w:val="001F1248"/>
    <w:rsid w:val="0060792B"/>
    <w:rsid w:val="006C4AE2"/>
    <w:rsid w:val="0095082D"/>
    <w:rsid w:val="009F16FB"/>
    <w:rsid w:val="06124F8D"/>
    <w:rsid w:val="06D44B32"/>
    <w:rsid w:val="074D5D72"/>
    <w:rsid w:val="0E657E96"/>
    <w:rsid w:val="29F976DB"/>
    <w:rsid w:val="33E61215"/>
    <w:rsid w:val="3A0144F7"/>
    <w:rsid w:val="3D415B7F"/>
    <w:rsid w:val="3E801C9B"/>
    <w:rsid w:val="45FB2468"/>
    <w:rsid w:val="55B66151"/>
    <w:rsid w:val="5AA5630C"/>
    <w:rsid w:val="62175306"/>
    <w:rsid w:val="7C1C6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szCs w:val="24"/>
    </w:rPr>
  </w:style>
  <w:style w:type="paragraph" w:styleId="4">
    <w:name w:val="Balloon Text"/>
    <w:basedOn w:val="1"/>
    <w:link w:val="14"/>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u w:val="single"/>
    </w:rPr>
  </w:style>
  <w:style w:type="character" w:customStyle="1" w:styleId="12">
    <w:name w:val="页脚 Char"/>
    <w:basedOn w:val="9"/>
    <w:link w:val="5"/>
    <w:semiHidden/>
    <w:uiPriority w:val="99"/>
    <w:rPr>
      <w:sz w:val="18"/>
      <w:szCs w:val="18"/>
    </w:rPr>
  </w:style>
  <w:style w:type="character" w:customStyle="1" w:styleId="13">
    <w:name w:val="页眉 Char"/>
    <w:basedOn w:val="9"/>
    <w:link w:val="6"/>
    <w:semiHidden/>
    <w:uiPriority w:val="99"/>
    <w:rPr>
      <w:sz w:val="18"/>
      <w:szCs w:val="18"/>
    </w:rPr>
  </w:style>
  <w:style w:type="character" w:customStyle="1" w:styleId="14">
    <w:name w:val="批注框文本 Char"/>
    <w:basedOn w:val="9"/>
    <w:link w:val="4"/>
    <w:semiHidden/>
    <w:uiPriority w:val="99"/>
    <w:rPr>
      <w:sz w:val="18"/>
      <w:szCs w:val="18"/>
    </w:rPr>
  </w:style>
  <w:style w:type="paragraph" w:customStyle="1" w:styleId="15">
    <w:name w:val="_Style 1"/>
    <w:basedOn w:val="1"/>
    <w:qFormat/>
    <w:uiPriority w:val="34"/>
    <w:pPr>
      <w:ind w:firstLine="420" w:firstLineChars="200"/>
    </w:p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1028</Words>
  <Characters>5864</Characters>
  <Lines>48</Lines>
  <Paragraphs>13</Paragraphs>
  <TotalTime>0</TotalTime>
  <ScaleCrop>false</ScaleCrop>
  <LinksUpToDate>false</LinksUpToDate>
  <CharactersWithSpaces>6879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2024-03-04T07:33:00Z</dcterms:created>
  <dc:creator>USER</dc:creator>
  <cp:lastModifiedBy>杨倩怡</cp:lastModifiedBy>
  <dcterms:modified xsi:type="dcterms:W3CDTF">2024-03-15T02:10:34Z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6014BC19E14F4CEFB183D6427347AF81</vt:lpwstr>
  </property>
</Properties>
</file>