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hint="eastAsia" w:eastAsia="方正小标宋_GBK"/>
          <w:sz w:val="44"/>
          <w:szCs w:val="44"/>
        </w:rPr>
      </w:pPr>
      <w:r>
        <w:rPr>
          <w:rFonts w:hint="eastAsia" w:eastAsia="方正小标宋_GBK"/>
          <w:sz w:val="44"/>
          <w:szCs w:val="44"/>
        </w:rPr>
        <w:t>重庆市渝北区水文管理站</w:t>
      </w:r>
    </w:p>
    <w:p>
      <w:pPr>
        <w:spacing w:line="560" w:lineRule="exact"/>
        <w:ind w:firstLine="1100" w:firstLineChars="250"/>
        <w:jc w:val="center"/>
        <w:rPr>
          <w:rFonts w:hint="eastAsia" w:eastAsia="方正小标宋_GBK"/>
          <w:sz w:val="44"/>
          <w:szCs w:val="44"/>
        </w:rPr>
      </w:pPr>
      <w:r>
        <w:rPr>
          <w:rFonts w:hint="eastAsia" w:eastAsia="方正小标宋_GBK"/>
          <w:sz w:val="44"/>
          <w:szCs w:val="44"/>
        </w:rPr>
        <w:t>2022年度部门决算情况说明</w:t>
      </w:r>
    </w:p>
    <w:p>
      <w:pPr>
        <w:spacing w:line="560" w:lineRule="exact"/>
        <w:ind w:firstLine="450" w:firstLineChars="250"/>
        <w:jc w:val="center"/>
        <w:rPr>
          <w:rFonts w:ascii="宋体" w:hAnsi="宋体" w:eastAsia="宋体" w:cs="宋体"/>
          <w:kern w:val="0"/>
          <w:sz w:val="18"/>
          <w:szCs w:val="18"/>
        </w:rPr>
      </w:pP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一、部门基本情况</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收集水文数据，为水文、防汛、水资源利用服务。负责河流水文监测、水情发布；负责辖区内水文资料使用审查；负责水文设施的维护和管理。起草水文发展规划；承担审查辖区内许可的涉水工程和重要规划水文资料的相关事务工作；维护和管理水文设施。</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我站是渝北区水利局所属二级预算单位，没有内设机构。</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二、部门决算情况说明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1.总体情况。</w:t>
      </w:r>
      <w:r>
        <w:rPr>
          <w:rFonts w:hint="eastAsia" w:hAnsi="方正仿宋_GBK" w:eastAsia="方正仿宋_GBK" w:cs="方正仿宋_GBK"/>
          <w:sz w:val="32"/>
          <w:szCs w:val="32"/>
          <w:lang w:val="zh-TW" w:eastAsia="zh-TW"/>
        </w:rPr>
        <w:t>2022年度收入总计396.84万元，支出总计396.84万元。收支较上年决算数减少150.60万元,下降27.5%，主要原因是今年减少了雷达波在线监测系统采购资金。</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2.收入情况。</w:t>
      </w:r>
      <w:r>
        <w:rPr>
          <w:rFonts w:hint="eastAsia" w:hAnsi="方正仿宋_GBK" w:eastAsia="方正仿宋_GBK" w:cs="方正仿宋_GBK"/>
          <w:sz w:val="32"/>
          <w:szCs w:val="32"/>
          <w:lang w:val="zh-TW" w:eastAsia="zh-TW"/>
        </w:rPr>
        <w:t>2022年度收入合计396.84万元，较上年决算数减少150.60万元，下降27.5%，主要原因是今年减少了雷达波在线监测系统采购资金。其中：财政拨款收入396.84万元，占100%。</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3.支出情况。</w:t>
      </w:r>
      <w:r>
        <w:rPr>
          <w:rFonts w:hint="eastAsia" w:hAnsi="方正仿宋_GBK" w:eastAsia="方正仿宋_GBK" w:cs="方正仿宋_GBK"/>
          <w:sz w:val="32"/>
          <w:szCs w:val="32"/>
          <w:lang w:val="zh-TW" w:eastAsia="zh-TW"/>
        </w:rPr>
        <w:t>2022年度支出合计396.84万元，较上年决算数减少150.60万元，下降27.5%，主要原因是今年减少了雷达波在线监测系统采购资金。其中：基本支出140.98万元，占35.5%；项目支出255.85万元，占64.5%。</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4.结转结余情况。</w:t>
      </w:r>
      <w:r>
        <w:rPr>
          <w:rFonts w:hint="eastAsia" w:hAnsi="方正仿宋_GBK" w:eastAsia="方正仿宋_GBK" w:cs="方正仿宋_GBK"/>
          <w:sz w:val="32"/>
          <w:szCs w:val="32"/>
          <w:lang w:val="zh-TW" w:eastAsia="zh-TW"/>
        </w:rPr>
        <w:t>2022年度年末结转和结余0.00万元，较上年决算数增加0.00万元，增长0.0%，主要原因是本年和上年都没有结转结余。</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2022年度财政拨款收、支总计396.84万元。与2021年相比，财政拨款收、支总计各减少150.60万元，下降27.5%。主要原因是今年减少了雷达波在线监测系统采购资金。</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1.收入情况。</w:t>
      </w:r>
      <w:r>
        <w:rPr>
          <w:rFonts w:hint="eastAsia" w:hAnsi="方正仿宋_GBK" w:eastAsia="方正仿宋_GBK" w:cs="方正仿宋_GBK"/>
          <w:sz w:val="32"/>
          <w:szCs w:val="32"/>
          <w:lang w:val="zh-TW" w:eastAsia="zh-TW"/>
        </w:rPr>
        <w:t>2022年度一般公共预算财政拨款收入396.84万元，较上年决算数减少150.60万元，下降27.5%。主要原因是今年减少了雷达波在线监测系统采购资金。较年初预算数减少16.69万元，下降4</w:t>
      </w:r>
      <w:r>
        <w:rPr>
          <w:rFonts w:hint="eastAsia" w:hAnsi="方正仿宋_GBK" w:eastAsia="方正仿宋_GBK" w:cs="方正仿宋_GBK"/>
          <w:sz w:val="32"/>
          <w:szCs w:val="32"/>
          <w:lang w:val="en-US" w:eastAsia="zh-CN"/>
        </w:rPr>
        <w:t>.0</w:t>
      </w:r>
      <w:r>
        <w:rPr>
          <w:rFonts w:hint="eastAsia" w:hAnsi="方正仿宋_GBK" w:eastAsia="方正仿宋_GBK" w:cs="方正仿宋_GBK"/>
          <w:sz w:val="32"/>
          <w:szCs w:val="32"/>
          <w:lang w:val="zh-TW" w:eastAsia="zh-TW"/>
        </w:rPr>
        <w:t>%。主要原因是财政年中追减了预算，如追减了水文设施维护工作、水文运行维护等工作预算。此外，年初财政拨款结转和结余0.00万元。</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2.支出情况。</w:t>
      </w:r>
      <w:r>
        <w:rPr>
          <w:rFonts w:hint="eastAsia" w:hAnsi="方正仿宋_GBK" w:eastAsia="方正仿宋_GBK" w:cs="方正仿宋_GBK"/>
          <w:sz w:val="32"/>
          <w:szCs w:val="32"/>
          <w:lang w:val="zh-TW" w:eastAsia="zh-TW"/>
        </w:rPr>
        <w:t>2022年度一般公共预算财政拨款支出2021中追减了预算，如追减了水文设施维护工作、水文运行维护等工作预算。</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3.结转结余情况。</w:t>
      </w:r>
      <w:r>
        <w:rPr>
          <w:rFonts w:hint="eastAsia" w:hAnsi="方正仿宋_GBK" w:eastAsia="方正仿宋_GBK" w:cs="方正仿宋_GBK"/>
          <w:sz w:val="32"/>
          <w:szCs w:val="32"/>
          <w:lang w:val="zh-TW" w:eastAsia="zh-TW"/>
        </w:rPr>
        <w:t>2022年度年末一般公共预算财政拨款结转和结余0.00万元，较上年决算数增加0.00万元，增长0.0%，主要原因是本年和上年末一般公共预算财政拨款结转和结余均为零。</w:t>
      </w:r>
    </w:p>
    <w:p>
      <w:pPr>
        <w:adjustRightInd w:val="0"/>
        <w:snapToGrid w:val="0"/>
        <w:spacing w:line="600" w:lineRule="exact"/>
        <w:ind w:firstLine="643" w:firstLineChars="200"/>
        <w:rPr>
          <w:rFonts w:hint="eastAsia" w:hAnsi="方正仿宋_GBK" w:eastAsia="方正仿宋_GBK" w:cs="方正仿宋_GBK"/>
          <w:sz w:val="32"/>
          <w:szCs w:val="32"/>
          <w:lang w:val="zh-TW" w:eastAsia="zh-TW"/>
        </w:rPr>
      </w:pPr>
      <w:r>
        <w:rPr>
          <w:rFonts w:hint="eastAsia" w:hAnsi="方正仿宋_GBK" w:eastAsia="方正仿宋_GBK" w:cs="方正仿宋_GBK"/>
          <w:b/>
          <w:bCs/>
          <w:sz w:val="32"/>
          <w:szCs w:val="32"/>
          <w:lang w:val="zh-TW" w:eastAsia="zh-TW"/>
        </w:rPr>
        <w:t>4.比较情况。</w:t>
      </w:r>
      <w:r>
        <w:rPr>
          <w:rFonts w:hint="eastAsia" w:hAnsi="方正仿宋_GBK" w:eastAsia="方正仿宋_GBK" w:cs="方正仿宋_GBK"/>
          <w:sz w:val="32"/>
          <w:szCs w:val="32"/>
          <w:lang w:val="zh-TW" w:eastAsia="zh-TW"/>
        </w:rPr>
        <w:t>本部门2022年度一般公共预算财政拨款支出主要用于以下几个方面：</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（1）社会保障与就业支出10.28万元，占2.6%，较年初预算数减少0.26万元，下降2.5%，主要原因是工资基数约有变化。</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（2）卫生健康支出5.24万元，占1.3%，较年初预算数减少0.11万元，下降2.1%，主要原因是工资基数约有变化。</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（3）农林水支出374.</w:t>
      </w:r>
      <w:r>
        <w:rPr>
          <w:rFonts w:hint="eastAsia" w:hAnsi="方正仿宋_GBK" w:eastAsia="方正仿宋_GBK" w:cs="方正仿宋_GBK"/>
          <w:sz w:val="32"/>
          <w:szCs w:val="32"/>
          <w:lang w:val="en-US" w:eastAsia="zh-CN"/>
        </w:rPr>
        <w:t>09</w:t>
      </w:r>
      <w:r>
        <w:rPr>
          <w:rFonts w:hint="eastAsia" w:hAnsi="方正仿宋_GBK" w:eastAsia="方正仿宋_GBK" w:cs="方正仿宋_GBK"/>
          <w:sz w:val="32"/>
          <w:szCs w:val="32"/>
          <w:lang w:val="zh-TW" w:eastAsia="zh-TW"/>
        </w:rPr>
        <w:t>万元，占94.3%，较年初预算数减少18.25万元，下降4.7%，主要原因是今年减少了雷达波在线监测系统采购资金。</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（4）住房保障支出7.21万元，占1.8%，较年初预算数增加1.92万元，增长36.3%，主要原因是年中追加了住房补贴。</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一般公共财政拨款基本支出140.98万元。其中：人员经费101.80万元，较上年决算数增加20.28万元，增长24.9%，主要原因是2021年年终绩效考核没在当年发放，而是在2022年发放。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39.19万元，较上年决算数增加5.05万元，增长14.8%，主要原因是为应对本年旱情，我站开站了一系列抗旱保供工作。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adjustRightInd w:val="0"/>
        <w:snapToGrid w:val="0"/>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本单位2022年度无政府性基金预算财政拨款收支。</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spacing w:line="600" w:lineRule="exact"/>
        <w:ind w:firstLine="640" w:firstLineChars="200"/>
        <w:rPr>
          <w:rFonts w:ascii="方正仿宋_GBK" w:hAnsi="仿宋_GB2312" w:eastAsia="方正仿宋_GBK" w:cs="仿宋_GB2312"/>
          <w:sz w:val="32"/>
        </w:rPr>
      </w:pPr>
      <w:r>
        <w:rPr>
          <w:rFonts w:hint="eastAsia" w:hAnsi="方正仿宋_GBK" w:eastAsia="方正仿宋_GBK" w:cs="方正仿宋_GBK"/>
          <w:sz w:val="32"/>
          <w:szCs w:val="32"/>
          <w:lang w:val="zh-TW" w:eastAsia="zh-TW"/>
        </w:rPr>
        <w:t>我站2022年度无国有资本经营预算财政拨款支出。</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三、“三公”经费情况说明</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三公”经费支出共计0.68万元，较年初预算数减少0.01万元，下降1.4%，主要原因是我站严格贯彻落实“政府过紧日子”的相关规定，大力压缩“三公”经费支出。较上年支出数增加0.03万元，增长4.6%，主要原因是今年上级加大了对水利事业的检查督查力度，在此情况下，我单位仍严格按预算控制支出，虽比上年略有增加，但未超年初预</w:t>
      </w:r>
      <w:r>
        <w:rPr>
          <w:rFonts w:hint="eastAsia" w:hAnsi="方正仿宋_GBK" w:eastAsia="方正仿宋_GBK" w:cs="方正仿宋_GBK"/>
          <w:sz w:val="32"/>
          <w:szCs w:val="32"/>
          <w:lang w:val="zh-TW" w:eastAsia="zh-CN"/>
        </w:rPr>
        <w:t>算</w:t>
      </w:r>
      <w:r>
        <w:rPr>
          <w:rFonts w:hint="eastAsia" w:hAnsi="方正仿宋_GBK" w:eastAsia="方正仿宋_GBK" w:cs="方正仿宋_GBK"/>
          <w:sz w:val="32"/>
          <w:szCs w:val="32"/>
          <w:lang w:val="zh-TW" w:eastAsia="zh-TW"/>
        </w:rPr>
        <w:t>数。</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本部门因公出国（境）费用0.00万元，主要是用于因公出国（境）支出。费用支出较年初预算数增加0.00万元，增长0.0%，较上年支出数增加0.00万元，增长0.0%，主要原因是上年及本年我站均未安排也未支出因公出国（境）费用。</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公务车购置费0.00万元，主要用于公务用车的购置。费用支出较年初预算数增加0.00万元，增长0.0%；较上年支出数增加0.00万元，增长0.0%，主要原因是上年及本年我站均未安排也未支出公务车购置费。</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公务车运行维护费0.00万元，主要用于公务用车的运行维护。费用支出较年初预算数减少1.65万元，下降100%，主要原因是本年我站没有公务用车，均未安排也未支出公务车运行维护费。较上年支出数减少1.60万元，下降100%，主要原因是本年我站没有公务用车，均未安排也未支出公务车运行维护费。</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公务接待费0.68万元，主要用于接待其他区县水利部门到我区交流学习，接受相关部门检查指导工作发生的接待支出。费用支出较年初预算数减少0.01万元，下降1.4%，主要原因是我站严格贯彻落实“政府过紧日子”的相关规定，大力压缩“三公”经费特别是公务接待费支出。较上年支出数增加0.03万元，增长4.6%，主要原因是今年上级加大了对水利事业的检查督查力度，在此情况下，我单位仍严格按预算控制支出，虽比上年略有增加，但未超年初预</w:t>
      </w:r>
      <w:r>
        <w:rPr>
          <w:rFonts w:hint="eastAsia" w:hAnsi="方正仿宋_GBK" w:eastAsia="方正仿宋_GBK" w:cs="方正仿宋_GBK"/>
          <w:sz w:val="32"/>
          <w:szCs w:val="32"/>
          <w:lang w:val="zh-TW" w:eastAsia="zh-CN"/>
        </w:rPr>
        <w:t>算</w:t>
      </w:r>
      <w:r>
        <w:rPr>
          <w:rFonts w:hint="eastAsia" w:hAnsi="方正仿宋_GBK" w:eastAsia="方正仿宋_GBK" w:cs="方正仿宋_GBK"/>
          <w:sz w:val="32"/>
          <w:szCs w:val="32"/>
          <w:lang w:val="zh-TW" w:eastAsia="zh-TW"/>
        </w:rPr>
        <w:t>数。</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本部门因公出国（境）共计0个团组，0人；公务用车购置0辆，公务车保有量为0辆；国内公务接待17批次171人，其中：国内外事接待0批次，0人；国（境）外公务接待0批次，0人。2022年本部门人均接待费40元，车均购置费0.00万元，车均维护费0.00万元。</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四、其他需要说明的事项</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spacing w:line="600" w:lineRule="exact"/>
        <w:ind w:firstLine="640" w:firstLineChars="200"/>
        <w:rPr>
          <w:rFonts w:ascii="方正仿宋_GBK" w:hAnsi="仿宋_GB2312" w:eastAsia="方正仿宋_GBK" w:cs="仿宋_GB2312"/>
          <w:sz w:val="32"/>
        </w:rPr>
      </w:pPr>
      <w:r>
        <w:rPr>
          <w:rFonts w:hint="eastAsia" w:hAnsi="方正仿宋_GBK" w:eastAsia="方正仿宋_GBK" w:cs="方正仿宋_GBK"/>
          <w:sz w:val="32"/>
          <w:szCs w:val="32"/>
          <w:lang w:val="zh-TW" w:eastAsia="zh-TW"/>
        </w:rPr>
        <w:t>本年度会议费支出0.00万元，较上年决算数增加0.00万元，增长0.0%，主要原因是今年没有安排会议。本年度培训费支出0.00万元，较上年决算数减少2.00万元，下降100%，主要原因是今年我站大力压减一般性支出，减了培训费开支。</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按照部门决算列报口径，我单位不在机关运行经费统计范围之内。</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2022年度本部门无政府采购支出。</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五、预算绩效管理情况说明</w:t>
      </w:r>
    </w:p>
    <w:p>
      <w:pPr>
        <w:widowControl/>
        <w:shd w:val="clear" w:color="auto" w:fill="FFFFFF"/>
        <w:ind w:firstLine="640" w:firstLineChars="200"/>
        <w:jc w:val="left"/>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spacing w:line="600" w:lineRule="exact"/>
        <w:ind w:firstLine="640" w:firstLineChars="200"/>
        <w:rPr>
          <w:rFonts w:hint="eastAsia" w:hAnsi="方正仿宋_GBK" w:eastAsia="方正仿宋_GBK" w:cs="方正仿宋_GBK"/>
          <w:sz w:val="32"/>
          <w:szCs w:val="32"/>
          <w:lang w:val="zh-TW" w:eastAsia="zh-TW"/>
        </w:rPr>
      </w:pPr>
      <w:r>
        <w:rPr>
          <w:rFonts w:hint="eastAsia" w:hAnsi="方正仿宋_GBK" w:eastAsia="方正仿宋_GBK" w:cs="方正仿宋_GBK"/>
          <w:sz w:val="32"/>
          <w:szCs w:val="32"/>
          <w:lang w:val="zh-TW" w:eastAsia="zh-TW"/>
        </w:rPr>
        <w:t>根据预算绩效管理要求，我站对</w:t>
      </w:r>
      <w:bookmarkStart w:id="0" w:name="_GoBack"/>
      <w:bookmarkEnd w:id="0"/>
      <w:r>
        <w:rPr>
          <w:rFonts w:hint="eastAsia" w:hAnsi="方正仿宋_GBK" w:eastAsia="方正仿宋_GBK" w:cs="方正仿宋_GBK"/>
          <w:sz w:val="32"/>
          <w:szCs w:val="32"/>
          <w:lang w:val="zh-TW" w:eastAsia="zh-TW"/>
        </w:rPr>
        <w:t>6个项目开展了绩效自评，其中，以填报自评表形式开展自评6项，涉及资金255.85万元；以委托第三方出具报告的方式开展绩效评价0项，涉及资金0万元。</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widowControl/>
        <w:shd w:val="clear" w:color="auto" w:fill="FFFFFF"/>
        <w:jc w:val="left"/>
        <w:rPr>
          <w:rFonts w:ascii="方正仿宋_GBK" w:hAnsi="仿宋_GB2312" w:eastAsia="方正仿宋_GBK" w:cs="仿宋_GB2312"/>
          <w:sz w:val="32"/>
        </w:rPr>
      </w:pPr>
      <w:r>
        <w:rPr>
          <w:rFonts w:hint="eastAsia" w:ascii="方正仿宋_GBK" w:hAnsi="仿宋_GB2312" w:eastAsia="方正仿宋_GBK" w:cs="仿宋_GB2312"/>
          <w:sz w:val="32"/>
        </w:rPr>
        <w:t>1.绩效目标自评表</w:t>
      </w:r>
    </w:p>
    <w:tbl>
      <w:tblPr>
        <w:tblStyle w:val="10"/>
        <w:tblW w:w="9045" w:type="dxa"/>
        <w:tblInd w:w="0" w:type="dxa"/>
        <w:tblLayout w:type="fixed"/>
        <w:tblCellMar>
          <w:top w:w="0" w:type="dxa"/>
          <w:left w:w="108" w:type="dxa"/>
          <w:bottom w:w="0" w:type="dxa"/>
          <w:right w:w="108" w:type="dxa"/>
        </w:tblCellMar>
      </w:tblPr>
      <w:tblGrid>
        <w:gridCol w:w="989"/>
        <w:gridCol w:w="89"/>
        <w:gridCol w:w="311"/>
        <w:gridCol w:w="431"/>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0" w:type="dxa"/>
            <w:left w:w="108" w:type="dxa"/>
            <w:bottom w:w="0" w:type="dxa"/>
            <w:right w:w="108" w:type="dxa"/>
          </w:tblCellMar>
        </w:tblPrEx>
        <w:trPr>
          <w:trHeight w:val="795"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项目名称：</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水文设施维护费</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50011221T000000053642</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97.92</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　</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项目主管部门：</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赵庭亮</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67414570</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0" w:type="dxa"/>
            <w:left w:w="108" w:type="dxa"/>
            <w:bottom w:w="0" w:type="dxa"/>
            <w:right w:w="108" w:type="dxa"/>
          </w:tblCellMar>
        </w:tblPrEx>
        <w:trPr>
          <w:trHeight w:val="495"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0" w:type="dxa"/>
            <w:left w:w="108" w:type="dxa"/>
            <w:bottom w:w="0" w:type="dxa"/>
            <w:right w:w="108" w:type="dxa"/>
          </w:tblCellMar>
        </w:tblPrEx>
        <w:trPr>
          <w:trHeight w:val="392"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581,500.00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552,400.00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552,400.00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0" w:type="dxa"/>
            <w:left w:w="108" w:type="dxa"/>
            <w:bottom w:w="0" w:type="dxa"/>
            <w:right w:w="108" w:type="dxa"/>
          </w:tblCellMar>
        </w:tblPrEx>
        <w:trPr>
          <w:trHeight w:val="426"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581,500.00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552,400.00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552,400.00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0" w:type="dxa"/>
            <w:left w:w="108" w:type="dxa"/>
            <w:bottom w:w="0" w:type="dxa"/>
            <w:right w:w="108" w:type="dxa"/>
          </w:tblCellMar>
        </w:tblPrEx>
        <w:trPr>
          <w:trHeight w:val="495"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0" w:type="dxa"/>
            <w:left w:w="108" w:type="dxa"/>
            <w:bottom w:w="0" w:type="dxa"/>
            <w:right w:w="108" w:type="dxa"/>
          </w:tblCellMar>
        </w:tblPrEx>
        <w:trPr>
          <w:trHeight w:val="671"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通过加强对水文监测站点的维护维修管护，及时落实专人进行修复，保证2021年系统畅通率及数据准确率达到市局考核目标。同时，完成对水文基础设施修缮，确保水文监测设施全年运行稳定，完成水文监测目标任务。</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通过加强对水文监测站点的维护维修管护，及时落实专人进行修复，保证2021年系统畅通率及数据准确率达到市局考核目标。同时，完成对水文基础设施修缮，确保水文监测设施全年运行稳定，完成水文监测目标任务。</w:t>
            </w:r>
          </w:p>
        </w:tc>
      </w:tr>
      <w:tr>
        <w:tblPrEx>
          <w:tblLayout w:type="fixed"/>
          <w:tblCellMar>
            <w:top w:w="0" w:type="dxa"/>
            <w:left w:w="108" w:type="dxa"/>
            <w:bottom w:w="0" w:type="dxa"/>
            <w:right w:w="108" w:type="dxa"/>
          </w:tblCellMar>
        </w:tblPrEx>
        <w:trPr>
          <w:trHeight w:val="521"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0" w:type="dxa"/>
            <w:left w:w="108" w:type="dxa"/>
            <w:bottom w:w="0" w:type="dxa"/>
            <w:right w:w="108" w:type="dxa"/>
          </w:tblCellMar>
        </w:tblPrEx>
        <w:trPr>
          <w:trHeight w:val="495"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0" w:type="dxa"/>
            <w:left w:w="108" w:type="dxa"/>
            <w:bottom w:w="0" w:type="dxa"/>
            <w:right w:w="108" w:type="dxa"/>
          </w:tblCellMar>
        </w:tblPrEx>
        <w:trPr>
          <w:trHeight w:val="38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测站数量</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67</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67</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6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设备完好率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数据畅通率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96</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96</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降低设备报损率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数据采集准确率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96</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1.04</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89.6</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17.92</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r>
              <w:rPr>
                <w:rFonts w:hint="eastAsia" w:cs="宋体" w:asciiTheme="minorEastAsia" w:hAnsiTheme="minorEastAsia"/>
                <w:color w:val="000000"/>
                <w:kern w:val="0"/>
                <w:sz w:val="15"/>
                <w:szCs w:val="15"/>
              </w:rPr>
              <w:t>未完成绩效目标或偏离较多的原因、改进措施及其他说明</w:t>
            </w:r>
          </w:p>
        </w:tc>
        <w:tc>
          <w:tcPr>
            <w:tcW w:w="7656" w:type="dxa"/>
            <w:gridSpan w:val="2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p>
      <w:pPr>
        <w:widowControl/>
        <w:shd w:val="clear" w:color="auto" w:fill="FFFFFF"/>
        <w:jc w:val="left"/>
        <w:rPr>
          <w:rFonts w:ascii="宋体" w:hAnsi="宋体" w:eastAsia="宋体" w:cs="宋体"/>
          <w:kern w:val="0"/>
          <w:sz w:val="18"/>
          <w:szCs w:val="18"/>
        </w:rPr>
      </w:pPr>
    </w:p>
    <w:tbl>
      <w:tblPr>
        <w:tblStyle w:val="10"/>
        <w:tblW w:w="9045" w:type="dxa"/>
        <w:tblInd w:w="0" w:type="dxa"/>
        <w:tblLayout w:type="fixed"/>
        <w:tblCellMar>
          <w:top w:w="0" w:type="dxa"/>
          <w:left w:w="108" w:type="dxa"/>
          <w:bottom w:w="0" w:type="dxa"/>
          <w:right w:w="108" w:type="dxa"/>
        </w:tblCellMar>
      </w:tblPr>
      <w:tblGrid>
        <w:gridCol w:w="989"/>
        <w:gridCol w:w="89"/>
        <w:gridCol w:w="311"/>
        <w:gridCol w:w="431"/>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0" w:type="dxa"/>
            <w:left w:w="108" w:type="dxa"/>
            <w:bottom w:w="0" w:type="dxa"/>
            <w:right w:w="108" w:type="dxa"/>
          </w:tblCellMar>
        </w:tblPrEx>
        <w:trPr>
          <w:trHeight w:val="795"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项目名称：</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水文站测量费</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50011221T000000053643</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99.50</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　</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项目主管部门：</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赵庭亮</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67414570</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0" w:type="dxa"/>
            <w:left w:w="108" w:type="dxa"/>
            <w:bottom w:w="0" w:type="dxa"/>
            <w:right w:w="108" w:type="dxa"/>
          </w:tblCellMar>
        </w:tblPrEx>
        <w:trPr>
          <w:trHeight w:val="495"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0" w:type="dxa"/>
            <w:left w:w="108" w:type="dxa"/>
            <w:bottom w:w="0" w:type="dxa"/>
            <w:right w:w="108" w:type="dxa"/>
          </w:tblCellMar>
        </w:tblPrEx>
        <w:trPr>
          <w:trHeight w:val="392"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135,000.00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135,000.00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0" w:type="dxa"/>
            <w:left w:w="108" w:type="dxa"/>
            <w:bottom w:w="0" w:type="dxa"/>
            <w:right w:w="108" w:type="dxa"/>
          </w:tblCellMar>
        </w:tblPrEx>
        <w:trPr>
          <w:trHeight w:val="426"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135,000.00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135,000.00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0" w:type="dxa"/>
            <w:left w:w="108" w:type="dxa"/>
            <w:bottom w:w="0" w:type="dxa"/>
            <w:right w:w="108" w:type="dxa"/>
          </w:tblCellMar>
        </w:tblPrEx>
        <w:trPr>
          <w:trHeight w:val="495"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0" w:type="dxa"/>
            <w:left w:w="108" w:type="dxa"/>
            <w:bottom w:w="0" w:type="dxa"/>
            <w:right w:w="108" w:type="dxa"/>
          </w:tblCellMar>
        </w:tblPrEx>
        <w:trPr>
          <w:trHeight w:val="671"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对5个水文站、7个水位站的水准点、水尺零点高程汛前开展1次校测工作，对个水文站水文监测大断面每年汛前、汛后进行校测复核，每场大洪水后重新开展水文大断面测量，确保水文基础数据的真实可靠。</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对5个水文站、7个水位站的水准点、水尺零点高程汛前开展1次校测工作，对个水文站水文监测大断面每年汛前、汛后进行校测复核，每场大洪水后重新开展水文大断面测量，确保水文基础数据的真实可靠。</w:t>
            </w:r>
          </w:p>
        </w:tc>
      </w:tr>
      <w:tr>
        <w:tblPrEx>
          <w:tblLayout w:type="fixed"/>
          <w:tblCellMar>
            <w:top w:w="0" w:type="dxa"/>
            <w:left w:w="108" w:type="dxa"/>
            <w:bottom w:w="0" w:type="dxa"/>
            <w:right w:w="108" w:type="dxa"/>
          </w:tblCellMar>
        </w:tblPrEx>
        <w:trPr>
          <w:trHeight w:val="521"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0" w:type="dxa"/>
            <w:left w:w="108" w:type="dxa"/>
            <w:bottom w:w="0" w:type="dxa"/>
            <w:right w:w="108" w:type="dxa"/>
          </w:tblCellMar>
        </w:tblPrEx>
        <w:trPr>
          <w:trHeight w:val="495"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0" w:type="dxa"/>
            <w:left w:w="108" w:type="dxa"/>
            <w:bottom w:w="0" w:type="dxa"/>
            <w:right w:w="108" w:type="dxa"/>
          </w:tblCellMar>
        </w:tblPrEx>
        <w:trPr>
          <w:trHeight w:val="38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测站数量</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12</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12</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6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成果合格率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降低水文数据错误率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水文数据可靠性</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99</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4.5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r>
              <w:rPr>
                <w:rFonts w:hint="eastAsia" w:cs="宋体" w:asciiTheme="minorEastAsia" w:hAnsiTheme="minorEastAsia"/>
                <w:color w:val="000000"/>
                <w:kern w:val="0"/>
                <w:sz w:val="15"/>
                <w:szCs w:val="15"/>
              </w:rPr>
              <w:t>未完成绩效目标或偏离较多的原因、改进措施及其他说明</w:t>
            </w:r>
          </w:p>
        </w:tc>
        <w:tc>
          <w:tcPr>
            <w:tcW w:w="7656" w:type="dxa"/>
            <w:gridSpan w:val="2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p>
      <w:pPr>
        <w:widowControl/>
        <w:shd w:val="clear" w:color="auto" w:fill="FFFFFF"/>
        <w:jc w:val="left"/>
        <w:rPr>
          <w:rFonts w:ascii="宋体" w:hAnsi="宋体" w:eastAsia="宋体" w:cs="宋体"/>
          <w:kern w:val="0"/>
          <w:sz w:val="18"/>
          <w:szCs w:val="18"/>
        </w:rPr>
      </w:pPr>
    </w:p>
    <w:tbl>
      <w:tblPr>
        <w:tblStyle w:val="10"/>
        <w:tblW w:w="9045" w:type="dxa"/>
        <w:tblInd w:w="0" w:type="dxa"/>
        <w:tblLayout w:type="fixed"/>
        <w:tblCellMar>
          <w:top w:w="0" w:type="dxa"/>
          <w:left w:w="108" w:type="dxa"/>
          <w:bottom w:w="0" w:type="dxa"/>
          <w:right w:w="108" w:type="dxa"/>
        </w:tblCellMar>
      </w:tblPr>
      <w:tblGrid>
        <w:gridCol w:w="989"/>
        <w:gridCol w:w="89"/>
        <w:gridCol w:w="311"/>
        <w:gridCol w:w="431"/>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0" w:type="dxa"/>
            <w:left w:w="108" w:type="dxa"/>
            <w:bottom w:w="0" w:type="dxa"/>
            <w:right w:w="108" w:type="dxa"/>
          </w:tblCellMar>
        </w:tblPrEx>
        <w:trPr>
          <w:trHeight w:val="795"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项目名称：</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水文资料整编及审查</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50011221T000000053646</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95.84</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　</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项目主管部门：</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赵庭亮</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67414570</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0" w:type="dxa"/>
            <w:left w:w="108" w:type="dxa"/>
            <w:bottom w:w="0" w:type="dxa"/>
            <w:right w:w="108" w:type="dxa"/>
          </w:tblCellMar>
        </w:tblPrEx>
        <w:trPr>
          <w:trHeight w:val="495"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0" w:type="dxa"/>
            <w:left w:w="108" w:type="dxa"/>
            <w:bottom w:w="0" w:type="dxa"/>
            <w:right w:w="108" w:type="dxa"/>
          </w:tblCellMar>
        </w:tblPrEx>
        <w:trPr>
          <w:trHeight w:val="392"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0" w:type="dxa"/>
            <w:left w:w="108" w:type="dxa"/>
            <w:bottom w:w="0" w:type="dxa"/>
            <w:right w:w="108" w:type="dxa"/>
          </w:tblCellMar>
        </w:tblPrEx>
        <w:trPr>
          <w:trHeight w:val="426"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150,000.00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0" w:type="dxa"/>
            <w:left w:w="108" w:type="dxa"/>
            <w:bottom w:w="0" w:type="dxa"/>
            <w:right w:w="108" w:type="dxa"/>
          </w:tblCellMar>
        </w:tblPrEx>
        <w:trPr>
          <w:trHeight w:val="495"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0" w:type="dxa"/>
            <w:left w:w="108" w:type="dxa"/>
            <w:bottom w:w="0" w:type="dxa"/>
            <w:right w:w="108" w:type="dxa"/>
          </w:tblCellMar>
        </w:tblPrEx>
        <w:trPr>
          <w:trHeight w:val="671"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完成对54个雨量站、7个水位站和5个水文站2021年的降水、水位、流量等水文数据整编工作，确保水文监测资料的真实性、合理性和一致性，指导水文测验工作开展，进一步提升监测资料质量。</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完成对54个雨量站、7个水位站和5个水文站2021年的降水、水位、流量等水文数据整编工作，确保水文监测资料的真实性、合理性和一致性，指导水文测验工作开展，进一步提升监测资料质量。</w:t>
            </w:r>
          </w:p>
        </w:tc>
      </w:tr>
      <w:tr>
        <w:tblPrEx>
          <w:tblLayout w:type="fixed"/>
          <w:tblCellMar>
            <w:top w:w="0" w:type="dxa"/>
            <w:left w:w="108" w:type="dxa"/>
            <w:bottom w:w="0" w:type="dxa"/>
            <w:right w:w="108" w:type="dxa"/>
          </w:tblCellMar>
        </w:tblPrEx>
        <w:trPr>
          <w:trHeight w:val="521"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0" w:type="dxa"/>
            <w:left w:w="108" w:type="dxa"/>
            <w:bottom w:w="0" w:type="dxa"/>
            <w:right w:w="108" w:type="dxa"/>
          </w:tblCellMar>
        </w:tblPrEx>
        <w:trPr>
          <w:trHeight w:val="495"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0" w:type="dxa"/>
            <w:left w:w="108" w:type="dxa"/>
            <w:bottom w:w="0" w:type="dxa"/>
            <w:right w:w="108" w:type="dxa"/>
          </w:tblCellMar>
        </w:tblPrEx>
        <w:trPr>
          <w:trHeight w:val="38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整编数量</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66</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66</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6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成果合格率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99</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22.5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水文资料可利用率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89</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1.11</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88.9</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13.34</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提升水文服务能力</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r>
              <w:rPr>
                <w:rFonts w:hint="eastAsia" w:cs="宋体" w:asciiTheme="minorEastAsia" w:hAnsiTheme="minorEastAsia"/>
                <w:color w:val="000000"/>
                <w:kern w:val="0"/>
                <w:sz w:val="15"/>
                <w:szCs w:val="15"/>
              </w:rPr>
              <w:t>未完成绩效目标或偏离较多的原因、改进措施及其他说明</w:t>
            </w:r>
          </w:p>
        </w:tc>
        <w:tc>
          <w:tcPr>
            <w:tcW w:w="7656" w:type="dxa"/>
            <w:gridSpan w:val="2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p>
      <w:pPr>
        <w:widowControl/>
        <w:shd w:val="clear" w:color="auto" w:fill="FFFFFF"/>
        <w:jc w:val="left"/>
        <w:rPr>
          <w:rFonts w:ascii="宋体" w:hAnsi="宋体" w:eastAsia="宋体" w:cs="宋体"/>
          <w:kern w:val="0"/>
          <w:sz w:val="18"/>
          <w:szCs w:val="18"/>
        </w:rPr>
      </w:pPr>
    </w:p>
    <w:tbl>
      <w:tblPr>
        <w:tblStyle w:val="10"/>
        <w:tblW w:w="9045" w:type="dxa"/>
        <w:tblInd w:w="0" w:type="dxa"/>
        <w:tblLayout w:type="fixed"/>
        <w:tblCellMar>
          <w:top w:w="0" w:type="dxa"/>
          <w:left w:w="108" w:type="dxa"/>
          <w:bottom w:w="0" w:type="dxa"/>
          <w:right w:w="108" w:type="dxa"/>
        </w:tblCellMar>
      </w:tblPr>
      <w:tblGrid>
        <w:gridCol w:w="989"/>
        <w:gridCol w:w="89"/>
        <w:gridCol w:w="311"/>
        <w:gridCol w:w="431"/>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PrEx>
        <w:trPr>
          <w:trHeight w:val="795"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项目名称：</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水文站日常运行维护费</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50011222T000000068168</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98.95</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　</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项目主管部门：</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赵庭亮</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67414570</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0" w:type="dxa"/>
            <w:left w:w="108" w:type="dxa"/>
            <w:bottom w:w="0" w:type="dxa"/>
            <w:right w:w="108" w:type="dxa"/>
          </w:tblCellMar>
        </w:tblPrEx>
        <w:trPr>
          <w:trHeight w:val="495"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0" w:type="dxa"/>
            <w:left w:w="108" w:type="dxa"/>
            <w:bottom w:w="0" w:type="dxa"/>
            <w:right w:w="108" w:type="dxa"/>
          </w:tblCellMar>
        </w:tblPrEx>
        <w:trPr>
          <w:trHeight w:val="392"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666,000.00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606,945.40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606,945.40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0" w:type="dxa"/>
            <w:left w:w="108" w:type="dxa"/>
            <w:bottom w:w="0" w:type="dxa"/>
            <w:right w:w="108" w:type="dxa"/>
          </w:tblCellMar>
        </w:tblPrEx>
        <w:trPr>
          <w:trHeight w:val="426"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666,000.00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606,945.40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606,945.40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0" w:type="dxa"/>
            <w:left w:w="108" w:type="dxa"/>
            <w:bottom w:w="0" w:type="dxa"/>
            <w:right w:w="108" w:type="dxa"/>
          </w:tblCellMar>
        </w:tblPrEx>
        <w:trPr>
          <w:trHeight w:val="495"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0" w:type="dxa"/>
            <w:left w:w="108" w:type="dxa"/>
            <w:bottom w:w="0" w:type="dxa"/>
            <w:right w:w="108" w:type="dxa"/>
          </w:tblCellMar>
        </w:tblPrEx>
        <w:trPr>
          <w:trHeight w:val="671"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保证全区54个雨量站、7个水位站、5个水文测站、1个墒情实验站和水文中心正常运行，确保所有监测设施设备得到有效保护，水情雨情等各项水文数据能够有效采集报送，水雨情应用系统、中小河流预警预报系统、水情会商音视频系统及测站视频监控系统得到及时维护保养，保证水文信息传输渠道畅通和系统安全稳定运行，确保水文监测数据能够及时有效的传递、存储。</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保证全区54个雨量站、7个水位站、5个水文测站、1个墒情实验站和水文中心正常运行，确保所有监测设施设备得到有效保护，水情雨情等各项水文数据能够有效采集报送，水雨情应用系统、中小河流预警预报系统、水情会商音视频系统及测站视频监控系统得到及时维护保养，保证水文信息传输渠道畅通和系统安全稳定运行，确保水文监测数据能够及时有效的传递、存储。</w:t>
            </w:r>
          </w:p>
        </w:tc>
      </w:tr>
      <w:tr>
        <w:tblPrEx>
          <w:tblLayout w:type="fixed"/>
          <w:tblCellMar>
            <w:top w:w="0" w:type="dxa"/>
            <w:left w:w="108" w:type="dxa"/>
            <w:bottom w:w="0" w:type="dxa"/>
            <w:right w:w="108" w:type="dxa"/>
          </w:tblCellMar>
        </w:tblPrEx>
        <w:trPr>
          <w:trHeight w:val="521"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0" w:type="dxa"/>
            <w:left w:w="108" w:type="dxa"/>
            <w:bottom w:w="0" w:type="dxa"/>
            <w:right w:w="108" w:type="dxa"/>
          </w:tblCellMar>
        </w:tblPrEx>
        <w:trPr>
          <w:trHeight w:val="495"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0" w:type="dxa"/>
            <w:left w:w="108" w:type="dxa"/>
            <w:bottom w:w="0" w:type="dxa"/>
            <w:right w:w="108" w:type="dxa"/>
          </w:tblCellMar>
        </w:tblPrEx>
        <w:trPr>
          <w:trHeight w:val="38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监测站点数量</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6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数据采集率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运行保障率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水文数据安全性</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水文资料及时性</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94</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1.05</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89.5</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8.95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保护生态环境</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r>
              <w:rPr>
                <w:rFonts w:hint="eastAsia" w:cs="宋体" w:asciiTheme="minorEastAsia" w:hAnsiTheme="minorEastAsia"/>
                <w:color w:val="000000"/>
                <w:kern w:val="0"/>
                <w:sz w:val="15"/>
                <w:szCs w:val="15"/>
              </w:rPr>
              <w:t>未完成绩效目标或偏离较多的原因、改进措施及其他说明</w:t>
            </w:r>
          </w:p>
        </w:tc>
        <w:tc>
          <w:tcPr>
            <w:tcW w:w="7656" w:type="dxa"/>
            <w:gridSpan w:val="2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p>
      <w:pPr>
        <w:widowControl/>
        <w:shd w:val="clear" w:color="auto" w:fill="FFFFFF"/>
        <w:jc w:val="left"/>
        <w:rPr>
          <w:rFonts w:ascii="宋体" w:hAnsi="宋体" w:eastAsia="宋体" w:cs="宋体"/>
          <w:kern w:val="0"/>
          <w:sz w:val="18"/>
          <w:szCs w:val="18"/>
        </w:rPr>
      </w:pPr>
    </w:p>
    <w:tbl>
      <w:tblPr>
        <w:tblStyle w:val="10"/>
        <w:tblW w:w="9045" w:type="dxa"/>
        <w:tblInd w:w="0" w:type="dxa"/>
        <w:tblLayout w:type="fixed"/>
        <w:tblCellMar>
          <w:top w:w="0" w:type="dxa"/>
          <w:left w:w="108" w:type="dxa"/>
          <w:bottom w:w="0" w:type="dxa"/>
          <w:right w:w="108" w:type="dxa"/>
        </w:tblCellMar>
      </w:tblPr>
      <w:tblGrid>
        <w:gridCol w:w="989"/>
        <w:gridCol w:w="89"/>
        <w:gridCol w:w="311"/>
        <w:gridCol w:w="431"/>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0" w:type="dxa"/>
            <w:left w:w="108" w:type="dxa"/>
            <w:bottom w:w="0" w:type="dxa"/>
            <w:right w:w="108" w:type="dxa"/>
          </w:tblCellMar>
        </w:tblPrEx>
        <w:trPr>
          <w:trHeight w:val="795"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项目名称：</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水文测验耗材</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50011222T000000068170</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97.47</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　</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495" w:hRule="atLeast"/>
        </w:trPr>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ascii="宋体" w:hAnsi="宋体" w:cs="宋体"/>
                <w:b/>
                <w:bCs/>
                <w:color w:val="000000"/>
                <w:sz w:val="15"/>
                <w:szCs w:val="15"/>
              </w:rPr>
            </w:pPr>
            <w:r>
              <w:rPr>
                <w:rFonts w:hint="eastAsia" w:ascii="宋体" w:hAnsi="宋体"/>
                <w:b/>
                <w:bCs/>
                <w:color w:val="000000"/>
                <w:sz w:val="15"/>
                <w:szCs w:val="15"/>
              </w:rPr>
              <w:t>项目主管部门：</w:t>
            </w:r>
          </w:p>
        </w:tc>
        <w:tc>
          <w:tcPr>
            <w:tcW w:w="10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tc>
        <w:tc>
          <w:tcPr>
            <w:tcW w:w="10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赵庭亮</w:t>
            </w:r>
          </w:p>
        </w:tc>
        <w:tc>
          <w:tcPr>
            <w:tcW w:w="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67414570</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0" w:type="dxa"/>
            <w:left w:w="108" w:type="dxa"/>
            <w:bottom w:w="0" w:type="dxa"/>
            <w:right w:w="108" w:type="dxa"/>
          </w:tblCellMar>
        </w:tblPrEx>
        <w:trPr>
          <w:trHeight w:val="495"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0" w:type="dxa"/>
            <w:left w:w="108" w:type="dxa"/>
            <w:bottom w:w="0" w:type="dxa"/>
            <w:right w:w="108" w:type="dxa"/>
          </w:tblCellMar>
        </w:tblPrEx>
        <w:trPr>
          <w:trHeight w:val="392"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314,203.66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314,203.66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0" w:type="dxa"/>
            <w:left w:w="108" w:type="dxa"/>
            <w:bottom w:w="0" w:type="dxa"/>
            <w:right w:w="108" w:type="dxa"/>
          </w:tblCellMar>
        </w:tblPrEx>
        <w:trPr>
          <w:trHeight w:val="426" w:hRule="atLeast"/>
        </w:trPr>
        <w:tc>
          <w:tcPr>
            <w:tcW w:w="10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350,000.00 </w:t>
            </w:r>
          </w:p>
        </w:tc>
        <w:tc>
          <w:tcPr>
            <w:tcW w:w="1654"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314,203.66 </w:t>
            </w:r>
          </w:p>
        </w:tc>
        <w:tc>
          <w:tcPr>
            <w:tcW w:w="168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314,203.66 </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0" w:type="dxa"/>
            <w:left w:w="108" w:type="dxa"/>
            <w:bottom w:w="0" w:type="dxa"/>
            <w:right w:w="108" w:type="dxa"/>
          </w:tblCellMar>
        </w:tblPrEx>
        <w:trPr>
          <w:trHeight w:val="477"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0" w:type="dxa"/>
            <w:left w:w="108" w:type="dxa"/>
            <w:bottom w:w="0" w:type="dxa"/>
            <w:right w:w="108" w:type="dxa"/>
          </w:tblCellMar>
        </w:tblPrEx>
        <w:trPr>
          <w:trHeight w:val="495"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0" w:type="dxa"/>
            <w:left w:w="108" w:type="dxa"/>
            <w:bottom w:w="0" w:type="dxa"/>
            <w:right w:w="108" w:type="dxa"/>
          </w:tblCellMar>
        </w:tblPrEx>
        <w:trPr>
          <w:trHeight w:val="671" w:hRule="atLeast"/>
        </w:trPr>
        <w:tc>
          <w:tcPr>
            <w:tcW w:w="2447"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确保54个雨量站、7个水位站和5个水文站能够损坏设备能够在24小时内得到及时更换，为水文测站泥沙、流量、墒情测验低值易耗材料损耗提供支撑，满足水文测验要求，确保能够及时准确的得到水文监测数据，完成市级考核目标任务。</w:t>
            </w:r>
          </w:p>
        </w:tc>
        <w:tc>
          <w:tcPr>
            <w:tcW w:w="1777"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cs="宋体" w:asciiTheme="minorEastAsia" w:hAnsiTheme="minorEastAsia"/>
                <w:color w:val="000000"/>
                <w:sz w:val="15"/>
                <w:szCs w:val="15"/>
              </w:rPr>
            </w:pPr>
            <w:r>
              <w:rPr>
                <w:rFonts w:hint="eastAsia" w:asciiTheme="minorEastAsia" w:hAnsiTheme="minorEastAsia"/>
                <w:color w:val="000000"/>
                <w:sz w:val="15"/>
                <w:szCs w:val="15"/>
              </w:rPr>
              <w:t>确保54个雨量站、7个水位站和5个水文站能够损坏设备能够在24小时内得到及时更换，为水文测站泥沙、流量、墒情测验低值易耗材料损耗提供支撑，满足水文测验要求，确保能够及时准确的得到水文监测数据，完成市级考核目标任务。</w:t>
            </w:r>
          </w:p>
        </w:tc>
      </w:tr>
      <w:tr>
        <w:tblPrEx>
          <w:tblLayout w:type="fixed"/>
          <w:tblCellMar>
            <w:top w:w="0" w:type="dxa"/>
            <w:left w:w="108" w:type="dxa"/>
            <w:bottom w:w="0" w:type="dxa"/>
            <w:right w:w="108" w:type="dxa"/>
          </w:tblCellMar>
        </w:tblPrEx>
        <w:trPr>
          <w:trHeight w:val="521" w:hRule="atLeast"/>
        </w:trPr>
        <w:tc>
          <w:tcPr>
            <w:tcW w:w="9045" w:type="dxa"/>
            <w:gridSpan w:val="2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0" w:type="dxa"/>
            <w:left w:w="108" w:type="dxa"/>
            <w:bottom w:w="0" w:type="dxa"/>
            <w:right w:w="108" w:type="dxa"/>
          </w:tblCellMar>
        </w:tblPrEx>
        <w:trPr>
          <w:trHeight w:val="495"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0" w:type="dxa"/>
            <w:left w:w="108" w:type="dxa"/>
            <w:bottom w:w="0" w:type="dxa"/>
            <w:right w:w="108" w:type="dxa"/>
          </w:tblCellMar>
        </w:tblPrEx>
        <w:trPr>
          <w:trHeight w:val="38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测站数量</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66</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66</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测站数量</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6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耗材储备率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耗材储备率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2"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设备更换及时率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98</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设备更换及时率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年度完成率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提升水文数据采集能力</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提升水文数据采集能力</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水文数据可持续利用率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99</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18</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水文数据可持续利用率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长期影响率</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371"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4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95</w:t>
            </w:r>
          </w:p>
        </w:tc>
        <w:tc>
          <w:tcPr>
            <w:tcW w:w="5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94</w:t>
            </w:r>
          </w:p>
        </w:tc>
        <w:tc>
          <w:tcPr>
            <w:tcW w:w="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1.05</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89.5</w:t>
            </w:r>
          </w:p>
        </w:tc>
        <w:tc>
          <w:tcPr>
            <w:tcW w:w="7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4.47</w:t>
            </w:r>
          </w:p>
        </w:tc>
        <w:tc>
          <w:tcPr>
            <w:tcW w:w="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满意度</w:t>
            </w:r>
          </w:p>
        </w:tc>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Theme="minorEastAsia" w:hAnsiTheme="minorEastAsia"/>
                <w:sz w:val="15"/>
                <w:szCs w:val="15"/>
              </w:rPr>
            </w:pP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r>
              <w:rPr>
                <w:rFonts w:hint="eastAsia" w:cs="宋体" w:asciiTheme="minorEastAsia" w:hAnsiTheme="minorEastAsia"/>
                <w:color w:val="000000"/>
                <w:kern w:val="0"/>
                <w:sz w:val="15"/>
                <w:szCs w:val="15"/>
              </w:rPr>
              <w:t>未完成绩效目标或偏离较多的原因、改进措施及其他说明</w:t>
            </w:r>
          </w:p>
        </w:tc>
        <w:tc>
          <w:tcPr>
            <w:tcW w:w="7656" w:type="dxa"/>
            <w:gridSpan w:val="2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2.绩效自评报告或案例。</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我站是采用填报目标自评表形式开展绩效自评，没有绩效自评报告。</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3.关于绩效自评结果的说明。</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经评价，各项目均达到了年度绩效目标。</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我站是采用填报目标自评表形式开展绩效自评，没有重点绩效自评项目。</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六、专业名词解释</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（四）其他收入：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（五）使用非财政拨款结余：</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7"/>
        <w:tabs>
          <w:tab w:val="center" w:pos="4153"/>
          <w:tab w:val="left" w:pos="7275"/>
        </w:tabs>
        <w:spacing w:line="560" w:lineRule="exact"/>
        <w:ind w:firstLine="640"/>
        <w:rPr>
          <w:rFonts w:hint="eastAsia" w:ascii="Calibri" w:hAnsi="Calibri" w:eastAsia="方正黑体_GBK" w:cs="Times New Roman"/>
          <w:sz w:val="32"/>
          <w:szCs w:val="32"/>
          <w:lang w:val="zh-TW" w:eastAsia="zh-TW"/>
        </w:rPr>
      </w:pPr>
      <w:r>
        <w:rPr>
          <w:rFonts w:hint="eastAsia" w:ascii="Calibri" w:hAnsi="Calibri" w:eastAsia="方正黑体_GBK" w:cs="Times New Roman"/>
          <w:sz w:val="32"/>
          <w:szCs w:val="32"/>
          <w:lang w:val="zh-TW" w:eastAsia="zh-TW"/>
        </w:rPr>
        <w:t>七、决算公开联系方式及信息反馈渠道</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部门决算公开联系人：盛劲</w:t>
      </w:r>
    </w:p>
    <w:p>
      <w:pPr>
        <w:widowControl/>
        <w:shd w:val="clear" w:color="auto" w:fill="FFFFFF"/>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联系电话：023-67822476</w:t>
      </w:r>
    </w:p>
    <w:p>
      <w:pPr>
        <w:widowControl/>
        <w:shd w:val="clear" w:color="auto" w:fill="FFFFFF"/>
        <w:ind w:firstLine="640" w:firstLineChars="200"/>
        <w:jc w:val="left"/>
        <w:rPr>
          <w:rFonts w:hint="eastAsia" w:ascii="方正仿宋_GBK" w:hAnsi="方正仿宋_GBK" w:eastAsia="方正仿宋_GBK" w:cs="方正仿宋_GBK"/>
          <w:kern w:val="0"/>
          <w:sz w:val="32"/>
          <w:szCs w:val="32"/>
          <w:lang w:eastAsia="zh-TW"/>
        </w:rPr>
      </w:pPr>
      <w:r>
        <w:rPr>
          <w:rFonts w:hint="eastAsia" w:ascii="方正仿宋_GBK" w:hAnsi="方正仿宋_GBK" w:eastAsia="方正仿宋_GBK" w:cs="方正仿宋_GBK"/>
          <w:kern w:val="0"/>
          <w:sz w:val="32"/>
          <w:szCs w:val="32"/>
          <w:lang w:eastAsia="zh-TW"/>
        </w:rPr>
        <w:t>邮箱：342816184@QQ.COM</w:t>
      </w:r>
    </w:p>
    <w:p>
      <w:pPr>
        <w:widowControl/>
        <w:shd w:val="clear" w:color="auto" w:fill="FFFFFF"/>
        <w:ind w:firstLine="640" w:firstLineChars="200"/>
        <w:jc w:val="left"/>
        <w:rPr>
          <w:rFonts w:ascii="方正仿宋_GBK" w:hAnsi="方正仿宋_GBK" w:eastAsia="方正仿宋_GBK" w:cs="方正仿宋_GBK"/>
          <w:kern w:val="0"/>
          <w:sz w:val="32"/>
          <w:szCs w:val="32"/>
        </w:rPr>
      </w:pPr>
    </w:p>
    <w:p>
      <w:pPr>
        <w:widowControl/>
        <w:shd w:val="clear" w:color="auto" w:fill="FFFFFF"/>
        <w:jc w:val="left"/>
        <w:rPr>
          <w:rFonts w:ascii="方正仿宋_GBK" w:hAnsi="方正仿宋_GBK" w:eastAsia="方正仿宋_GBK" w:cs="方正仿宋_GBK"/>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10E6"/>
    <w:rsid w:val="00047DD6"/>
    <w:rsid w:val="00061A31"/>
    <w:rsid w:val="00090184"/>
    <w:rsid w:val="00197F5E"/>
    <w:rsid w:val="001B6B50"/>
    <w:rsid w:val="001E7FF4"/>
    <w:rsid w:val="00246185"/>
    <w:rsid w:val="0026753D"/>
    <w:rsid w:val="002774D9"/>
    <w:rsid w:val="002A2F63"/>
    <w:rsid w:val="002F014E"/>
    <w:rsid w:val="003469F1"/>
    <w:rsid w:val="00375CEA"/>
    <w:rsid w:val="003E31C6"/>
    <w:rsid w:val="00487E40"/>
    <w:rsid w:val="00493534"/>
    <w:rsid w:val="005309B2"/>
    <w:rsid w:val="005344F8"/>
    <w:rsid w:val="00560B9D"/>
    <w:rsid w:val="005B3054"/>
    <w:rsid w:val="005C792E"/>
    <w:rsid w:val="005F0B6A"/>
    <w:rsid w:val="00604647"/>
    <w:rsid w:val="006B4644"/>
    <w:rsid w:val="00702349"/>
    <w:rsid w:val="00707A1C"/>
    <w:rsid w:val="0083238A"/>
    <w:rsid w:val="0084202C"/>
    <w:rsid w:val="00852671"/>
    <w:rsid w:val="008546B2"/>
    <w:rsid w:val="008556CE"/>
    <w:rsid w:val="008802C2"/>
    <w:rsid w:val="00893426"/>
    <w:rsid w:val="008A6228"/>
    <w:rsid w:val="008B081F"/>
    <w:rsid w:val="009728E6"/>
    <w:rsid w:val="00A03E77"/>
    <w:rsid w:val="00A152D6"/>
    <w:rsid w:val="00A346A4"/>
    <w:rsid w:val="00A86DB3"/>
    <w:rsid w:val="00AA7B06"/>
    <w:rsid w:val="00AF6EFB"/>
    <w:rsid w:val="00B8272F"/>
    <w:rsid w:val="00B833F0"/>
    <w:rsid w:val="00B92383"/>
    <w:rsid w:val="00BD3169"/>
    <w:rsid w:val="00C72B86"/>
    <w:rsid w:val="00CA10E6"/>
    <w:rsid w:val="00CE2C0E"/>
    <w:rsid w:val="00D22266"/>
    <w:rsid w:val="00D4689F"/>
    <w:rsid w:val="00DF2082"/>
    <w:rsid w:val="00E52ADD"/>
    <w:rsid w:val="00E62F6C"/>
    <w:rsid w:val="00F467BF"/>
    <w:rsid w:val="00F76E4E"/>
    <w:rsid w:val="00F82ABC"/>
    <w:rsid w:val="00F86BD5"/>
    <w:rsid w:val="16FB50AA"/>
    <w:rsid w:val="384A7159"/>
    <w:rsid w:val="3BAD250A"/>
    <w:rsid w:val="3BC77F5E"/>
    <w:rsid w:val="3C414A0F"/>
    <w:rsid w:val="3F1223A9"/>
    <w:rsid w:val="415926BF"/>
    <w:rsid w:val="46300A34"/>
    <w:rsid w:val="4B3477BE"/>
    <w:rsid w:val="691555F5"/>
    <w:rsid w:val="7D336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title"/>
    <w:basedOn w:val="7"/>
    <w:qFormat/>
    <w:uiPriority w:val="0"/>
  </w:style>
  <w:style w:type="character" w:customStyle="1" w:styleId="14">
    <w:name w:val="批注框文本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Calibri" w:hAnsi="Calibri" w:eastAsia="宋体" w:cs="Times New Roman"/>
    </w:rPr>
  </w:style>
  <w:style w:type="paragraph" w:customStyle="1" w:styleId="16">
    <w:name w:val="_Style 1"/>
    <w:basedOn w:val="1"/>
    <w:qFormat/>
    <w:uiPriority w:val="34"/>
    <w:pPr>
      <w:ind w:firstLine="420" w:firstLineChars="200"/>
    </w:pPr>
  </w:style>
  <w:style w:type="paragraph" w:customStyle="1" w:styleId="1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1448</Words>
  <Characters>8255</Characters>
  <Lines>68</Lines>
  <Paragraphs>19</Paragraphs>
  <TotalTime>537</TotalTime>
  <ScaleCrop>false</ScaleCrop>
  <LinksUpToDate>false</LinksUpToDate>
  <CharactersWithSpaces>9684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2022-08-16T03:18:00Z</dcterms:created>
  <dc:creator>AutoBVT</dc:creator>
  <cp:lastModifiedBy>USER</cp:lastModifiedBy>
  <dcterms:modified xsi:type="dcterms:W3CDTF">2024-02-28T06:35:27Z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