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100" w:firstLineChars="250"/>
        <w:jc w:val="center"/>
        <w:rPr>
          <w:rFonts w:eastAsia="方正小标宋_GBK"/>
          <w:sz w:val="44"/>
          <w:szCs w:val="44"/>
        </w:rPr>
      </w:pPr>
    </w:p>
    <w:p>
      <w:pPr>
        <w:spacing w:line="560" w:lineRule="exact"/>
        <w:ind w:firstLine="1100" w:firstLineChars="250"/>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重庆市渝北区卫星水库管理所</w:t>
      </w:r>
    </w:p>
    <w:p>
      <w:pPr>
        <w:spacing w:line="560" w:lineRule="exact"/>
        <w:ind w:firstLine="1100" w:firstLineChars="250"/>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202</w:t>
      </w:r>
      <w:r>
        <w:rPr>
          <w:rFonts w:hint="eastAsia" w:ascii="Times New Roman" w:hAnsi="Times New Roman" w:eastAsia="方正小标宋_GBK" w:cs="Times New Roman"/>
          <w:sz w:val="44"/>
          <w:szCs w:val="44"/>
          <w:lang w:val="en-US" w:eastAsia="zh-CN"/>
        </w:rPr>
        <w:t>2</w:t>
      </w:r>
      <w:r>
        <w:rPr>
          <w:rFonts w:hint="eastAsia" w:ascii="Times New Roman" w:hAnsi="Times New Roman" w:eastAsia="方正小标宋_GBK" w:cs="Times New Roman"/>
          <w:sz w:val="44"/>
          <w:szCs w:val="44"/>
          <w:lang w:eastAsia="zh-CN"/>
        </w:rPr>
        <w:t>年度部门决算情况说明</w:t>
      </w:r>
    </w:p>
    <w:p>
      <w:pPr>
        <w:spacing w:line="560" w:lineRule="exact"/>
        <w:ind w:firstLine="1100" w:firstLineChars="250"/>
        <w:jc w:val="center"/>
        <w:rPr>
          <w:rFonts w:hint="eastAsia" w:ascii="Times New Roman" w:hAnsi="Times New Roman" w:eastAsia="方正小标宋_GBK" w:cs="Times New Roman"/>
          <w:sz w:val="44"/>
          <w:szCs w:val="44"/>
          <w:lang w:eastAsia="zh-CN"/>
        </w:rPr>
      </w:pPr>
    </w:p>
    <w:p>
      <w:pPr>
        <w:pStyle w:val="17"/>
        <w:keepNext w:val="0"/>
        <w:keepLines w:val="0"/>
        <w:pageBreakBefore w:val="0"/>
        <w:tabs>
          <w:tab w:val="center" w:pos="4153"/>
          <w:tab w:val="left" w:pos="7275"/>
        </w:tabs>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一、部门基本情况</w:t>
      </w:r>
    </w:p>
    <w:p>
      <w:pPr>
        <w:pStyle w:val="17"/>
        <w:keepNext w:val="0"/>
        <w:keepLines w:val="0"/>
        <w:pageBreakBefore w:val="0"/>
        <w:tabs>
          <w:tab w:val="center" w:pos="4153"/>
          <w:tab w:val="left" w:pos="7275"/>
        </w:tabs>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ascii="Calibri" w:hAnsi="Calibri" w:eastAsia="方正黑体_GBK"/>
          <w:sz w:val="32"/>
          <w:szCs w:val="32"/>
        </w:rPr>
      </w:pPr>
      <w:r>
        <w:rPr>
          <w:rFonts w:hint="eastAsia" w:ascii="方正楷体_GBK" w:hAnsi="方正楷体_GBK" w:eastAsia="方正楷体_GBK" w:cs="方正楷体_GBK"/>
          <w:snapToGrid w:val="0"/>
          <w:kern w:val="32"/>
          <w:sz w:val="32"/>
          <w:szCs w:val="32"/>
          <w:lang w:val="en-US" w:eastAsia="zh-CN" w:bidi="ar-SA"/>
        </w:rPr>
        <w:t>（一）职能职责。</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根据《中共重庆市渝北区委机构编制委员会关于重庆市渝北区水利局所属事业单位宗旨和职责任务的通知》（渝北编办[2015]391号）精神，我所主要宗旨为已建水利工程正常运行提供管理保障，具体如下：</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主要职责任务。水利工程养护管理、水资源保护利用、水利工程建设管理、防汛抗旱、工程绿化、水土保持、环卫。</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具体职责任务。受水利局委托，承担以下具体职责：</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（1）负责辖区水利工程养护和管理；</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（2）负责辖区水资源保护利用；</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（3）负责水利工程设施建设和管理及防汛抗旱；</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（4）负责水库管理范围内工程绿化、水土保持、环卫。</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（二）机构设置。</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我所是渝北区水利局所属二级预算单位，没有内设机构。</w:t>
      </w:r>
    </w:p>
    <w:p>
      <w:pPr>
        <w:pStyle w:val="17"/>
        <w:keepNext w:val="0"/>
        <w:keepLines w:val="0"/>
        <w:pageBreakBefore w:val="0"/>
        <w:tabs>
          <w:tab w:val="center" w:pos="4153"/>
          <w:tab w:val="left" w:pos="7275"/>
        </w:tabs>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二、部门决算情况说明</w:t>
      </w:r>
    </w:p>
    <w:p>
      <w:pPr>
        <w:pStyle w:val="17"/>
        <w:keepNext w:val="0"/>
        <w:keepLines w:val="0"/>
        <w:pageBreakBefore w:val="0"/>
        <w:tabs>
          <w:tab w:val="center" w:pos="4153"/>
          <w:tab w:val="left" w:pos="7275"/>
        </w:tabs>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lang w:val="en-US" w:eastAsia="zh-CN" w:bidi="ar-SA"/>
        </w:rPr>
        <w:t>（一）收入支出决算总体情况说明。</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3"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仿宋_GB2312" w:hAnsi="仿宋_GB2312" w:eastAsia="仿宋_GB2312" w:cs="仿宋_GB2312"/>
          <w:b/>
          <w:bCs/>
          <w:sz w:val="32"/>
          <w:lang w:val="zh-TW" w:eastAsia="zh-CN"/>
        </w:rPr>
        <w:t>1</w:t>
      </w:r>
      <w:r>
        <w:rPr>
          <w:rFonts w:hint="eastAsia" w:ascii="仿宋_GB2312" w:hAnsi="仿宋_GB2312" w:eastAsia="仿宋_GB2312" w:cs="仿宋_GB2312"/>
          <w:b/>
          <w:bCs/>
          <w:sz w:val="32"/>
          <w:lang w:val="zh-TW" w:eastAsia="zh-TW"/>
        </w:rPr>
        <w:t>.总体情况。</w:t>
      </w:r>
      <w:r>
        <w:rPr>
          <w:rFonts w:hint="eastAsia" w:ascii="方正仿宋_GBK" w:hAnsi="仿宋_GB2312" w:eastAsia="方正仿宋_GBK" w:cs="仿宋_GB2312"/>
          <w:color w:val="auto"/>
          <w:sz w:val="32"/>
          <w:highlight w:val="none"/>
          <w:lang w:val="en-US" w:eastAsia="zh-CN"/>
        </w:rPr>
        <w:t>2022年度收入总计278.41万元，支出总计278.41万元。收支较上年决算数减少219.29万元,下降44.1%，主要原因是本年减少了项目支出。</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3"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仿宋_GB2312" w:hAnsi="仿宋_GB2312" w:eastAsia="仿宋_GB2312" w:cs="仿宋_GB2312"/>
          <w:b/>
          <w:bCs/>
          <w:sz w:val="32"/>
          <w:lang w:val="zh-TW" w:eastAsia="zh-TW"/>
        </w:rPr>
        <w:t>2.收入情况。</w:t>
      </w:r>
      <w:r>
        <w:rPr>
          <w:rFonts w:hint="eastAsia" w:ascii="方正仿宋_GBK" w:hAnsi="仿宋_GB2312" w:eastAsia="方正仿宋_GBK" w:cs="仿宋_GB2312"/>
          <w:color w:val="auto"/>
          <w:sz w:val="32"/>
          <w:highlight w:val="none"/>
          <w:lang w:val="en-US" w:eastAsia="zh-CN"/>
        </w:rPr>
        <w:t>2022年度收入合计278.41万元，较上年决算数减少219.29万元，下降44.1%，主要原因是本年减少了项目支出。其中：财政拨款收入278.41万元，占100.0%。</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3"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仿宋_GB2312" w:hAnsi="仿宋_GB2312" w:eastAsia="仿宋_GB2312" w:cs="仿宋_GB2312"/>
          <w:b/>
          <w:bCs/>
          <w:sz w:val="32"/>
          <w:lang w:val="zh-TW" w:eastAsia="zh-TW"/>
        </w:rPr>
        <w:t>3.支出情况。</w:t>
      </w:r>
      <w:r>
        <w:rPr>
          <w:rFonts w:hint="eastAsia" w:ascii="方正仿宋_GBK" w:hAnsi="仿宋_GB2312" w:eastAsia="方正仿宋_GBK" w:cs="仿宋_GB2312"/>
          <w:color w:val="auto"/>
          <w:sz w:val="32"/>
          <w:highlight w:val="none"/>
          <w:lang w:val="en-US" w:eastAsia="zh-CN"/>
        </w:rPr>
        <w:t>2022年度支出合计278.41万元，较上年决算减少219.29万元，下降44.1%，主要原因是本年减少了项目支出。其中：基本支出90.46万元，占32.5%；项目支出187.95万元，占67.5%。</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3"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仿宋_GB2312" w:hAnsi="仿宋_GB2312" w:eastAsia="仿宋_GB2312" w:cs="仿宋_GB2312"/>
          <w:b/>
          <w:bCs/>
          <w:sz w:val="32"/>
          <w:lang w:val="zh-TW" w:eastAsia="zh-TW"/>
        </w:rPr>
        <w:t>4.结转结余情况。</w:t>
      </w:r>
      <w:r>
        <w:rPr>
          <w:rFonts w:hint="eastAsia" w:ascii="方正仿宋_GBK" w:hAnsi="仿宋_GB2312" w:eastAsia="方正仿宋_GBK" w:cs="仿宋_GB2312"/>
          <w:color w:val="auto"/>
          <w:sz w:val="32"/>
          <w:highlight w:val="none"/>
          <w:lang w:val="en-US" w:eastAsia="zh-CN"/>
        </w:rPr>
        <w:t>2022年度年末结转和结余0.00万元，较上年决算数增加0.00万元，增长0.0%，</w:t>
      </w:r>
      <w:r>
        <w:rPr>
          <w:rFonts w:hint="eastAsia" w:ascii="方正仿宋_GBK" w:hAnsi="仿宋_GB2312" w:eastAsia="方正仿宋_GBK" w:cs="仿宋_GB2312"/>
          <w:color w:val="auto"/>
          <w:sz w:val="32"/>
          <w:highlight w:val="none"/>
          <w:lang w:val="zh-TW" w:eastAsia="zh-TW"/>
        </w:rPr>
        <w:t>主要原因是上年和本年我所均无结转结余情况。</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楷体_GBK" w:hAnsi="方正楷体_GBK" w:eastAsia="方正楷体_GBK" w:cs="方正楷体_GBK"/>
          <w:snapToGrid w:val="0"/>
          <w:kern w:val="32"/>
          <w:sz w:val="32"/>
          <w:szCs w:val="32"/>
          <w:lang w:val="en-US" w:eastAsia="zh-CN"/>
        </w:rPr>
        <w:t>（二）财政拨款收入支出决算总体情况说明。</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2022年度财政拨款收、支总计278.41万元。与2021年相比，财政拨款收、支总计各减少219.29万元，下降44.1%。主要原因是本年减少了项目支出。</w:t>
      </w:r>
    </w:p>
    <w:p>
      <w:pPr>
        <w:pStyle w:val="17"/>
        <w:keepNext w:val="0"/>
        <w:keepLines w:val="0"/>
        <w:pageBreakBefore w:val="0"/>
        <w:tabs>
          <w:tab w:val="center" w:pos="4153"/>
          <w:tab w:val="left" w:pos="7275"/>
        </w:tabs>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lang w:val="en-US" w:eastAsia="zh-CN" w:bidi="ar-SA"/>
        </w:rPr>
        <w:t>（三）一般公共预算财政拨款收入支出决算情况说明。</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3"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仿宋_GB2312" w:hAnsi="仿宋_GB2312" w:eastAsia="仿宋_GB2312" w:cs="仿宋_GB2312"/>
          <w:b/>
          <w:bCs/>
          <w:sz w:val="32"/>
          <w:lang w:val="zh-TW" w:eastAsia="zh-TW"/>
        </w:rPr>
        <w:t>1.收入情况。</w:t>
      </w:r>
      <w:r>
        <w:rPr>
          <w:rFonts w:hint="eastAsia" w:ascii="方正仿宋_GBK" w:hAnsi="仿宋_GB2312" w:eastAsia="方正仿宋_GBK" w:cs="仿宋_GB2312"/>
          <w:color w:val="auto"/>
          <w:sz w:val="32"/>
          <w:highlight w:val="none"/>
          <w:lang w:val="en-US" w:eastAsia="zh-CN"/>
        </w:rPr>
        <w:t>2022年度一般公共预算财政拨款收入253.41万元，较上年决算数减少128.90万元，下降33.7%。主要原因是减少了玉兰沟除险加固工程及六角水库放水设施工程等项目。较年初预算数减少6.01万元，下降2.3%。主要原因是年中调减实施河长制常规保护费到其他水库管理所。此外，年初财政拨款结转和结余0.00万元。</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3"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仿宋_GB2312" w:hAnsi="仿宋_GB2312" w:eastAsia="仿宋_GB2312" w:cs="仿宋_GB2312"/>
          <w:b/>
          <w:bCs/>
          <w:sz w:val="32"/>
          <w:lang w:val="zh-TW" w:eastAsia="zh-TW"/>
        </w:rPr>
        <w:t>2.支出情况。</w:t>
      </w:r>
      <w:r>
        <w:rPr>
          <w:rFonts w:hint="eastAsia" w:ascii="方正仿宋_GBK" w:hAnsi="仿宋_GB2312" w:eastAsia="方正仿宋_GBK" w:cs="仿宋_GB2312"/>
          <w:color w:val="auto"/>
          <w:sz w:val="32"/>
          <w:highlight w:val="none"/>
          <w:lang w:val="en-US" w:eastAsia="zh-CN"/>
        </w:rPr>
        <w:t>2022年度一般公共预算财政拨款支出253.41万元，较上年决算数减少128.90万元，下降33.7%。主要原因是减少了玉兰沟除险加固工程及六角水库放水设施工程等项目。较年初预算数减少6.01万元，下降2.3%。主要原因是年中调减实施河长制常规保护费到其他水库管理所。</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3"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仿宋_GB2312" w:hAnsi="仿宋_GB2312" w:eastAsia="仿宋_GB2312" w:cs="仿宋_GB2312"/>
          <w:b/>
          <w:bCs/>
          <w:sz w:val="32"/>
          <w:lang w:val="zh-TW" w:eastAsia="zh-TW"/>
        </w:rPr>
        <w:t>3.结转结余情况。</w:t>
      </w:r>
      <w:r>
        <w:rPr>
          <w:rFonts w:hint="eastAsia" w:ascii="方正仿宋_GBK" w:hAnsi="仿宋_GB2312" w:eastAsia="方正仿宋_GBK" w:cs="仿宋_GB2312"/>
          <w:color w:val="auto"/>
          <w:sz w:val="32"/>
          <w:highlight w:val="none"/>
          <w:lang w:val="en-US" w:eastAsia="zh-CN"/>
        </w:rPr>
        <w:t>2022年度年末一般公共预算财政拨款结转和结余0.00万元，较上年决算数增加0.00万元，增长0.0%，主要原因是</w:t>
      </w:r>
      <w:r>
        <w:rPr>
          <w:rFonts w:hint="eastAsia" w:ascii="方正仿宋_GBK" w:hAnsi="仿宋_GB2312" w:eastAsia="方正仿宋_GBK" w:cs="仿宋_GB2312"/>
          <w:color w:val="auto"/>
          <w:sz w:val="32"/>
          <w:highlight w:val="none"/>
          <w:lang w:val="zh-TW" w:eastAsia="zh-TW"/>
        </w:rPr>
        <w:t>本年和上年末一般公共预算财政拨款结转和结余均为零。</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3"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仿宋_GB2312" w:hAnsi="仿宋_GB2312" w:eastAsia="仿宋_GB2312" w:cs="仿宋_GB2312"/>
          <w:b/>
          <w:bCs/>
          <w:sz w:val="32"/>
          <w:lang w:val="zh-TW" w:eastAsia="zh-TW"/>
        </w:rPr>
        <w:t>4.比较情况。</w:t>
      </w:r>
      <w:r>
        <w:rPr>
          <w:rFonts w:hint="eastAsia" w:ascii="方正仿宋_GBK" w:hAnsi="仿宋_GB2312" w:eastAsia="方正仿宋_GBK" w:cs="仿宋_GB2312"/>
          <w:color w:val="auto"/>
          <w:sz w:val="32"/>
          <w:highlight w:val="none"/>
          <w:lang w:val="zh-TW" w:eastAsia="zh-TW"/>
        </w:rPr>
        <w:t>本部门202</w:t>
      </w:r>
      <w:r>
        <w:rPr>
          <w:rFonts w:hint="eastAsia" w:ascii="方正仿宋_GBK" w:hAnsi="仿宋_GB2312" w:eastAsia="方正仿宋_GBK" w:cs="仿宋_GB2312"/>
          <w:color w:val="auto"/>
          <w:sz w:val="32"/>
          <w:highlight w:val="none"/>
          <w:lang w:val="en-US" w:eastAsia="zh-CN"/>
        </w:rPr>
        <w:t>2</w:t>
      </w:r>
      <w:r>
        <w:rPr>
          <w:rFonts w:hint="eastAsia" w:ascii="方正仿宋_GBK" w:hAnsi="仿宋_GB2312" w:eastAsia="方正仿宋_GBK" w:cs="仿宋_GB2312"/>
          <w:color w:val="auto"/>
          <w:sz w:val="32"/>
          <w:highlight w:val="none"/>
          <w:lang w:val="zh-TW" w:eastAsia="zh-TW"/>
        </w:rPr>
        <w:t>年度一般公共预算财政拨款支出主要用于以下几个方面：</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（1）社会保障与就业支出32.13万元，占2.8%，较年初预算数增加0.63万元，增长9.7%，主要原因是本年保险基数约有增加。</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（2）卫生健康支出2.52万元，占1.0%，较年初预算数增加0.00万元，增长0.0%，与年初预算持平。</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（3）农林水支出240.76万元，占95.0%，较年初预算数减少7.43万元，下降3.0%，主要原因是年中调减实施河长制常规保护费到其他水库管理所。</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（4）住房保障支出3.00万元，占1.2%，较年初预算数增加0.80万元，增长36.4%，主要原因是年中增加职工住房补贴预算。</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lang w:val="en-US" w:eastAsia="zh-CN"/>
        </w:rPr>
        <w:t>（四）一般公共预算财政拨款基本支出决算情况说明。</w:t>
      </w:r>
    </w:p>
    <w:p>
      <w:pPr>
        <w:keepNext w:val="0"/>
        <w:keepLines w:val="0"/>
        <w:pageBreakBefore w:val="0"/>
        <w:widowControl/>
        <w:shd w:val="clear" w:color="auto" w:fill="FFFFFF"/>
        <w:kinsoku/>
        <w:wordWrap/>
        <w:overflowPunct/>
        <w:topLinePunct w:val="0"/>
        <w:autoSpaceDE/>
        <w:autoSpaceDN/>
        <w:bidi w:val="0"/>
        <w:spacing w:beforeAutospacing="0" w:afterAutospacing="0" w:line="240" w:lineRule="auto"/>
        <w:ind w:left="0" w:leftChars="0" w:right="0" w:rightChars="0" w:firstLine="640" w:firstLineChars="200"/>
        <w:jc w:val="left"/>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2022年度一般公共预算财政拨款基本支出90.46万元。其中：人员经费55.05万元，较上年决算数增加1.54万元，增长2.9%，主要原因是职工保险基数约有增加。人员经费用途主要包括基本工资、津贴补贴、奖金、绩效工资、机关事业单位基本养老保险缴费、职业年金缴费、职工基本医疗保险缴费、公务员医疗补助缴费、其他社会保障缴费、住房公积金、医疗费、生活补助、其他工资福利支出。公用经费35.41万元，较上年决算数减少2.70万元，下降7.1%，主要原因是我所严格贯彻“政府过紧日子”的相关规定，大力压缩一般性支出。公用经费用途主要包括办公费、印刷费、水费、电费、邮电费、物业管理费、差旅费、维修（护）费、工会经费、福利费、公务接待费、公务用车运行维护费、其他交通费、会议费、培训费、咨询费、劳务费、其他商品和服务支出。</w:t>
      </w:r>
    </w:p>
    <w:p>
      <w:pPr>
        <w:keepNext w:val="0"/>
        <w:keepLines w:val="0"/>
        <w:pageBreakBefore w:val="0"/>
        <w:widowControl/>
        <w:shd w:val="clear" w:color="auto" w:fill="FFFFFF"/>
        <w:kinsoku/>
        <w:wordWrap/>
        <w:overflowPunct/>
        <w:topLinePunct w:val="0"/>
        <w:autoSpaceDE/>
        <w:autoSpaceDN/>
        <w:bidi w:val="0"/>
        <w:spacing w:beforeAutospacing="0" w:afterAutospacing="0" w:line="240" w:lineRule="auto"/>
        <w:ind w:left="0" w:leftChars="0" w:right="0" w:rightChars="0" w:firstLine="640" w:firstLineChars="200"/>
        <w:jc w:val="left"/>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（五）政府性基金预算收支决算情况说明。</w:t>
      </w:r>
    </w:p>
    <w:p>
      <w:pPr>
        <w:keepNext w:val="0"/>
        <w:keepLines w:val="0"/>
        <w:pageBreakBefore w:val="0"/>
        <w:widowControl/>
        <w:shd w:val="clear" w:color="auto" w:fill="FFFFFF"/>
        <w:kinsoku/>
        <w:wordWrap/>
        <w:overflowPunct/>
        <w:topLinePunct w:val="0"/>
        <w:autoSpaceDE/>
        <w:autoSpaceDN/>
        <w:bidi w:val="0"/>
        <w:spacing w:beforeAutospacing="0" w:afterAutospacing="0" w:line="240" w:lineRule="auto"/>
        <w:ind w:left="0" w:leftChars="0" w:right="0" w:rightChars="0" w:firstLine="640" w:firstLineChars="200"/>
        <w:jc w:val="left"/>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2022年度政府性基金预算财政拨款年初结转结余0.00万元，年末结转结余0.00万元。本年收入25.00万元，较上年决算数减少90.39万元，下降78.3%，主要原因是本年减少了政府性基金财政拨款收支。较年初预算数增长25万元，增长0.0%，主要原因是年初没有安排政府性基金项目。本年支出25.00万元，较上年决算数减少90.39万元，下降78.3%，主要原因是本年减少了政府性基金财政拨款项目。较预算支出数增长25万元，增长0.0%，主要原因是年初没有安排政府性基金项目。</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（六）国有资本经营预算财政拨款支出决算情况说明。</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本所202</w:t>
      </w:r>
      <w:r>
        <w:rPr>
          <w:rFonts w:hint="eastAsia" w:ascii="方正仿宋_GBK" w:hAnsi="仿宋_GB2312" w:eastAsia="方正仿宋_GBK" w:cs="仿宋_GB2312"/>
          <w:color w:val="auto"/>
          <w:sz w:val="32"/>
          <w:highlight w:val="none"/>
          <w:lang w:val="en-US" w:eastAsia="zh-CN"/>
        </w:rPr>
        <w:t>2</w:t>
      </w:r>
      <w:r>
        <w:rPr>
          <w:rFonts w:hint="eastAsia" w:ascii="方正仿宋_GBK" w:hAnsi="仿宋_GB2312" w:eastAsia="方正仿宋_GBK" w:cs="仿宋_GB2312"/>
          <w:color w:val="auto"/>
          <w:sz w:val="32"/>
          <w:highlight w:val="none"/>
          <w:lang w:val="zh-TW" w:eastAsia="zh-TW"/>
        </w:rPr>
        <w:t>年度无国有资本经营预算财政拨款支出。</w:t>
      </w:r>
    </w:p>
    <w:p>
      <w:pPr>
        <w:pStyle w:val="17"/>
        <w:keepNext w:val="0"/>
        <w:keepLines w:val="0"/>
        <w:pageBreakBefore w:val="0"/>
        <w:tabs>
          <w:tab w:val="center" w:pos="4153"/>
          <w:tab w:val="left" w:pos="7275"/>
        </w:tabs>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三、“三公”经费情况说明</w:t>
      </w:r>
    </w:p>
    <w:p>
      <w:pPr>
        <w:pStyle w:val="17"/>
        <w:keepNext w:val="0"/>
        <w:keepLines w:val="0"/>
        <w:pageBreakBefore w:val="0"/>
        <w:tabs>
          <w:tab w:val="center" w:pos="4153"/>
          <w:tab w:val="left" w:pos="7275"/>
        </w:tabs>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ascii="Calibri" w:hAnsi="Calibri" w:eastAsia="方正黑体_GBK"/>
          <w:sz w:val="32"/>
          <w:szCs w:val="32"/>
        </w:rPr>
      </w:pPr>
      <w:r>
        <w:rPr>
          <w:rFonts w:hint="eastAsia" w:ascii="方正楷体_GBK" w:hAnsi="方正楷体_GBK" w:eastAsia="方正楷体_GBK" w:cs="方正楷体_GBK"/>
          <w:snapToGrid w:val="0"/>
          <w:kern w:val="32"/>
          <w:sz w:val="32"/>
          <w:szCs w:val="32"/>
          <w:lang w:val="en-US" w:eastAsia="zh-CN" w:bidi="ar-SA"/>
        </w:rPr>
        <w:t>（一）“三公”经费支出总体情况说明。</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en-US" w:eastAsia="zh-CN"/>
        </w:rPr>
        <w:t>2022年度“三公”经费支出共计4.80万元，较年初预算数减少0.09万元，下降1.8%，较上年支出数增加2.51万元，增长109.6%，主要原因是为满足高竹新区发展需要，拟将卫星水库由小一型升级为中型水库，增加公务用车运行维护费。</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（二）“三公”经费分项支出情况。</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2022年度本部门因公出国（境）费用0.00万元，费用支出较年初预算数增加0.00万元，增长0.0%，较上年支出数增加0.00万元，增长0.0%，主要原因是上年及本年我所均未安排也未支出因公出国（境）费用。</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公务车购置费0.00万元，主要用于公务用车的购置。费用支出较年初预算数增加0.00万元，增长0.0%，较上年支出数增加0.00万元，增长0.0%，主要原因是上年及本年我所均未安排也未支出公务车购置费。</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en-US" w:eastAsia="zh-CN"/>
        </w:rPr>
        <w:t>公务车运行维护费4.00万元，主要用于机要文件交换、市内因公出行、水利工程检查等工作所需车辆的燃料费、维修费、过桥过路费、保险费等。费用支出较年初预算数增加0.00万元，增长0.0%，与年初预算数持平。较上年支出数增加2.56万元，增长177.8%，主要原因是为满足高竹新区发展需要，拟将卫星水库由小一型升级为中型水库，增加公务用车运行维护。</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公务接待费0.80万元，主要用于接待其他区县水利部门到我区交流学习，接受相关部门检查指导工作发生的接待支出。费用支出较年初预算数减少0.09万元，下降10.1%，较上年支出数减少0.05万元，下降5.9%，主要原因是</w:t>
      </w:r>
      <w:r>
        <w:rPr>
          <w:rFonts w:hint="eastAsia" w:ascii="方正仿宋_GBK" w:hAnsi="仿宋_GB2312" w:eastAsia="方正仿宋_GBK" w:cs="仿宋_GB2312"/>
          <w:color w:val="auto"/>
          <w:sz w:val="32"/>
          <w:highlight w:val="none"/>
          <w:lang w:val="zh-TW" w:eastAsia="zh-TW"/>
        </w:rPr>
        <w:t>我所严格贯彻落实“政府过紧日子”的相关规定，大力压缩“三公”经费特别是公务接待费支出。</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（三）“三公”经费实物量情况。</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2022年度本部门因公出国（境）共计0个团组，0人；公务用车购置0辆，公务车保有量为1辆；国内公务接待21批次201人，其中：国内外事接待0批次，0人；国（境）外公务接待0批次，0人。2022年本部门人均接待费40.02元，车均购置费0.00万元，车均维护费4.00万元。</w:t>
      </w:r>
    </w:p>
    <w:p>
      <w:pPr>
        <w:pStyle w:val="17"/>
        <w:keepNext w:val="0"/>
        <w:keepLines w:val="0"/>
        <w:pageBreakBefore w:val="0"/>
        <w:tabs>
          <w:tab w:val="center" w:pos="4153"/>
          <w:tab w:val="left" w:pos="7275"/>
        </w:tabs>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四、其他需要说明的事项</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（一）一般公共预算财政拨款会议费和培训费情况说明。</w:t>
      </w:r>
    </w:p>
    <w:p>
      <w:pPr>
        <w:keepNext w:val="0"/>
        <w:keepLines w:val="0"/>
        <w:pageBreakBefore w:val="0"/>
        <w:widowControl/>
        <w:shd w:val="clear" w:color="auto" w:fill="FFFFFF"/>
        <w:kinsoku/>
        <w:wordWrap/>
        <w:overflowPunct/>
        <w:topLinePunct w:val="0"/>
        <w:autoSpaceDE/>
        <w:autoSpaceDN/>
        <w:bidi w:val="0"/>
        <w:spacing w:beforeAutospacing="0" w:afterAutospacing="0" w:line="240" w:lineRule="auto"/>
        <w:ind w:left="0" w:leftChars="0" w:right="0" w:rightChars="0" w:firstLine="640" w:firstLineChars="200"/>
        <w:jc w:val="left"/>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本年度会议费支出0.00万元，较上年决算数增加0.00万元，增长0.0%，主要原因是</w:t>
      </w:r>
      <w:r>
        <w:rPr>
          <w:rFonts w:hint="eastAsia" w:ascii="方正仿宋_GBK" w:hAnsi="仿宋_GB2312" w:eastAsia="方正仿宋_GBK" w:cs="仿宋_GB2312"/>
          <w:color w:val="auto"/>
          <w:sz w:val="32"/>
          <w:highlight w:val="none"/>
          <w:lang w:val="zh-TW" w:eastAsia="zh-TW"/>
        </w:rPr>
        <w:t>今年没有安排会议。</w:t>
      </w:r>
      <w:r>
        <w:rPr>
          <w:rFonts w:hint="eastAsia" w:ascii="方正仿宋_GBK" w:hAnsi="仿宋_GB2312" w:eastAsia="方正仿宋_GBK" w:cs="仿宋_GB2312"/>
          <w:color w:val="auto"/>
          <w:sz w:val="32"/>
          <w:highlight w:val="none"/>
          <w:lang w:val="en-US" w:eastAsia="zh-CN"/>
        </w:rPr>
        <w:t>本年度培训费支出0.16万元，较上年决算数减少0.07万元，下降30.4%，主要原因是</w:t>
      </w:r>
      <w:r>
        <w:rPr>
          <w:rFonts w:hint="eastAsia" w:ascii="方正仿宋_GBK" w:hAnsi="仿宋_GB2312" w:eastAsia="方正仿宋_GBK" w:cs="仿宋_GB2312"/>
          <w:color w:val="auto"/>
          <w:sz w:val="32"/>
          <w:highlight w:val="none"/>
          <w:lang w:val="zh-TW" w:eastAsia="zh-TW"/>
        </w:rPr>
        <w:t>尽量厉行节约，压缩开支。</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（二）机关运行经费情况说明。</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按照部门决算列报口径，我单位不在机关运行经费统计范围之内。</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（三）国有资产占用情况说明。</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截至2022年12月31日，本部门共有车辆1辆，其中，副部（省）级及以上领导用车0辆、主要领导干部用车0辆、机要通信用车1辆、应急保障用车0辆、执法执勤用车0辆，特种专业技术用车0辆，离退休干部用车0辆，其他用车0辆，单价100万元（含）以上设备（不含车辆）0台（套）。（四）政府采购支出情况说明。</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（四）政府采购支出说明</w:t>
      </w:r>
    </w:p>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202</w:t>
      </w:r>
      <w:r>
        <w:rPr>
          <w:rFonts w:hint="eastAsia" w:ascii="方正仿宋_GBK" w:hAnsi="仿宋_GB2312" w:eastAsia="方正仿宋_GBK" w:cs="仿宋_GB2312"/>
          <w:color w:val="auto"/>
          <w:sz w:val="32"/>
          <w:highlight w:val="none"/>
          <w:lang w:val="en-US" w:eastAsia="zh-CN"/>
        </w:rPr>
        <w:t>2</w:t>
      </w:r>
      <w:r>
        <w:rPr>
          <w:rFonts w:hint="eastAsia" w:ascii="方正仿宋_GBK" w:hAnsi="仿宋_GB2312" w:eastAsia="方正仿宋_GBK" w:cs="仿宋_GB2312"/>
          <w:color w:val="auto"/>
          <w:sz w:val="32"/>
          <w:highlight w:val="none"/>
          <w:lang w:val="zh-TW" w:eastAsia="zh-TW"/>
        </w:rPr>
        <w:t>年度我单位未发生政府采购事项，无相关经费支出。</w:t>
      </w:r>
    </w:p>
    <w:p>
      <w:pPr>
        <w:pStyle w:val="17"/>
        <w:keepNext w:val="0"/>
        <w:keepLines w:val="0"/>
        <w:pageBreakBefore w:val="0"/>
        <w:tabs>
          <w:tab w:val="center" w:pos="4153"/>
          <w:tab w:val="left" w:pos="7275"/>
        </w:tabs>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五、预算绩效管理情况说明</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640" w:firstLineChars="200"/>
        <w:textAlignment w:val="auto"/>
        <w:outlineLvl w:val="9"/>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（一）预算绩效管理工作开展情况。</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根据预算绩效管理要求，我所对</w:t>
      </w:r>
      <w:bookmarkStart w:id="0" w:name="_GoBack"/>
      <w:bookmarkEnd w:id="0"/>
      <w:r>
        <w:rPr>
          <w:rFonts w:hint="eastAsia" w:ascii="方正仿宋_GBK" w:hAnsi="仿宋_GB2312" w:eastAsia="方正仿宋_GBK" w:cs="仿宋_GB2312"/>
          <w:color w:val="auto"/>
          <w:sz w:val="32"/>
          <w:highlight w:val="none"/>
          <w:lang w:val="en-US" w:eastAsia="zh-CN"/>
        </w:rPr>
        <w:t>8个项目开展了绩效自评，其中，以填报自评表形式开展自评8项，涉及资金187.95万元；没有以委托第三方出具报告的方式开展绩效。</w:t>
      </w:r>
    </w:p>
    <w:p>
      <w:pPr>
        <w:keepNext w:val="0"/>
        <w:keepLines w:val="0"/>
        <w:pageBreakBefore w:val="0"/>
        <w:kinsoku/>
        <w:wordWrap/>
        <w:overflowPunct/>
        <w:topLinePunct w:val="0"/>
        <w:autoSpaceDE/>
        <w:autoSpaceDN/>
        <w:bidi w:val="0"/>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（二）绩效自评结果。</w:t>
      </w: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1.绩效目标自评表。</w:t>
      </w:r>
    </w:p>
    <w:tbl>
      <w:tblPr>
        <w:tblStyle w:val="12"/>
        <w:tblpPr w:leftFromText="180" w:rightFromText="180" w:vertAnchor="text" w:horzAnchor="page" w:tblpX="1620" w:tblpY="1184"/>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474"/>
        <w:gridCol w:w="398"/>
        <w:gridCol w:w="1015"/>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水库大坝安全监测技术服务</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50011221T000000053596</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陈勇</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67214445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95,800.00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95,800.00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95,800.00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95,800.00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2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215" w:type="dxa"/>
            <w:gridSpan w:val="5"/>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按照相关技术标准，定期或不定期进行大坝安全监测和检查，及时收集监测数据并整理分析，便于随时掌握大坝运行状况，保障水利工程安全运行。</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全年由成都天佑科技发展有限公司，定期或不定期进行大坝安全监测和检查，及时收集监测数据并整理分析，年底将监测资料整理并汇编成册，保障水利工程安全运行。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水库座数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座</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服务期限</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成本控制</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万元</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保障群众生命财产安全</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工程安全运行</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座</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库区群众满意度</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pStyle w:val="16"/>
        <w:widowControl/>
        <w:shd w:val="clear" w:color="auto" w:fill="FFFFFF"/>
        <w:spacing w:before="100" w:beforeAutospacing="1" w:after="100" w:afterAutospacing="1"/>
        <w:ind w:left="405" w:firstLine="0" w:firstLineChars="0"/>
        <w:jc w:val="left"/>
        <w:rPr>
          <w:rFonts w:ascii="宋体" w:hAnsi="宋体" w:eastAsia="宋体" w:cs="宋体"/>
          <w:kern w:val="0"/>
          <w:sz w:val="27"/>
          <w:szCs w:val="27"/>
          <w:highlight w:val="yellow"/>
          <w:shd w:val="clear" w:color="auto" w:fill="FFFF00"/>
        </w:rPr>
      </w:pPr>
    </w:p>
    <w:tbl>
      <w:tblPr>
        <w:tblStyle w:val="12"/>
        <w:tblpPr w:leftFromText="180" w:rightFromText="180" w:vertAnchor="text" w:horzAnchor="page" w:tblpX="1620" w:tblpY="1184"/>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474"/>
        <w:gridCol w:w="398"/>
        <w:gridCol w:w="1015"/>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水库白蚁防治</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50011221T000000053899</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陈勇</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67214445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128,000.00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101,000.00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101,000.00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128,000.00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101,000.00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101,000.00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2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215" w:type="dxa"/>
            <w:gridSpan w:val="5"/>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委托有白蚁防治资质的公司，对辖区6座水库进行白蚁治理，确保水库无白蚁危害，保障水利工程安全运行，保障群众生命财产安全。</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委托迩邦白蚁防治有限公司，对辖区6座水库进行白蚁治理，确保水库无白蚁危害，保障水利工程安全运行，保障群众生命财产安全。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水库座数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座</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质量合格率</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质量合格</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工期90天</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天</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按期完工</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治理成本</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万元</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12.8</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保障群众生命财产安全</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质保年限</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治理效果持续3年</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群众满意度</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pStyle w:val="16"/>
        <w:widowControl/>
        <w:shd w:val="clear" w:color="auto" w:fill="FFFFFF"/>
        <w:spacing w:before="100" w:beforeAutospacing="1" w:after="100" w:afterAutospacing="1"/>
        <w:ind w:left="0" w:leftChars="0" w:firstLine="0" w:firstLineChars="0"/>
        <w:jc w:val="left"/>
        <w:rPr>
          <w:rFonts w:ascii="宋体" w:hAnsi="宋体" w:eastAsia="宋体" w:cs="宋体"/>
          <w:kern w:val="0"/>
          <w:sz w:val="27"/>
          <w:szCs w:val="27"/>
          <w:highlight w:val="yellow"/>
          <w:shd w:val="clear" w:color="auto" w:fill="FFFF00"/>
        </w:rPr>
      </w:pPr>
    </w:p>
    <w:tbl>
      <w:tblPr>
        <w:tblStyle w:val="12"/>
        <w:tblpPr w:leftFromText="180" w:rightFromText="180" w:vertAnchor="text" w:horzAnchor="page" w:tblpX="1620" w:tblpY="1184"/>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474"/>
        <w:gridCol w:w="398"/>
        <w:gridCol w:w="1015"/>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编外聘用人员经费</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50011222T000000068165</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陈勇</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67214445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450,000.00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450,000.00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450,000.00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450,000.00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450,000.00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450,000.00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2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215" w:type="dxa"/>
            <w:gridSpan w:val="5"/>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聘用编外人员保障管理所正常开展工作。</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聘用编外人员，涉及岗位有驾驶员、办公室人员、环境保洁以及食堂炊事员，有力的保障管理所能正常开展各项工作。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聘用人员人数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人员控制</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服务年限</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投入成本</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万元</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45</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45</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保障群众生命财产安全</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保障水利工程安全</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座</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库区群众满意度</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pStyle w:val="17"/>
        <w:tabs>
          <w:tab w:val="center" w:pos="4153"/>
          <w:tab w:val="left" w:pos="7275"/>
        </w:tabs>
        <w:spacing w:line="560" w:lineRule="exact"/>
        <w:ind w:left="0" w:leftChars="0" w:firstLine="0" w:firstLineChars="0"/>
        <w:rPr>
          <w:rFonts w:hint="eastAsia" w:ascii="Calibri" w:hAnsi="Calibri" w:eastAsia="方正仿宋_GBK" w:cs="宋体"/>
          <w:kern w:val="0"/>
          <w:sz w:val="32"/>
          <w:szCs w:val="32"/>
        </w:rPr>
      </w:pPr>
    </w:p>
    <w:p>
      <w:pPr>
        <w:pStyle w:val="17"/>
        <w:tabs>
          <w:tab w:val="center" w:pos="4153"/>
          <w:tab w:val="left" w:pos="7275"/>
        </w:tabs>
        <w:spacing w:line="560" w:lineRule="exact"/>
        <w:ind w:left="0" w:leftChars="0" w:firstLine="0" w:firstLineChars="0"/>
        <w:rPr>
          <w:rFonts w:hint="eastAsia" w:ascii="Calibri" w:hAnsi="Calibri" w:eastAsia="方正仿宋_GBK" w:cs="宋体"/>
          <w:kern w:val="0"/>
          <w:sz w:val="32"/>
          <w:szCs w:val="32"/>
        </w:rPr>
      </w:pPr>
    </w:p>
    <w:tbl>
      <w:tblPr>
        <w:tblStyle w:val="12"/>
        <w:tblpPr w:leftFromText="180" w:rightFromText="180" w:vertAnchor="text" w:horzAnchor="page" w:tblpX="1620" w:tblpY="1184"/>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171"/>
        <w:gridCol w:w="303"/>
        <w:gridCol w:w="254"/>
        <w:gridCol w:w="322"/>
        <w:gridCol w:w="182"/>
        <w:gridCol w:w="655"/>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405"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22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实施河长制水库常规保护费</w:t>
            </w: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50011222T000000073623</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22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陈勇</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67214445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0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18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350,000.00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289,996.00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289,996.00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18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350,000.00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289,996.00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289,996.00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215"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215" w:type="dxa"/>
            <w:gridSpan w:val="8"/>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采取物业管理模式，开展水库清漂打捞、水库管理区保洁、水利工程日常管护、水库调度、防汛抗旱、安全巡查及宣传等日常管护工作，确保水利工程运行安全，确保饮用水库安全。</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由四川渝达咨询有限公司，每月不定期对辖区5座水库轮流（卫星除外）开展水库清漂打捞、库区保洁、坝区保洁和除草等日常管护工作，确保水利工程运行安全。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405"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5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5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水库座数</w:t>
            </w:r>
          </w:p>
        </w:tc>
        <w:tc>
          <w:tcPr>
            <w:tcW w:w="5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座</w:t>
            </w:r>
          </w:p>
        </w:tc>
        <w:tc>
          <w:tcPr>
            <w:tcW w:w="5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4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水面清洁度</w:t>
            </w:r>
          </w:p>
        </w:tc>
        <w:tc>
          <w:tcPr>
            <w:tcW w:w="55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5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优</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4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服务期限</w:t>
            </w:r>
          </w:p>
        </w:tc>
        <w:tc>
          <w:tcPr>
            <w:tcW w:w="5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月</w:t>
            </w:r>
          </w:p>
        </w:tc>
        <w:tc>
          <w:tcPr>
            <w:tcW w:w="5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每月完成相关工作</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4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投入成本</w:t>
            </w:r>
          </w:p>
        </w:tc>
        <w:tc>
          <w:tcPr>
            <w:tcW w:w="5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万元</w:t>
            </w:r>
          </w:p>
        </w:tc>
        <w:tc>
          <w:tcPr>
            <w:tcW w:w="5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35</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28.9996</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成本控制在35万元以内</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4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保障群众生命财产安全、用水安全</w:t>
            </w:r>
          </w:p>
        </w:tc>
        <w:tc>
          <w:tcPr>
            <w:tcW w:w="5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4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持续改善水库生态环境</w:t>
            </w:r>
          </w:p>
        </w:tc>
        <w:tc>
          <w:tcPr>
            <w:tcW w:w="5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4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群众满意度</w:t>
            </w:r>
          </w:p>
        </w:tc>
        <w:tc>
          <w:tcPr>
            <w:tcW w:w="5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pStyle w:val="17"/>
        <w:tabs>
          <w:tab w:val="center" w:pos="4153"/>
          <w:tab w:val="left" w:pos="7275"/>
        </w:tabs>
        <w:spacing w:line="560" w:lineRule="exact"/>
        <w:ind w:firstLine="640"/>
        <w:rPr>
          <w:rFonts w:hint="eastAsia" w:ascii="Calibri" w:hAnsi="Calibri" w:eastAsia="方正仿宋_GBK" w:cs="宋体"/>
          <w:kern w:val="0"/>
          <w:sz w:val="32"/>
          <w:szCs w:val="32"/>
        </w:rPr>
      </w:pPr>
    </w:p>
    <w:p>
      <w:pPr>
        <w:pStyle w:val="17"/>
        <w:tabs>
          <w:tab w:val="center" w:pos="4153"/>
          <w:tab w:val="left" w:pos="7275"/>
        </w:tabs>
        <w:spacing w:line="560" w:lineRule="exact"/>
        <w:ind w:firstLine="640"/>
        <w:rPr>
          <w:rFonts w:hint="eastAsia" w:ascii="Calibri" w:hAnsi="Calibri" w:eastAsia="方正仿宋_GBK" w:cs="宋体"/>
          <w:kern w:val="0"/>
          <w:sz w:val="32"/>
          <w:szCs w:val="32"/>
        </w:rPr>
      </w:pPr>
    </w:p>
    <w:tbl>
      <w:tblPr>
        <w:tblStyle w:val="12"/>
        <w:tblpPr w:leftFromText="180" w:rightFromText="180" w:vertAnchor="text" w:horzAnchor="page" w:tblpX="1620" w:tblpY="1184"/>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65"/>
        <w:gridCol w:w="11"/>
        <w:gridCol w:w="474"/>
        <w:gridCol w:w="398"/>
        <w:gridCol w:w="210"/>
        <w:gridCol w:w="805"/>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405"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小型水库维修养护</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50011222T000002038784</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99.50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陈勇</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67824445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0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18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300,000.00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300,000.00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285,040.00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18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300,000.00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300,000.00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285,040.00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21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215"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完成设施维护，确保水利工程安全运行，保障群众生命财产安全，保障饮用水安全。</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由重庆迩邦科技有限公司，完成辖区6座水库设施维护，确保水利工程安全运行。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405"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6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水库座数</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座</w:t>
            </w:r>
          </w:p>
        </w:tc>
        <w:tc>
          <w:tcPr>
            <w:tcW w:w="6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工期</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天</w:t>
            </w:r>
          </w:p>
        </w:tc>
        <w:tc>
          <w:tcPr>
            <w:tcW w:w="6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成本控制</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万元</w:t>
            </w:r>
          </w:p>
        </w:tc>
        <w:tc>
          <w:tcPr>
            <w:tcW w:w="6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28.504</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确保工程安全，保障用水安全及生命财产安全</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库区群众满意度</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pStyle w:val="17"/>
        <w:tabs>
          <w:tab w:val="center" w:pos="4153"/>
          <w:tab w:val="left" w:pos="7275"/>
        </w:tabs>
        <w:spacing w:line="560" w:lineRule="exact"/>
        <w:ind w:firstLine="640"/>
        <w:rPr>
          <w:rFonts w:hint="eastAsia" w:ascii="Calibri" w:hAnsi="Calibri" w:eastAsia="方正仿宋_GBK" w:cs="宋体"/>
          <w:kern w:val="0"/>
          <w:sz w:val="32"/>
          <w:szCs w:val="32"/>
        </w:rPr>
      </w:pPr>
    </w:p>
    <w:p>
      <w:pPr>
        <w:pStyle w:val="17"/>
        <w:tabs>
          <w:tab w:val="center" w:pos="4153"/>
          <w:tab w:val="left" w:pos="7275"/>
        </w:tabs>
        <w:spacing w:line="560" w:lineRule="exact"/>
        <w:ind w:firstLine="640"/>
        <w:rPr>
          <w:rFonts w:hint="eastAsia" w:ascii="Calibri" w:hAnsi="Calibri" w:eastAsia="方正仿宋_GBK" w:cs="宋体"/>
          <w:kern w:val="0"/>
          <w:sz w:val="32"/>
          <w:szCs w:val="32"/>
        </w:rPr>
      </w:pPr>
    </w:p>
    <w:p>
      <w:pPr>
        <w:pStyle w:val="17"/>
        <w:tabs>
          <w:tab w:val="center" w:pos="4153"/>
          <w:tab w:val="left" w:pos="7275"/>
        </w:tabs>
        <w:spacing w:line="560" w:lineRule="exact"/>
        <w:ind w:firstLine="640"/>
        <w:rPr>
          <w:rFonts w:ascii="Calibri" w:hAnsi="Calibri" w:eastAsia="方正仿宋_GBK" w:cs="宋体"/>
          <w:kern w:val="0"/>
          <w:sz w:val="32"/>
          <w:szCs w:val="32"/>
        </w:rPr>
      </w:pPr>
      <w:r>
        <w:rPr>
          <w:rFonts w:hint="eastAsia" w:ascii="方正仿宋_GBK" w:hAnsi="仿宋_GB2312" w:eastAsia="方正仿宋_GBK" w:cs="仿宋_GB2312"/>
          <w:color w:val="auto"/>
          <w:kern w:val="2"/>
          <w:sz w:val="32"/>
          <w:szCs w:val="22"/>
          <w:highlight w:val="none"/>
          <w:lang w:val="en-US" w:eastAsia="zh-CN" w:bidi="ar-SA"/>
        </w:rPr>
        <w:t>2.绩效自评报告或案例。</w:t>
      </w:r>
    </w:p>
    <w:p>
      <w:pPr>
        <w:spacing w:line="600" w:lineRule="exact"/>
        <w:ind w:firstLine="640" w:firstLineChars="200"/>
        <w:rPr>
          <w:rFonts w:hint="eastAsia" w:ascii="方正仿宋_GBK" w:hAnsi="仿宋_GB2312" w:eastAsia="方正仿宋_GBK" w:cs="仿宋_GB2312"/>
          <w:color w:val="auto"/>
          <w:sz w:val="32"/>
          <w:highlight w:val="none"/>
          <w:lang w:val="zh-TW" w:eastAsia="zh-TW"/>
        </w:rPr>
      </w:pPr>
      <w:r>
        <w:rPr>
          <w:rFonts w:hint="eastAsia" w:ascii="方正仿宋_GBK" w:hAnsi="仿宋_GB2312" w:eastAsia="方正仿宋_GBK" w:cs="仿宋_GB2312"/>
          <w:color w:val="auto"/>
          <w:sz w:val="32"/>
          <w:highlight w:val="none"/>
          <w:lang w:val="zh-TW" w:eastAsia="zh-TW"/>
        </w:rPr>
        <w:t>我所是采用填报目标自评表形式开展绩效自评，没有绩效自评报告。</w:t>
      </w:r>
    </w:p>
    <w:p>
      <w:pPr>
        <w:pStyle w:val="17"/>
        <w:tabs>
          <w:tab w:val="center" w:pos="4153"/>
          <w:tab w:val="left" w:pos="7275"/>
        </w:tabs>
        <w:spacing w:line="560" w:lineRule="exact"/>
        <w:ind w:firstLine="640"/>
        <w:rPr>
          <w:rFonts w:ascii="Calibri" w:hAnsi="Calibri" w:eastAsia="方正仿宋_GBK" w:cs="宋体"/>
          <w:kern w:val="0"/>
          <w:sz w:val="32"/>
          <w:szCs w:val="32"/>
        </w:rPr>
      </w:pPr>
      <w:r>
        <w:rPr>
          <w:rFonts w:hint="eastAsia" w:ascii="方正仿宋_GBK" w:hAnsi="仿宋_GB2312" w:eastAsia="方正仿宋_GBK" w:cs="仿宋_GB2312"/>
          <w:color w:val="auto"/>
          <w:kern w:val="2"/>
          <w:sz w:val="32"/>
          <w:szCs w:val="22"/>
          <w:highlight w:val="none"/>
          <w:lang w:val="en-US" w:eastAsia="zh-CN" w:bidi="ar-SA"/>
        </w:rPr>
        <w:t>3.关于绩效自评结果的说明</w:t>
      </w:r>
      <w:r>
        <w:rPr>
          <w:rFonts w:hint="eastAsia" w:ascii="Calibri" w:hAnsi="Calibri" w:eastAsia="方正仿宋_GBK" w:cs="宋体"/>
          <w:kern w:val="0"/>
          <w:sz w:val="32"/>
          <w:szCs w:val="32"/>
        </w:rPr>
        <w:t>。</w:t>
      </w:r>
    </w:p>
    <w:p>
      <w:pPr>
        <w:pStyle w:val="17"/>
        <w:tabs>
          <w:tab w:val="center" w:pos="4153"/>
          <w:tab w:val="left" w:pos="7275"/>
        </w:tabs>
        <w:spacing w:line="560" w:lineRule="exact"/>
        <w:ind w:firstLine="640"/>
        <w:rPr>
          <w:rFonts w:hint="eastAsia" w:ascii="Times New Roman" w:hAnsi="Times New Roman" w:eastAsia="方正仿宋_GBK" w:cs="宋体"/>
          <w:kern w:val="0"/>
          <w:sz w:val="32"/>
          <w:szCs w:val="32"/>
          <w:lang w:val="zh-TW" w:eastAsia="zh-TW"/>
        </w:rPr>
      </w:pPr>
      <w:r>
        <w:rPr>
          <w:rFonts w:hint="eastAsia" w:ascii="Times New Roman" w:hAnsi="Times New Roman" w:eastAsia="方正仿宋_GBK" w:cs="宋体"/>
          <w:kern w:val="0"/>
          <w:sz w:val="32"/>
          <w:szCs w:val="32"/>
          <w:lang w:val="zh-TW" w:eastAsia="zh-TW"/>
        </w:rPr>
        <w:t>经评价，各项目均达到了年度绩效目标。</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（三）重点绩效评价结果。</w:t>
      </w:r>
    </w:p>
    <w:p>
      <w:pPr>
        <w:pStyle w:val="17"/>
        <w:tabs>
          <w:tab w:val="center" w:pos="4153"/>
          <w:tab w:val="left" w:pos="7275"/>
        </w:tabs>
        <w:spacing w:line="560" w:lineRule="exact"/>
        <w:ind w:firstLine="640"/>
        <w:rPr>
          <w:rFonts w:hint="eastAsia" w:ascii="Times New Roman" w:hAnsi="Times New Roman" w:eastAsia="方正仿宋_GBK" w:cs="宋体"/>
          <w:kern w:val="0"/>
          <w:sz w:val="32"/>
          <w:szCs w:val="32"/>
          <w:lang w:val="zh-TW" w:eastAsia="zh-TW"/>
        </w:rPr>
      </w:pPr>
      <w:r>
        <w:rPr>
          <w:rFonts w:hint="eastAsia" w:ascii="Times New Roman" w:hAnsi="Times New Roman" w:eastAsia="方正仿宋_GBK" w:cs="宋体"/>
          <w:kern w:val="0"/>
          <w:sz w:val="32"/>
          <w:szCs w:val="32"/>
          <w:lang w:val="zh-TW" w:eastAsia="zh-TW"/>
        </w:rPr>
        <w:t>我所202</w:t>
      </w:r>
      <w:r>
        <w:rPr>
          <w:rFonts w:hint="eastAsia" w:ascii="Times New Roman" w:hAnsi="Times New Roman" w:eastAsia="方正仿宋_GBK" w:cs="宋体"/>
          <w:kern w:val="0"/>
          <w:sz w:val="32"/>
          <w:szCs w:val="32"/>
          <w:lang w:val="en-US" w:eastAsia="zh-CN"/>
        </w:rPr>
        <w:t>2</w:t>
      </w:r>
      <w:r>
        <w:rPr>
          <w:rFonts w:hint="eastAsia" w:ascii="Times New Roman" w:hAnsi="Times New Roman" w:eastAsia="方正仿宋_GBK" w:cs="宋体"/>
          <w:kern w:val="0"/>
          <w:sz w:val="32"/>
          <w:szCs w:val="32"/>
          <w:lang w:val="zh-TW" w:eastAsia="zh-TW"/>
        </w:rPr>
        <w:t>年没有区财政局委托第三方对部门政策或项目开展重点绩效评价的。</w:t>
      </w:r>
    </w:p>
    <w:p>
      <w:pPr>
        <w:pStyle w:val="17"/>
        <w:tabs>
          <w:tab w:val="center" w:pos="4153"/>
          <w:tab w:val="left" w:pos="7275"/>
        </w:tabs>
        <w:spacing w:line="560" w:lineRule="exact"/>
        <w:ind w:firstLine="640"/>
        <w:rPr>
          <w:rFonts w:eastAsia="方正黑体_GBK"/>
          <w:sz w:val="32"/>
          <w:szCs w:val="32"/>
        </w:rPr>
      </w:pPr>
      <w:r>
        <w:rPr>
          <w:rFonts w:hint="eastAsia" w:eastAsia="方正黑体_GBK"/>
          <w:sz w:val="32"/>
          <w:szCs w:val="32"/>
        </w:rPr>
        <w:t>六、专业名词解释</w:t>
      </w:r>
    </w:p>
    <w:p>
      <w:pPr>
        <w:pStyle w:val="17"/>
        <w:tabs>
          <w:tab w:val="center" w:pos="4153"/>
          <w:tab w:val="left" w:pos="7275"/>
        </w:tabs>
        <w:spacing w:line="560" w:lineRule="exact"/>
        <w:ind w:firstLine="640"/>
        <w:rPr>
          <w:rFonts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（一）财政拨款收入：</w:t>
      </w:r>
      <w:r>
        <w:rPr>
          <w:rFonts w:hint="eastAsia" w:hAnsi="方正仿宋_GBK" w:eastAsia="方正仿宋_GBK" w:cs="方正仿宋_GBK"/>
          <w:sz w:val="32"/>
          <w:szCs w:val="32"/>
          <w:lang w:val="zh-TW" w:eastAsia="zh-TW"/>
        </w:rPr>
        <w:t>指本年度从本级财政部门取得的财政拨款，包括一般公共预算财政拨款和政府性基金预算财政拨款。</w:t>
      </w:r>
    </w:p>
    <w:p>
      <w:pPr>
        <w:pStyle w:val="17"/>
        <w:tabs>
          <w:tab w:val="center" w:pos="4153"/>
          <w:tab w:val="left" w:pos="7275"/>
        </w:tabs>
        <w:spacing w:line="560" w:lineRule="exact"/>
        <w:ind w:firstLine="640"/>
        <w:rPr>
          <w:rFonts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（二）事业收入：</w:t>
      </w:r>
      <w:r>
        <w:rPr>
          <w:rFonts w:hint="eastAsia" w:hAnsi="方正仿宋_GBK" w:eastAsia="方正仿宋_GBK" w:cs="方正仿宋_GBK"/>
          <w:sz w:val="32"/>
          <w:szCs w:val="32"/>
          <w:lang w:val="zh-TW" w:eastAsia="zh-TW"/>
        </w:rPr>
        <w:t>指事业单位开展专业业务活动及其辅助活动取得的现金流入；事业单位收到的财政专户实际核拨的教育收费等资金在此反映。</w:t>
      </w:r>
    </w:p>
    <w:p>
      <w:pPr>
        <w:pStyle w:val="17"/>
        <w:tabs>
          <w:tab w:val="center" w:pos="4153"/>
          <w:tab w:val="left" w:pos="7275"/>
        </w:tabs>
        <w:spacing w:line="560" w:lineRule="exact"/>
        <w:ind w:firstLine="640"/>
        <w:rPr>
          <w:rFonts w:ascii="Calibri" w:hAnsi="Calibri" w:eastAsia="方正黑体_GBK"/>
          <w:sz w:val="32"/>
          <w:szCs w:val="32"/>
        </w:rPr>
      </w:pPr>
      <w:r>
        <w:rPr>
          <w:rFonts w:hint="eastAsia" w:ascii="方正楷体_GBK" w:hAnsi="方正楷体_GBK" w:eastAsia="方正楷体_GBK" w:cs="方正楷体_GBK"/>
          <w:snapToGrid w:val="0"/>
          <w:kern w:val="32"/>
          <w:sz w:val="32"/>
          <w:szCs w:val="32"/>
        </w:rPr>
        <w:t>（三）经营收入：</w:t>
      </w:r>
      <w:r>
        <w:rPr>
          <w:rFonts w:hint="eastAsia" w:hAnsi="方正仿宋_GBK" w:eastAsia="方正仿宋_GBK" w:cs="方正仿宋_GBK"/>
          <w:sz w:val="32"/>
          <w:szCs w:val="32"/>
          <w:lang w:val="zh-TW" w:eastAsia="zh-TW"/>
        </w:rPr>
        <w:t>指事业单位在专业业务活动及其辅助活动之外开展非独立核算经营活动取得的现金流入</w:t>
      </w:r>
      <w:r>
        <w:rPr>
          <w:rFonts w:hint="eastAsia" w:ascii="Calibri" w:hAnsi="Calibri" w:eastAsia="方正黑体_GBK"/>
          <w:sz w:val="32"/>
          <w:szCs w:val="32"/>
        </w:rPr>
        <w:t>。</w:t>
      </w:r>
    </w:p>
    <w:p>
      <w:pPr>
        <w:pStyle w:val="17"/>
        <w:tabs>
          <w:tab w:val="center" w:pos="4153"/>
          <w:tab w:val="left" w:pos="7275"/>
        </w:tabs>
        <w:spacing w:line="560" w:lineRule="exact"/>
        <w:ind w:firstLine="640"/>
        <w:rPr>
          <w:rFonts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（四）其他收入：</w:t>
      </w:r>
      <w:r>
        <w:rPr>
          <w:rFonts w:hint="eastAsia" w:hAnsi="方正仿宋_GBK" w:eastAsia="方正仿宋_GBK" w:cs="方正仿宋_GBK"/>
          <w:sz w:val="32"/>
          <w:szCs w:val="32"/>
          <w:lang w:val="zh-TW" w:eastAsia="zh-TW"/>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7"/>
        <w:tabs>
          <w:tab w:val="center" w:pos="4153"/>
          <w:tab w:val="left" w:pos="7275"/>
        </w:tabs>
        <w:spacing w:line="560" w:lineRule="exact"/>
        <w:ind w:firstLine="640"/>
        <w:rPr>
          <w:rFonts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（五）使用非财政拨款结余：</w:t>
      </w:r>
      <w:r>
        <w:rPr>
          <w:rFonts w:hint="eastAsia" w:hAnsi="方正仿宋_GBK" w:eastAsia="方正仿宋_GBK" w:cs="方正仿宋_GBK"/>
          <w:sz w:val="32"/>
          <w:szCs w:val="32"/>
          <w:lang w:val="zh-TW" w:eastAsia="zh-TW"/>
        </w:rPr>
        <w:t>指单位在当年的“财政拨款收入”、“事业收入”、“经营收入”、“其他收入”等不足以安排当年支出的情况下，使用以前年度积累的非财政拨款结余弥补本年度收支缺口的资金。</w:t>
      </w:r>
    </w:p>
    <w:p>
      <w:pPr>
        <w:pStyle w:val="17"/>
        <w:tabs>
          <w:tab w:val="center" w:pos="4153"/>
          <w:tab w:val="left" w:pos="7275"/>
        </w:tabs>
        <w:spacing w:line="560" w:lineRule="exact"/>
        <w:ind w:firstLine="640"/>
        <w:rPr>
          <w:rFonts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（六）年初结转和结余：</w:t>
      </w:r>
      <w:r>
        <w:rPr>
          <w:rFonts w:hint="eastAsia" w:hAnsi="方正仿宋_GBK" w:eastAsia="方正仿宋_GBK" w:cs="方正仿宋_GBK"/>
          <w:sz w:val="32"/>
          <w:szCs w:val="32"/>
          <w:lang w:val="zh-TW" w:eastAsia="zh-TW"/>
        </w:rPr>
        <w:t>指单位上年结转本年使用的基本支出结转、项目支出结转和结余、经营结余。</w:t>
      </w:r>
    </w:p>
    <w:p>
      <w:pPr>
        <w:pStyle w:val="17"/>
        <w:tabs>
          <w:tab w:val="center" w:pos="4153"/>
          <w:tab w:val="left" w:pos="7275"/>
        </w:tabs>
        <w:spacing w:line="560" w:lineRule="exact"/>
        <w:ind w:firstLine="640"/>
        <w:rPr>
          <w:rFonts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（七）结余分配：</w:t>
      </w:r>
      <w:r>
        <w:rPr>
          <w:rFonts w:hint="eastAsia" w:hAnsi="方正仿宋_GBK" w:eastAsia="方正仿宋_GBK" w:cs="方正仿宋_GBK"/>
          <w:sz w:val="32"/>
          <w:szCs w:val="32"/>
          <w:lang w:val="zh-TW" w:eastAsia="zh-TW"/>
        </w:rPr>
        <w:t>指单位按照国家有关规定，缴纳所得税、提取专用基金、转入非财政拨款结余等当年结余的分配情况。</w:t>
      </w:r>
    </w:p>
    <w:p>
      <w:pPr>
        <w:pStyle w:val="17"/>
        <w:tabs>
          <w:tab w:val="center" w:pos="4153"/>
          <w:tab w:val="left" w:pos="7275"/>
        </w:tabs>
        <w:spacing w:line="560" w:lineRule="exact"/>
        <w:ind w:firstLine="640"/>
        <w:rPr>
          <w:rFonts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（八）年末结转和结余：</w:t>
      </w:r>
      <w:r>
        <w:rPr>
          <w:rFonts w:hint="eastAsia" w:hAnsi="方正仿宋_GBK" w:eastAsia="方正仿宋_GBK" w:cs="方正仿宋_GBK"/>
          <w:sz w:val="32"/>
          <w:szCs w:val="32"/>
          <w:lang w:val="zh-TW" w:eastAsia="zh-TW"/>
        </w:rPr>
        <w:t>指单位结转下年的基本支出结转、项目支出结转和结余、经营结余。</w:t>
      </w:r>
    </w:p>
    <w:p>
      <w:pPr>
        <w:pStyle w:val="17"/>
        <w:tabs>
          <w:tab w:val="center" w:pos="4153"/>
          <w:tab w:val="left" w:pos="7275"/>
        </w:tabs>
        <w:spacing w:line="560" w:lineRule="exact"/>
        <w:ind w:firstLine="640"/>
        <w:rPr>
          <w:rFonts w:hAnsi="方正仿宋_GBK" w:eastAsia="方正仿宋_GBK" w:cs="方正仿宋_GBK"/>
          <w:sz w:val="32"/>
          <w:szCs w:val="32"/>
          <w:lang w:val="zh-TW" w:eastAsia="zh-TW"/>
        </w:rPr>
      </w:pPr>
      <w:r>
        <w:rPr>
          <w:rFonts w:hint="eastAsia" w:ascii="Calibri" w:hAnsi="Calibri" w:eastAsia="方正黑体_GBK"/>
          <w:sz w:val="32"/>
          <w:szCs w:val="32"/>
        </w:rPr>
        <w:t>（</w:t>
      </w:r>
      <w:r>
        <w:rPr>
          <w:rFonts w:hint="eastAsia" w:ascii="方正楷体_GBK" w:hAnsi="方正楷体_GBK" w:eastAsia="方正楷体_GBK" w:cs="方正楷体_GBK"/>
          <w:snapToGrid w:val="0"/>
          <w:kern w:val="32"/>
          <w:sz w:val="32"/>
          <w:szCs w:val="32"/>
        </w:rPr>
        <w:t>九）基本支出：</w:t>
      </w:r>
      <w:r>
        <w:rPr>
          <w:rFonts w:hint="eastAsia" w:hAnsi="方正仿宋_GBK" w:eastAsia="方正仿宋_GBK" w:cs="方正仿宋_GBK"/>
          <w:sz w:val="32"/>
          <w:szCs w:val="32"/>
          <w:lang w:val="zh-TW" w:eastAsia="zh-TW"/>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7"/>
        <w:tabs>
          <w:tab w:val="center" w:pos="4153"/>
          <w:tab w:val="left" w:pos="7275"/>
        </w:tabs>
        <w:spacing w:line="560" w:lineRule="exact"/>
        <w:ind w:firstLine="640"/>
        <w:rPr>
          <w:rFonts w:ascii="Calibri" w:hAnsi="Calibri" w:eastAsia="方正黑体_GBK"/>
          <w:sz w:val="32"/>
          <w:szCs w:val="32"/>
        </w:rPr>
      </w:pPr>
      <w:r>
        <w:rPr>
          <w:rFonts w:hint="eastAsia" w:ascii="方正楷体_GBK" w:hAnsi="方正楷体_GBK" w:eastAsia="方正楷体_GBK" w:cs="方正楷体_GBK"/>
          <w:snapToGrid w:val="0"/>
          <w:kern w:val="32"/>
          <w:sz w:val="32"/>
          <w:szCs w:val="32"/>
        </w:rPr>
        <w:t>（十）项目支出：</w:t>
      </w:r>
      <w:r>
        <w:rPr>
          <w:rFonts w:hint="eastAsia" w:hAnsi="方正仿宋_GBK" w:eastAsia="方正仿宋_GBK" w:cs="方正仿宋_GBK"/>
          <w:sz w:val="32"/>
          <w:szCs w:val="32"/>
          <w:lang w:val="zh-TW" w:eastAsia="zh-TW"/>
        </w:rPr>
        <w:t>指在基本支出之外为完成特定行政任务和事业发展目标所发生的支出。</w:t>
      </w:r>
    </w:p>
    <w:p>
      <w:pPr>
        <w:pStyle w:val="17"/>
        <w:tabs>
          <w:tab w:val="center" w:pos="4153"/>
          <w:tab w:val="left" w:pos="7275"/>
        </w:tabs>
        <w:spacing w:line="560" w:lineRule="exact"/>
        <w:ind w:firstLine="640"/>
        <w:rPr>
          <w:rFonts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（十一）经营支出：</w:t>
      </w:r>
      <w:r>
        <w:rPr>
          <w:rFonts w:hint="eastAsia" w:hAnsi="方正仿宋_GBK" w:eastAsia="方正仿宋_GBK" w:cs="方正仿宋_GBK"/>
          <w:sz w:val="32"/>
          <w:szCs w:val="32"/>
          <w:lang w:val="zh-TW" w:eastAsia="zh-TW"/>
        </w:rPr>
        <w:t>指事业单位在专业业务活动及其辅助活动之外开展非独立核算经营活动发生的支出。</w:t>
      </w:r>
    </w:p>
    <w:p>
      <w:pPr>
        <w:pStyle w:val="17"/>
        <w:tabs>
          <w:tab w:val="center" w:pos="4153"/>
          <w:tab w:val="left" w:pos="7275"/>
        </w:tabs>
        <w:spacing w:line="560" w:lineRule="exact"/>
        <w:ind w:firstLine="640"/>
        <w:rPr>
          <w:rFonts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（十二）“三公”经费：</w:t>
      </w:r>
      <w:r>
        <w:rPr>
          <w:rFonts w:hint="eastAsia" w:hAnsi="方正仿宋_GBK" w:eastAsia="方正仿宋_GBK" w:cs="方正仿宋_GBK"/>
          <w:sz w:val="32"/>
          <w:szCs w:val="32"/>
          <w:lang w:val="zh-TW" w:eastAsia="zh-TW"/>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7"/>
        <w:tabs>
          <w:tab w:val="center" w:pos="4153"/>
          <w:tab w:val="left" w:pos="7275"/>
        </w:tabs>
        <w:spacing w:line="560" w:lineRule="exact"/>
        <w:ind w:firstLine="640"/>
        <w:rPr>
          <w:rFonts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（十三）机关运行经费：</w:t>
      </w:r>
      <w:r>
        <w:rPr>
          <w:rFonts w:hint="eastAsia" w:hAnsi="方正仿宋_GBK" w:eastAsia="方正仿宋_GBK" w:cs="方正仿宋_GBK"/>
          <w:sz w:val="32"/>
          <w:szCs w:val="32"/>
          <w:lang w:val="zh-TW" w:eastAsia="zh-TW"/>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7"/>
        <w:tabs>
          <w:tab w:val="center" w:pos="4153"/>
          <w:tab w:val="left" w:pos="7275"/>
        </w:tabs>
        <w:spacing w:line="560" w:lineRule="exact"/>
        <w:ind w:firstLine="640"/>
        <w:rPr>
          <w:rFonts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（十四）工资福利支出（支出经济分类科目类级）：</w:t>
      </w:r>
      <w:r>
        <w:rPr>
          <w:rFonts w:hint="eastAsia" w:hAnsi="方正仿宋_GBK" w:eastAsia="方正仿宋_GBK" w:cs="方正仿宋_GBK"/>
          <w:sz w:val="32"/>
          <w:szCs w:val="32"/>
          <w:lang w:val="zh-TW" w:eastAsia="zh-TW"/>
        </w:rPr>
        <w:t>反映单位开支的在职职工和编制外长期聘用人员的各类劳动报酬，以及为上述人员缴纳的各项社会保险费等。</w:t>
      </w:r>
    </w:p>
    <w:p>
      <w:pPr>
        <w:pStyle w:val="17"/>
        <w:tabs>
          <w:tab w:val="center" w:pos="4153"/>
          <w:tab w:val="left" w:pos="7275"/>
        </w:tabs>
        <w:spacing w:line="560" w:lineRule="exact"/>
        <w:ind w:firstLine="640"/>
        <w:rPr>
          <w:rFonts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（十五）商品和服务支出（支出经济分类科目类级）：</w:t>
      </w:r>
      <w:r>
        <w:rPr>
          <w:rFonts w:hint="eastAsia" w:hAnsi="方正仿宋_GBK" w:eastAsia="方正仿宋_GBK" w:cs="方正仿宋_GBK"/>
          <w:sz w:val="32"/>
          <w:szCs w:val="32"/>
          <w:lang w:val="zh-TW" w:eastAsia="zh-TW"/>
        </w:rPr>
        <w:t>反映单位购买商品和服务的支出（不包括用于购置固定资产的支出、战略性和应急储备支出）。</w:t>
      </w:r>
    </w:p>
    <w:p>
      <w:pPr>
        <w:pStyle w:val="17"/>
        <w:tabs>
          <w:tab w:val="center" w:pos="4153"/>
          <w:tab w:val="left" w:pos="7275"/>
        </w:tabs>
        <w:spacing w:line="560" w:lineRule="exact"/>
        <w:ind w:firstLine="640"/>
        <w:rPr>
          <w:rFonts w:ascii="Calibri" w:hAnsi="Calibri" w:eastAsia="方正黑体_GBK"/>
          <w:sz w:val="32"/>
          <w:szCs w:val="32"/>
        </w:rPr>
      </w:pPr>
      <w:r>
        <w:rPr>
          <w:rFonts w:hint="eastAsia" w:ascii="方正楷体_GBK" w:hAnsi="方正楷体_GBK" w:eastAsia="方正楷体_GBK" w:cs="方正楷体_GBK"/>
          <w:snapToGrid w:val="0"/>
          <w:kern w:val="32"/>
          <w:sz w:val="32"/>
          <w:szCs w:val="32"/>
        </w:rPr>
        <w:t>（十六）对个人和家庭的补助（支出经济分类科目类级）：</w:t>
      </w:r>
      <w:r>
        <w:rPr>
          <w:rFonts w:hint="eastAsia" w:hAnsi="方正仿宋_GBK" w:eastAsia="方正仿宋_GBK" w:cs="方正仿宋_GBK"/>
          <w:sz w:val="32"/>
          <w:szCs w:val="32"/>
          <w:lang w:val="zh-TW" w:eastAsia="zh-TW"/>
        </w:rPr>
        <w:t>反映用于对个人和家庭的补助支出。</w:t>
      </w:r>
    </w:p>
    <w:p>
      <w:pPr>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（十七）其他资本性支出（支出经济分类科目类级）：</w:t>
      </w:r>
      <w:r>
        <w:rPr>
          <w:rFonts w:hint="eastAsia" w:ascii="Times New Roman" w:hAnsi="方正仿宋_GBK" w:eastAsia="方正仿宋_GBK" w:cs="方正仿宋_GBK"/>
          <w:sz w:val="32"/>
          <w:szCs w:val="32"/>
          <w:lang w:val="zh-TW" w:eastAsia="zh-TW"/>
        </w:rPr>
        <w:t>反映非各级发展与改革部门集中安排的用于购置固定资产、战略性和应急性储备、土地和无形资产，以及构建基础设施、大型修缮和财政支持企业更新改造所发生的支出。</w:t>
      </w:r>
    </w:p>
    <w:p>
      <w:pPr>
        <w:pStyle w:val="17"/>
        <w:tabs>
          <w:tab w:val="center" w:pos="4153"/>
          <w:tab w:val="left" w:pos="7275"/>
        </w:tabs>
        <w:spacing w:line="560" w:lineRule="exact"/>
        <w:ind w:firstLine="640"/>
        <w:rPr>
          <w:rFonts w:eastAsia="方正黑体_GBK"/>
          <w:sz w:val="32"/>
          <w:szCs w:val="32"/>
        </w:rPr>
      </w:pPr>
      <w:r>
        <w:rPr>
          <w:rFonts w:hint="eastAsia" w:eastAsia="方正黑体_GBK"/>
          <w:sz w:val="32"/>
          <w:szCs w:val="32"/>
        </w:rPr>
        <w:t>七、决算公开联系方式及信息反馈渠道</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本单位决算公开信息反馈和联系方式：</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部门决算公开联系人：胡志娟</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联系电话：023-67822433</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邮箱：168116809@QQ.COM</w:t>
      </w:r>
    </w:p>
    <w:p>
      <w:pPr>
        <w:widowControl/>
        <w:shd w:val="clear" w:color="auto" w:fill="FFFFFF"/>
        <w:spacing w:before="100" w:beforeAutospacing="1" w:after="100" w:afterAutospacing="1"/>
        <w:jc w:val="left"/>
        <w:rPr>
          <w:rFonts w:ascii="宋体" w:hAnsi="宋体" w:eastAsia="宋体" w:cs="宋体"/>
          <w:kern w:val="0"/>
          <w:sz w:val="24"/>
          <w:szCs w:val="24"/>
          <w:lang w:eastAsia="zh-TW"/>
        </w:rPr>
      </w:pPr>
    </w:p>
    <w:p>
      <w:pPr>
        <w:rPr>
          <w:lang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A2B1E"/>
    <w:rsid w:val="00016304"/>
    <w:rsid w:val="00097709"/>
    <w:rsid w:val="000E6FCD"/>
    <w:rsid w:val="0015423D"/>
    <w:rsid w:val="001B38FA"/>
    <w:rsid w:val="002851B6"/>
    <w:rsid w:val="002D5D62"/>
    <w:rsid w:val="002F016B"/>
    <w:rsid w:val="003F63AD"/>
    <w:rsid w:val="00404D89"/>
    <w:rsid w:val="00460341"/>
    <w:rsid w:val="0048743A"/>
    <w:rsid w:val="0050005E"/>
    <w:rsid w:val="00544DB5"/>
    <w:rsid w:val="0057398A"/>
    <w:rsid w:val="0059682E"/>
    <w:rsid w:val="005D7D70"/>
    <w:rsid w:val="00667406"/>
    <w:rsid w:val="006F16C5"/>
    <w:rsid w:val="00720954"/>
    <w:rsid w:val="00763BA0"/>
    <w:rsid w:val="00767FE7"/>
    <w:rsid w:val="00786E56"/>
    <w:rsid w:val="00830249"/>
    <w:rsid w:val="00887DFF"/>
    <w:rsid w:val="00915F8A"/>
    <w:rsid w:val="009207D9"/>
    <w:rsid w:val="00925CD7"/>
    <w:rsid w:val="009B1EB6"/>
    <w:rsid w:val="00A02CD3"/>
    <w:rsid w:val="00A166E1"/>
    <w:rsid w:val="00A2352A"/>
    <w:rsid w:val="00A62CC2"/>
    <w:rsid w:val="00AE681F"/>
    <w:rsid w:val="00AF1A7B"/>
    <w:rsid w:val="00B77E71"/>
    <w:rsid w:val="00BA55A9"/>
    <w:rsid w:val="00BB324C"/>
    <w:rsid w:val="00C1784C"/>
    <w:rsid w:val="00CA521B"/>
    <w:rsid w:val="00D37133"/>
    <w:rsid w:val="00D426DE"/>
    <w:rsid w:val="00DC64AA"/>
    <w:rsid w:val="00DD18F9"/>
    <w:rsid w:val="00E62206"/>
    <w:rsid w:val="00E94200"/>
    <w:rsid w:val="00EF6934"/>
    <w:rsid w:val="00F4169C"/>
    <w:rsid w:val="00F466EC"/>
    <w:rsid w:val="00FA2B1E"/>
    <w:rsid w:val="00FD032D"/>
    <w:rsid w:val="00FD3E23"/>
    <w:rsid w:val="00FD4057"/>
    <w:rsid w:val="02CA4574"/>
    <w:rsid w:val="044A4897"/>
    <w:rsid w:val="049B0BAB"/>
    <w:rsid w:val="04B9549B"/>
    <w:rsid w:val="04C310B6"/>
    <w:rsid w:val="0562399F"/>
    <w:rsid w:val="056A714D"/>
    <w:rsid w:val="0598300A"/>
    <w:rsid w:val="0754619E"/>
    <w:rsid w:val="07E92151"/>
    <w:rsid w:val="0917523F"/>
    <w:rsid w:val="092B469D"/>
    <w:rsid w:val="092F40C3"/>
    <w:rsid w:val="098C3B11"/>
    <w:rsid w:val="0C396703"/>
    <w:rsid w:val="0C433E9D"/>
    <w:rsid w:val="0C511E10"/>
    <w:rsid w:val="0FC0262B"/>
    <w:rsid w:val="10B30FC4"/>
    <w:rsid w:val="1177106A"/>
    <w:rsid w:val="125B0E30"/>
    <w:rsid w:val="12972F64"/>
    <w:rsid w:val="12ED502E"/>
    <w:rsid w:val="13EB5889"/>
    <w:rsid w:val="142026BF"/>
    <w:rsid w:val="147E2756"/>
    <w:rsid w:val="14B139B4"/>
    <w:rsid w:val="15F40A19"/>
    <w:rsid w:val="16191A76"/>
    <w:rsid w:val="18DC28E0"/>
    <w:rsid w:val="191E4EE0"/>
    <w:rsid w:val="1DB04A65"/>
    <w:rsid w:val="1E112003"/>
    <w:rsid w:val="204C7267"/>
    <w:rsid w:val="20FB0C01"/>
    <w:rsid w:val="23EC3AA2"/>
    <w:rsid w:val="241E6BFC"/>
    <w:rsid w:val="25F17CB3"/>
    <w:rsid w:val="2631729D"/>
    <w:rsid w:val="26C747C3"/>
    <w:rsid w:val="26D222B2"/>
    <w:rsid w:val="27FC2259"/>
    <w:rsid w:val="28B12145"/>
    <w:rsid w:val="2A556525"/>
    <w:rsid w:val="2B267341"/>
    <w:rsid w:val="2B9573B1"/>
    <w:rsid w:val="2C776BB1"/>
    <w:rsid w:val="2D702019"/>
    <w:rsid w:val="2E6A7BCB"/>
    <w:rsid w:val="2EA6595E"/>
    <w:rsid w:val="2F8461DD"/>
    <w:rsid w:val="30005C12"/>
    <w:rsid w:val="3070500B"/>
    <w:rsid w:val="32BB1696"/>
    <w:rsid w:val="32D6440C"/>
    <w:rsid w:val="32E42C1B"/>
    <w:rsid w:val="333F54B9"/>
    <w:rsid w:val="34FF7C0D"/>
    <w:rsid w:val="35685B17"/>
    <w:rsid w:val="35925F76"/>
    <w:rsid w:val="35F12139"/>
    <w:rsid w:val="377D0D35"/>
    <w:rsid w:val="381C3E07"/>
    <w:rsid w:val="3A491405"/>
    <w:rsid w:val="3C512833"/>
    <w:rsid w:val="3E232641"/>
    <w:rsid w:val="3F3E281A"/>
    <w:rsid w:val="3FE90151"/>
    <w:rsid w:val="433756CF"/>
    <w:rsid w:val="434F2FDA"/>
    <w:rsid w:val="43513E05"/>
    <w:rsid w:val="438408ED"/>
    <w:rsid w:val="43AB6941"/>
    <w:rsid w:val="43E1249E"/>
    <w:rsid w:val="44475AEB"/>
    <w:rsid w:val="455A31D1"/>
    <w:rsid w:val="4613573C"/>
    <w:rsid w:val="46610D39"/>
    <w:rsid w:val="46A2500C"/>
    <w:rsid w:val="47473FCD"/>
    <w:rsid w:val="48DF4F67"/>
    <w:rsid w:val="4A803410"/>
    <w:rsid w:val="4A9C3B81"/>
    <w:rsid w:val="4C1232B7"/>
    <w:rsid w:val="4C3616A8"/>
    <w:rsid w:val="4C515111"/>
    <w:rsid w:val="4E5C3D23"/>
    <w:rsid w:val="4E7573D3"/>
    <w:rsid w:val="4EA847A7"/>
    <w:rsid w:val="4FCB5C35"/>
    <w:rsid w:val="50777AB9"/>
    <w:rsid w:val="50A36E56"/>
    <w:rsid w:val="525167B1"/>
    <w:rsid w:val="53226BE5"/>
    <w:rsid w:val="53CF6106"/>
    <w:rsid w:val="54DE3254"/>
    <w:rsid w:val="56950513"/>
    <w:rsid w:val="56F83398"/>
    <w:rsid w:val="576A3444"/>
    <w:rsid w:val="58B339B2"/>
    <w:rsid w:val="59022171"/>
    <w:rsid w:val="5916472F"/>
    <w:rsid w:val="5A1477E7"/>
    <w:rsid w:val="5AB779B5"/>
    <w:rsid w:val="5B525220"/>
    <w:rsid w:val="5CEB7B31"/>
    <w:rsid w:val="5D1978A8"/>
    <w:rsid w:val="5D1B1BD3"/>
    <w:rsid w:val="5F8466D6"/>
    <w:rsid w:val="5FD004AA"/>
    <w:rsid w:val="61120E78"/>
    <w:rsid w:val="62B472D3"/>
    <w:rsid w:val="62B84DCF"/>
    <w:rsid w:val="62EF7E9C"/>
    <w:rsid w:val="63773A8D"/>
    <w:rsid w:val="6461791C"/>
    <w:rsid w:val="64C853BF"/>
    <w:rsid w:val="659E3FE4"/>
    <w:rsid w:val="665748D9"/>
    <w:rsid w:val="66DE672A"/>
    <w:rsid w:val="6A0641F0"/>
    <w:rsid w:val="6A6E7FBE"/>
    <w:rsid w:val="6B171285"/>
    <w:rsid w:val="6B29206E"/>
    <w:rsid w:val="6B624858"/>
    <w:rsid w:val="6B8B2CBF"/>
    <w:rsid w:val="6BD63C22"/>
    <w:rsid w:val="6CB87C0F"/>
    <w:rsid w:val="6D3B0E3D"/>
    <w:rsid w:val="721C5E42"/>
    <w:rsid w:val="72730B1B"/>
    <w:rsid w:val="742E5DF3"/>
    <w:rsid w:val="74AA2F61"/>
    <w:rsid w:val="74B27391"/>
    <w:rsid w:val="764B219C"/>
    <w:rsid w:val="76671CD1"/>
    <w:rsid w:val="76A02554"/>
    <w:rsid w:val="77B82492"/>
    <w:rsid w:val="796532E2"/>
    <w:rsid w:val="7A1E7E3F"/>
    <w:rsid w:val="7A6819CE"/>
    <w:rsid w:val="7BA837D9"/>
    <w:rsid w:val="7C9F3A92"/>
    <w:rsid w:val="7CF523F0"/>
    <w:rsid w:val="7D10700B"/>
    <w:rsid w:val="7D2C27F9"/>
    <w:rsid w:val="7D9958B5"/>
    <w:rsid w:val="7DA62FB1"/>
    <w:rsid w:val="7F6A41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next w:val="1"/>
    <w:unhideWhenUsed/>
    <w:qFormat/>
    <w:uiPriority w:val="99"/>
    <w:rPr>
      <w:szCs w:val="24"/>
    </w:rPr>
  </w:style>
  <w:style w:type="paragraph" w:styleId="4">
    <w:name w:val="Body Text Indent"/>
    <w:basedOn w:val="1"/>
    <w:unhideWhenUsed/>
    <w:qFormat/>
    <w:uiPriority w:val="99"/>
    <w:pPr>
      <w:spacing w:after="120"/>
      <w:ind w:left="420" w:leftChars="200"/>
    </w:pPr>
    <w:rPr>
      <w:rFonts w:ascii="Calibri" w:hAnsi="Calibri"/>
    </w:r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qFormat/>
    <w:uiPriority w:val="99"/>
    <w:rPr>
      <w:sz w:val="18"/>
      <w:szCs w:val="18"/>
    </w:rPr>
  </w:style>
  <w:style w:type="character" w:customStyle="1" w:styleId="15">
    <w:name w:val="批注框文本 Char"/>
    <w:basedOn w:val="9"/>
    <w:link w:val="5"/>
    <w:semiHidden/>
    <w:qFormat/>
    <w:uiPriority w:val="99"/>
    <w:rPr>
      <w:sz w:val="18"/>
      <w:szCs w:val="18"/>
    </w:rPr>
  </w:style>
  <w:style w:type="paragraph" w:customStyle="1" w:styleId="16">
    <w:name w:val="列出段落1"/>
    <w:basedOn w:val="1"/>
    <w:qFormat/>
    <w:uiPriority w:val="34"/>
    <w:pPr>
      <w:ind w:firstLine="420" w:firstLineChars="200"/>
    </w:pPr>
  </w:style>
  <w:style w:type="paragraph" w:customStyle="1" w:styleId="17">
    <w:name w:val="_Style 1"/>
    <w:basedOn w:val="1"/>
    <w:qFormat/>
    <w:uiPriority w:val="34"/>
    <w:pPr>
      <w:ind w:firstLine="420" w:firstLineChars="200"/>
    </w:pPr>
    <w:rPr>
      <w:rFonts w:ascii="Times New Roman" w:hAnsi="Times New Roman" w:eastAsia="宋体" w:cs="Times New Roman"/>
    </w:rPr>
  </w:style>
  <w:style w:type="paragraph" w:customStyle="1" w:styleId="18">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1003</Words>
  <Characters>5721</Characters>
  <Lines>47</Lines>
  <Paragraphs>13</Paragraphs>
  <TotalTime>10</TotalTime>
  <ScaleCrop>false</ScaleCrop>
  <LinksUpToDate>false</LinksUpToDate>
  <CharactersWithSpaces>6711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2022-08-15T06:33:00Z</dcterms:created>
  <dc:creator>AutoBVT</dc:creator>
  <cp:lastModifiedBy>USER</cp:lastModifiedBy>
  <dcterms:modified xsi:type="dcterms:W3CDTF">2024-02-28T06:36:09Z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