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重庆市渝北区新桥水库管理所</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2022</w:t>
      </w:r>
      <w:r>
        <w:rPr>
          <w:rFonts w:hint="eastAsia" w:ascii="Times New Roman" w:hAnsi="Times New Roman" w:eastAsia="方正小标宋_GBK" w:cs="Times New Roman"/>
          <w:sz w:val="44"/>
          <w:szCs w:val="44"/>
        </w:rPr>
        <w:t>年度部门决算情况说明</w:t>
      </w:r>
    </w:p>
    <w:p>
      <w:pPr>
        <w:adjustRightInd w:val="0"/>
        <w:snapToGrid w:val="0"/>
        <w:spacing w:line="600" w:lineRule="exact"/>
        <w:ind w:firstLine="640" w:firstLineChars="200"/>
        <w:jc w:val="left"/>
        <w:rPr>
          <w:rFonts w:ascii="方正仿宋_GBK" w:hAnsi="方正仿宋_GBK" w:eastAsia="方正仿宋_GBK" w:cs="方正仿宋_GBK"/>
          <w:sz w:val="32"/>
          <w:szCs w:val="32"/>
        </w:rPr>
      </w:pP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一、部门基本情况</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（一）职能职责。</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根据《中共重庆市渝北区委机构编制委员会关于重庆市渝北区水利局所属事业单位宗旨和职责任务的通知》（渝北编办[2015]391号）精神，我所主要宗旨为已建水利工程正常运行提供管理保障，具体如下：</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1.主要职责任务。水利工程管理，水量调度计划执行。</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2.具体职责任务。受区水利局委托，承担以下具体职责：</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（1）水利工程管理。主要包括已建水利工程管理与养护、安全监测；设备运行管理；水环境保护和治理；水土保持；水利工程建设和管理。</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（2）水量调度计划执行。主要包括水、雨情、汛情报送；防汛物资的储备；水量调度计划执行。</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（3）内部运行管理工作。主要包括日常运营、维护（基础设施维护、安全保卫、物业管理等），单位内部人事、财务等管理工作。</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（二）机构设置。</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本单位是区水利局下属二级预算事业单位，没有内设机构。</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二、部门决算情况说明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（一）收入支出决算总体情况说明。</w:t>
      </w:r>
    </w:p>
    <w:p>
      <w:pPr>
        <w:adjustRightInd w:val="0"/>
        <w:snapToGrid w:val="0"/>
        <w:spacing w:line="600" w:lineRule="exact"/>
        <w:ind w:firstLine="643" w:firstLineChars="200"/>
        <w:rPr>
          <w:rFonts w:ascii="Times New Roman" w:hAnsi="方正仿宋_GBK" w:eastAsia="方正仿宋_GBK" w:cs="方正仿宋_GBK"/>
          <w:sz w:val="32"/>
          <w:szCs w:val="32"/>
          <w:highlight w:val="yellow"/>
          <w:lang w:val="zh-TW" w:eastAsia="zh-TW"/>
        </w:rPr>
      </w:pPr>
      <w:r>
        <w:rPr>
          <w:rFonts w:hint="eastAsia" w:ascii="仿宋_GB2312" w:hAnsi="仿宋_GB2312" w:eastAsia="仿宋_GB2312" w:cs="仿宋_GB2312"/>
          <w:b/>
          <w:bCs/>
          <w:sz w:val="32"/>
          <w:lang w:val="zh-TW" w:eastAsia="zh-TW"/>
        </w:rPr>
        <w:t>1.总体情况。</w:t>
      </w:r>
      <w:r>
        <w:rPr>
          <w:rFonts w:hint="eastAsia" w:ascii="Times New Roman" w:hAnsi="方正仿宋_GBK" w:eastAsia="方正仿宋_GBK" w:cs="方正仿宋_GBK"/>
          <w:sz w:val="32"/>
          <w:szCs w:val="32"/>
          <w:lang w:val="zh-TW" w:eastAsia="zh-TW"/>
        </w:rPr>
        <w:t>2022年度收入总计799.63万元，支出总计799.63万元。收支较上年决算数减少530.63万元,下降39.9%，主要原因是</w:t>
      </w:r>
      <w:r>
        <w:rPr>
          <w:rFonts w:hint="eastAsia" w:ascii="Times New Roman" w:hAnsi="方正仿宋_GBK" w:eastAsia="方正仿宋_GBK" w:cs="方正仿宋_GBK"/>
          <w:sz w:val="32"/>
          <w:szCs w:val="32"/>
          <w:highlight w:val="none"/>
          <w:lang w:val="zh-TW" w:eastAsia="zh-TW"/>
        </w:rPr>
        <w:t>一般公共预算财政拨款项目支出减少，如减少了上年项目法院判决安排解除新桥水库联合经营权资金699.54万元</w:t>
      </w:r>
      <w:r>
        <w:rPr>
          <w:rFonts w:hint="eastAsia" w:ascii="Times New Roman" w:hAnsi="方正仿宋_GBK" w:eastAsia="方正仿宋_GBK" w:cs="方正仿宋_GBK"/>
          <w:sz w:val="32"/>
          <w:szCs w:val="32"/>
          <w:highlight w:val="none"/>
          <w:lang w:val="zh-TW" w:eastAsia="zh-CN"/>
        </w:rPr>
        <w:t>。</w:t>
      </w:r>
    </w:p>
    <w:p>
      <w:pPr>
        <w:adjustRightInd w:val="0"/>
        <w:snapToGrid w:val="0"/>
        <w:spacing w:line="600" w:lineRule="exact"/>
        <w:ind w:firstLine="643" w:firstLineChars="200"/>
        <w:rPr>
          <w:rFonts w:hint="eastAsia" w:ascii="Times New Roman" w:hAnsi="方正仿宋_GBK" w:eastAsia="方正仿宋_GBK" w:cs="方正仿宋_GBK"/>
          <w:sz w:val="32"/>
          <w:szCs w:val="32"/>
          <w:highlight w:val="none"/>
          <w:lang w:val="zh-TW" w:eastAsia="zh-CN"/>
        </w:rPr>
      </w:pPr>
      <w:r>
        <w:rPr>
          <w:rFonts w:hint="eastAsia" w:ascii="仿宋_GB2312" w:hAnsi="仿宋_GB2312" w:eastAsia="仿宋_GB2312" w:cs="仿宋_GB2312"/>
          <w:b/>
          <w:bCs/>
          <w:sz w:val="32"/>
          <w:lang w:val="zh-TW" w:eastAsia="zh-TW"/>
        </w:rPr>
        <w:t>2.收入情况。</w:t>
      </w:r>
      <w:r>
        <w:rPr>
          <w:rFonts w:hint="eastAsia" w:ascii="Times New Roman" w:hAnsi="方正仿宋_GBK" w:eastAsia="方正仿宋_GBK" w:cs="方正仿宋_GBK"/>
          <w:sz w:val="32"/>
          <w:szCs w:val="32"/>
          <w:lang w:val="zh-TW" w:eastAsia="zh-TW"/>
        </w:rPr>
        <w:t>2022年度收入合计799.63万元，较上年决算数减少530.63万元，下降39.9%，主要原因是</w:t>
      </w:r>
      <w:r>
        <w:rPr>
          <w:rFonts w:hint="eastAsia" w:ascii="Times New Roman" w:hAnsi="方正仿宋_GBK" w:eastAsia="方正仿宋_GBK" w:cs="方正仿宋_GBK"/>
          <w:sz w:val="32"/>
          <w:szCs w:val="32"/>
          <w:highlight w:val="none"/>
          <w:lang w:val="zh-TW" w:eastAsia="zh-TW"/>
        </w:rPr>
        <w:t>一般公共预算财政拨款项目支出减少，如减少了上年项目法院判决安排解除新桥水库联合经营权资金699.54万元</w:t>
      </w:r>
      <w:r>
        <w:rPr>
          <w:rFonts w:hint="eastAsia" w:ascii="Times New Roman" w:hAnsi="方正仿宋_GBK" w:eastAsia="方正仿宋_GBK" w:cs="方正仿宋_GBK"/>
          <w:sz w:val="32"/>
          <w:szCs w:val="32"/>
          <w:highlight w:val="none"/>
          <w:lang w:val="zh-TW" w:eastAsia="zh-CN"/>
        </w:rPr>
        <w:t>。</w:t>
      </w:r>
      <w:r>
        <w:rPr>
          <w:rFonts w:hint="eastAsia" w:ascii="Times New Roman" w:hAnsi="方正仿宋_GBK" w:eastAsia="方正仿宋_GBK" w:cs="方正仿宋_GBK"/>
          <w:sz w:val="32"/>
          <w:szCs w:val="32"/>
          <w:highlight w:val="none"/>
          <w:lang w:val="zh-TW" w:eastAsia="zh-TW"/>
        </w:rPr>
        <w:t>其中：财政拨款收入799.63万元，占100</w:t>
      </w:r>
      <w:r>
        <w:rPr>
          <w:rFonts w:hint="eastAsia" w:ascii="Times New Roman" w:hAnsi="方正仿宋_GBK" w:eastAsia="方正仿宋_GBK" w:cs="方正仿宋_GBK"/>
          <w:sz w:val="32"/>
          <w:szCs w:val="32"/>
          <w:highlight w:val="none"/>
          <w:lang w:val="en-US" w:eastAsia="zh-CN"/>
        </w:rPr>
        <w:t>.0</w:t>
      </w:r>
      <w:r>
        <w:rPr>
          <w:rFonts w:hint="eastAsia" w:ascii="Times New Roman" w:hAnsi="方正仿宋_GBK" w:eastAsia="方正仿宋_GBK" w:cs="方正仿宋_GBK"/>
          <w:sz w:val="32"/>
          <w:szCs w:val="32"/>
          <w:highlight w:val="none"/>
          <w:lang w:val="zh-TW" w:eastAsia="zh-TW"/>
        </w:rPr>
        <w:t>%</w:t>
      </w:r>
      <w:r>
        <w:rPr>
          <w:rFonts w:hint="eastAsia" w:ascii="Times New Roman" w:hAnsi="方正仿宋_GBK" w:eastAsia="方正仿宋_GBK" w:cs="方正仿宋_GBK"/>
          <w:sz w:val="32"/>
          <w:szCs w:val="32"/>
          <w:highlight w:val="none"/>
          <w:lang w:val="zh-TW" w:eastAsia="zh-CN"/>
        </w:rPr>
        <w:t>。</w:t>
      </w:r>
    </w:p>
    <w:p>
      <w:pPr>
        <w:adjustRightInd w:val="0"/>
        <w:snapToGrid w:val="0"/>
        <w:spacing w:line="600" w:lineRule="exact"/>
        <w:ind w:firstLine="643" w:firstLineChars="200"/>
        <w:rPr>
          <w:rFonts w:hint="eastAsia"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lang w:val="zh-TW" w:eastAsia="zh-TW"/>
        </w:rPr>
        <w:t>3.支出情况。</w:t>
      </w:r>
      <w:r>
        <w:rPr>
          <w:rFonts w:hint="eastAsia" w:ascii="Times New Roman" w:hAnsi="方正仿宋_GBK" w:eastAsia="方正仿宋_GBK" w:cs="方正仿宋_GBK"/>
          <w:sz w:val="32"/>
          <w:szCs w:val="32"/>
          <w:lang w:val="zh-TW" w:eastAsia="zh-TW"/>
        </w:rPr>
        <w:t>2022年度支出合计799.63万元，较上年决算减少530.63万元，下降39.9%，主要原因是一般公共预算财政拨款项目支出减少，如减少了上年项目法院判决安排解除新桥水库联合经营权资金699.54万元</w:t>
      </w:r>
      <w:r>
        <w:rPr>
          <w:rFonts w:hint="eastAsia" w:ascii="Times New Roman" w:hAnsi="方正仿宋_GBK" w:eastAsia="方正仿宋_GBK" w:cs="方正仿宋_GBK"/>
          <w:sz w:val="32"/>
          <w:szCs w:val="32"/>
          <w:lang w:val="zh-TW" w:eastAsia="zh-CN"/>
        </w:rPr>
        <w:t>。</w:t>
      </w:r>
      <w:r>
        <w:rPr>
          <w:rFonts w:hint="eastAsia" w:ascii="Times New Roman" w:hAnsi="方正仿宋_GBK" w:eastAsia="方正仿宋_GBK" w:cs="方正仿宋_GBK"/>
          <w:sz w:val="32"/>
          <w:szCs w:val="32"/>
          <w:lang w:val="zh-TW" w:eastAsia="zh-TW"/>
        </w:rPr>
        <w:t>其中：基本支出307.12万元，占38.4%；项目支出492.51万元，占61.6%</w:t>
      </w:r>
      <w:r>
        <w:rPr>
          <w:rFonts w:hint="eastAsia" w:ascii="Times New Roman" w:hAnsi="方正仿宋_GBK" w:eastAsia="方正仿宋_GBK" w:cs="方正仿宋_GBK"/>
          <w:sz w:val="32"/>
          <w:szCs w:val="32"/>
          <w:lang w:val="zh-TW" w:eastAsia="zh-CN"/>
        </w:rPr>
        <w:t>。</w:t>
      </w:r>
    </w:p>
    <w:p>
      <w:pPr>
        <w:adjustRightInd w:val="0"/>
        <w:snapToGrid w:val="0"/>
        <w:spacing w:line="600" w:lineRule="exact"/>
        <w:ind w:firstLine="643" w:firstLineChars="200"/>
        <w:rPr>
          <w:rFonts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lang w:val="zh-TW" w:eastAsia="zh-TW"/>
        </w:rPr>
        <w:t>4.结转结余情况。</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年度年末结转和结余0.00万元，较上年决算数增加0.00万元，增长0.0%。主要原因是上年和本年我所均无结转结余。</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（二）财政拨款收入支出决算总体情况说明。</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CN"/>
        </w:rPr>
      </w:pPr>
      <w:r>
        <w:rPr>
          <w:rFonts w:hint="eastAsia" w:ascii="Times New Roman" w:hAnsi="方正仿宋_GBK" w:eastAsia="方正仿宋_GBK" w:cs="方正仿宋_GBK"/>
          <w:sz w:val="32"/>
          <w:szCs w:val="32"/>
          <w:lang w:val="zh-TW" w:eastAsia="zh-CN"/>
        </w:rPr>
        <w:t>2022年度财政拨款收、支总计799.63万元。与2021年相比，财政拨款收、支总计各减少530.63万元，下降39.9%。</w:t>
      </w:r>
      <w:r>
        <w:rPr>
          <w:rFonts w:hint="eastAsia" w:ascii="Times New Roman" w:hAnsi="方正仿宋_GBK" w:eastAsia="方正仿宋_GBK" w:cs="方正仿宋_GBK"/>
          <w:sz w:val="32"/>
          <w:szCs w:val="32"/>
          <w:lang w:val="zh-TW" w:eastAsia="zh-TW"/>
        </w:rPr>
        <w:t>主要原因是一般公共预算财政拨款项目支出减少，如减少了上年项目法院判决安排解除新桥水库联合经营权资金699.54万元</w:t>
      </w:r>
      <w:r>
        <w:rPr>
          <w:rFonts w:hint="eastAsia" w:ascii="Times New Roman" w:hAnsi="方正仿宋_GBK" w:eastAsia="方正仿宋_GBK" w:cs="方正仿宋_GBK"/>
          <w:sz w:val="32"/>
          <w:szCs w:val="32"/>
          <w:lang w:val="zh-TW" w:eastAsia="zh-CN"/>
        </w:rPr>
        <w:t>。</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（三）一般公共预算财政拨款收入支出决算情况说明。</w:t>
      </w:r>
    </w:p>
    <w:p>
      <w:pPr>
        <w:adjustRightInd w:val="0"/>
        <w:snapToGrid w:val="0"/>
        <w:spacing w:line="600" w:lineRule="exact"/>
        <w:ind w:firstLine="643" w:firstLineChars="200"/>
        <w:rPr>
          <w:rFonts w:hint="eastAsia"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highlight w:val="none"/>
          <w:lang w:val="zh-TW" w:eastAsia="zh-TW"/>
        </w:rPr>
        <w:t>1.收入情况。</w:t>
      </w:r>
      <w:r>
        <w:rPr>
          <w:rFonts w:hint="eastAsia" w:ascii="Times New Roman" w:hAnsi="方正仿宋_GBK" w:eastAsia="方正仿宋_GBK" w:cs="方正仿宋_GBK"/>
          <w:sz w:val="32"/>
          <w:szCs w:val="32"/>
          <w:lang w:val="zh-TW" w:eastAsia="zh-TW"/>
        </w:rPr>
        <w:t>2022年度一般公共预算财政拨款收入597.76万元，较上年决算数减少642.59万元，下降51.8%。主要原因是一般公共预算财政拨款项目支出减少，如减少了上年项目法院判决安排解除新桥水库联合经营权资金699.54万元</w:t>
      </w:r>
      <w:r>
        <w:rPr>
          <w:rFonts w:hint="eastAsia" w:ascii="Times New Roman" w:hAnsi="方正仿宋_GBK" w:eastAsia="方正仿宋_GBK" w:cs="方正仿宋_GBK"/>
          <w:sz w:val="32"/>
          <w:szCs w:val="32"/>
          <w:lang w:val="zh-TW" w:eastAsia="zh-CN"/>
        </w:rPr>
        <w:t>。</w:t>
      </w:r>
      <w:r>
        <w:rPr>
          <w:rFonts w:hint="eastAsia" w:ascii="Times New Roman" w:hAnsi="方正仿宋_GBK" w:eastAsia="方正仿宋_GBK" w:cs="方正仿宋_GBK"/>
          <w:sz w:val="32"/>
          <w:szCs w:val="32"/>
          <w:lang w:val="zh-TW" w:eastAsia="zh-TW"/>
        </w:rPr>
        <w:t>较年初预算数减少48.95万元，下降7.6%。主要原因是年度中间进行了预算调整。此外，年初财政拨款结转和结余0.00万元。</w:t>
      </w:r>
    </w:p>
    <w:p>
      <w:pPr>
        <w:adjustRightInd w:val="0"/>
        <w:snapToGrid w:val="0"/>
        <w:spacing w:line="600" w:lineRule="exact"/>
        <w:ind w:firstLine="643" w:firstLineChars="200"/>
        <w:rPr>
          <w:rFonts w:ascii="Times New Roman" w:hAnsi="方正仿宋_GBK" w:eastAsia="方正仿宋_GBK" w:cs="方正仿宋_GBK"/>
          <w:sz w:val="32"/>
          <w:szCs w:val="32"/>
          <w:highlight w:val="yellow"/>
          <w:lang w:val="zh-TW" w:eastAsia="zh-TW"/>
        </w:rPr>
      </w:pPr>
      <w:r>
        <w:rPr>
          <w:rFonts w:hint="eastAsia" w:ascii="仿宋_GB2312" w:hAnsi="仿宋_GB2312" w:eastAsia="仿宋_GB2312" w:cs="仿宋_GB2312"/>
          <w:b/>
          <w:bCs/>
          <w:sz w:val="32"/>
          <w:highlight w:val="none"/>
          <w:lang w:val="zh-TW" w:eastAsia="zh-TW"/>
        </w:rPr>
        <w:t>2.支出情况。</w:t>
      </w:r>
      <w:r>
        <w:rPr>
          <w:rFonts w:hint="eastAsia" w:ascii="Times New Roman" w:hAnsi="方正仿宋_GBK" w:eastAsia="方正仿宋_GBK" w:cs="方正仿宋_GBK"/>
          <w:sz w:val="32"/>
          <w:szCs w:val="32"/>
          <w:lang w:val="zh-TW" w:eastAsia="zh-TW"/>
        </w:rPr>
        <w:t>2022年度一般公共预算财政拨款支出597.76万元，较上年决算数减少642.59万元，下降51.8%。主要原因是一般公共预算财政拨款项目支出减少，如减少了上年项目法院判决安排解除新桥水库联合经营权资金699.54万元</w:t>
      </w:r>
      <w:r>
        <w:rPr>
          <w:rFonts w:hint="eastAsia" w:ascii="Times New Roman" w:hAnsi="方正仿宋_GBK" w:eastAsia="方正仿宋_GBK" w:cs="方正仿宋_GBK"/>
          <w:sz w:val="32"/>
          <w:szCs w:val="32"/>
          <w:lang w:val="zh-TW" w:eastAsia="zh-CN"/>
        </w:rPr>
        <w:t>。</w:t>
      </w:r>
      <w:r>
        <w:rPr>
          <w:rFonts w:hint="eastAsia" w:ascii="Times New Roman" w:hAnsi="方正仿宋_GBK" w:eastAsia="方正仿宋_GBK" w:cs="方正仿宋_GBK"/>
          <w:sz w:val="32"/>
          <w:szCs w:val="32"/>
          <w:lang w:val="zh-TW" w:eastAsia="zh-TW"/>
        </w:rPr>
        <w:t>较年初预算数减少48.95万元，下降7.6%。主要原因是年度中间进行了预算调整。</w:t>
      </w:r>
    </w:p>
    <w:p>
      <w:pPr>
        <w:adjustRightInd w:val="0"/>
        <w:snapToGrid w:val="0"/>
        <w:spacing w:line="600" w:lineRule="exact"/>
        <w:ind w:firstLine="643" w:firstLineChars="200"/>
        <w:rPr>
          <w:rFonts w:ascii="方正仿宋_GBK" w:hAnsi="方正仿宋_GBK" w:eastAsia="方正仿宋_GBK" w:cs="方正仿宋_GBK"/>
          <w:sz w:val="32"/>
          <w:szCs w:val="32"/>
          <w:lang w:val="zh-TW" w:eastAsia="zh-TW"/>
        </w:rPr>
      </w:pPr>
      <w:r>
        <w:rPr>
          <w:rFonts w:hint="eastAsia" w:ascii="仿宋_GB2312" w:hAnsi="仿宋_GB2312" w:eastAsia="仿宋_GB2312" w:cs="仿宋_GB2312"/>
          <w:b/>
          <w:bCs/>
          <w:sz w:val="32"/>
          <w:lang w:val="zh-TW" w:eastAsia="zh-TW"/>
        </w:rPr>
        <w:t>3.结转结余情况。</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年度年末一般公共预算财政拨款结转和结余0.00万元，较上年决算数增加0.00万元，增长0.0%，主要原因是上年和本年我所均无结转结余。</w:t>
      </w:r>
    </w:p>
    <w:p>
      <w:pPr>
        <w:adjustRightInd w:val="0"/>
        <w:snapToGrid w:val="0"/>
        <w:spacing w:line="600" w:lineRule="exact"/>
        <w:ind w:firstLine="643" w:firstLineChars="200"/>
        <w:rPr>
          <w:rFonts w:ascii="Times New Roman" w:hAnsi="方正仿宋_GBK" w:eastAsia="方正仿宋_GBK" w:cs="方正仿宋_GBK"/>
          <w:sz w:val="32"/>
          <w:szCs w:val="32"/>
          <w:lang w:val="zh-TW" w:eastAsia="zh-TW"/>
        </w:rPr>
      </w:pPr>
      <w:r>
        <w:rPr>
          <w:rFonts w:hint="eastAsia" w:ascii="仿宋_GB2312" w:hAnsi="仿宋_GB2312" w:eastAsia="仿宋_GB2312" w:cs="仿宋_GB2312"/>
          <w:b/>
          <w:bCs/>
          <w:sz w:val="32"/>
          <w:lang w:val="zh-TW" w:eastAsia="zh-TW"/>
        </w:rPr>
        <w:t>4.比较情况。</w:t>
      </w:r>
      <w:r>
        <w:rPr>
          <w:rFonts w:hint="eastAsia" w:ascii="Times New Roman" w:hAnsi="方正仿宋_GBK" w:eastAsia="方正仿宋_GBK" w:cs="方正仿宋_GBK"/>
          <w:sz w:val="32"/>
          <w:szCs w:val="32"/>
          <w:lang w:val="zh-TW" w:eastAsia="zh-TW"/>
        </w:rPr>
        <w:t>本部门</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年度一般公共预算财政拨款支出主要用于以下几个方面：</w:t>
      </w:r>
    </w:p>
    <w:p>
      <w:pPr>
        <w:adjustRightInd w:val="0"/>
        <w:snapToGrid w:val="0"/>
        <w:spacing w:line="600" w:lineRule="exact"/>
        <w:ind w:firstLine="640" w:firstLineChars="200"/>
        <w:rPr>
          <w:rFonts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TW"/>
        </w:rPr>
        <w:t>（1）社会保障与就业支出40.9</w:t>
      </w:r>
      <w:r>
        <w:rPr>
          <w:rFonts w:hint="eastAsia" w:ascii="Times New Roman" w:hAnsi="方正仿宋_GBK" w:eastAsia="方正仿宋_GBK" w:cs="方正仿宋_GBK"/>
          <w:sz w:val="32"/>
          <w:szCs w:val="32"/>
          <w:highlight w:val="none"/>
          <w:lang w:val="en-US" w:eastAsia="zh-CN"/>
        </w:rPr>
        <w:t>5</w:t>
      </w:r>
      <w:r>
        <w:rPr>
          <w:rFonts w:hint="eastAsia" w:ascii="Times New Roman" w:hAnsi="方正仿宋_GBK" w:eastAsia="方正仿宋_GBK" w:cs="方正仿宋_GBK"/>
          <w:sz w:val="32"/>
          <w:szCs w:val="32"/>
          <w:highlight w:val="none"/>
          <w:lang w:val="zh-TW" w:eastAsia="zh-TW"/>
        </w:rPr>
        <w:t>万元，占6.9%，较年初预算数增加3.</w:t>
      </w:r>
      <w:r>
        <w:rPr>
          <w:rFonts w:hint="eastAsia" w:ascii="Times New Roman" w:hAnsi="方正仿宋_GBK" w:eastAsia="方正仿宋_GBK" w:cs="方正仿宋_GBK"/>
          <w:sz w:val="32"/>
          <w:szCs w:val="32"/>
          <w:highlight w:val="none"/>
          <w:lang w:val="en-US" w:eastAsia="zh-CN"/>
        </w:rPr>
        <w:t>79</w:t>
      </w:r>
      <w:r>
        <w:rPr>
          <w:rFonts w:hint="eastAsia" w:ascii="Times New Roman" w:hAnsi="方正仿宋_GBK" w:eastAsia="方正仿宋_GBK" w:cs="方正仿宋_GBK"/>
          <w:sz w:val="32"/>
          <w:szCs w:val="32"/>
          <w:highlight w:val="none"/>
          <w:lang w:val="zh-TW" w:eastAsia="zh-TW"/>
        </w:rPr>
        <w:t>万元，增长10.2%，主要原因是</w:t>
      </w:r>
      <w:r>
        <w:rPr>
          <w:rFonts w:hint="eastAsia" w:ascii="Times New Roman" w:hAnsi="方正仿宋_GBK" w:eastAsia="方正仿宋_GBK" w:cs="方正仿宋_GBK"/>
          <w:sz w:val="32"/>
          <w:szCs w:val="32"/>
          <w:highlight w:val="none"/>
          <w:lang w:val="zh-TW" w:eastAsia="zh-CN"/>
        </w:rPr>
        <w:t>社会保险基数调整。</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（2）卫生健康支出12.62万元，占2.1%，较年初预算数增加0.00万元，增长0</w:t>
      </w:r>
      <w:r>
        <w:rPr>
          <w:rFonts w:hint="eastAsia" w:ascii="Times New Roman" w:hAnsi="方正仿宋_GBK" w:eastAsia="方正仿宋_GBK" w:cs="方正仿宋_GBK"/>
          <w:sz w:val="32"/>
          <w:szCs w:val="32"/>
          <w:lang w:val="en-US" w:eastAsia="zh-CN"/>
        </w:rPr>
        <w:t>.0</w:t>
      </w:r>
      <w:r>
        <w:rPr>
          <w:rFonts w:hint="eastAsia" w:ascii="Times New Roman" w:hAnsi="方正仿宋_GBK" w:eastAsia="方正仿宋_GBK" w:cs="方正仿宋_GBK"/>
          <w:sz w:val="32"/>
          <w:szCs w:val="32"/>
          <w:lang w:val="zh-TW" w:eastAsia="zh-TW"/>
        </w:rPr>
        <w:t>%，主要原因是工资基数</w:t>
      </w:r>
      <w:r>
        <w:rPr>
          <w:rFonts w:hint="eastAsia" w:ascii="Times New Roman" w:hAnsi="方正仿宋_GBK" w:eastAsia="方正仿宋_GBK" w:cs="方正仿宋_GBK"/>
          <w:sz w:val="32"/>
          <w:szCs w:val="32"/>
          <w:lang w:val="zh-TW" w:eastAsia="zh-CN"/>
        </w:rPr>
        <w:t>未发生</w:t>
      </w:r>
      <w:r>
        <w:rPr>
          <w:rFonts w:hint="eastAsia" w:ascii="Times New Roman" w:hAnsi="方正仿宋_GBK" w:eastAsia="方正仿宋_GBK" w:cs="方正仿宋_GBK"/>
          <w:sz w:val="32"/>
          <w:szCs w:val="32"/>
          <w:lang w:val="zh-TW" w:eastAsia="zh-TW"/>
        </w:rPr>
        <w:t>变化。</w:t>
      </w: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（3）农林水支出532.20万元，占89</w:t>
      </w:r>
      <w:r>
        <w:rPr>
          <w:rFonts w:hint="eastAsia" w:ascii="Times New Roman" w:hAnsi="方正仿宋_GBK" w:eastAsia="方正仿宋_GBK" w:cs="方正仿宋_GBK"/>
          <w:sz w:val="32"/>
          <w:szCs w:val="32"/>
          <w:lang w:val="en-US" w:eastAsia="zh-CN"/>
        </w:rPr>
        <w:t>.0</w:t>
      </w:r>
      <w:r>
        <w:rPr>
          <w:rFonts w:hint="eastAsia" w:ascii="Times New Roman" w:hAnsi="方正仿宋_GBK" w:eastAsia="方正仿宋_GBK" w:cs="方正仿宋_GBK"/>
          <w:sz w:val="32"/>
          <w:szCs w:val="32"/>
          <w:lang w:val="zh-TW" w:eastAsia="zh-TW"/>
        </w:rPr>
        <w:t>%，较年初预算数减少53.55万元，下降9.1%，</w:t>
      </w:r>
      <w:r>
        <w:rPr>
          <w:rFonts w:hint="eastAsia" w:ascii="Times New Roman" w:hAnsi="方正仿宋_GBK" w:eastAsia="方正仿宋_GBK" w:cs="方正仿宋_GBK"/>
          <w:sz w:val="32"/>
          <w:szCs w:val="32"/>
          <w:highlight w:val="none"/>
          <w:lang w:val="zh-TW" w:eastAsia="zh-TW"/>
        </w:rPr>
        <w:t>主要原因是</w:t>
      </w:r>
      <w:r>
        <w:rPr>
          <w:rFonts w:hint="eastAsia" w:ascii="Times New Roman" w:hAnsi="方正仿宋_GBK" w:eastAsia="方正仿宋_GBK" w:cs="方正仿宋_GBK"/>
          <w:sz w:val="32"/>
          <w:szCs w:val="32"/>
          <w:lang w:val="zh-TW" w:eastAsia="zh-TW"/>
        </w:rPr>
        <w:t>年度中间进行了预算调整。</w:t>
      </w:r>
    </w:p>
    <w:p>
      <w:pPr>
        <w:adjustRightInd w:val="0"/>
        <w:snapToGrid w:val="0"/>
        <w:spacing w:line="600" w:lineRule="exact"/>
        <w:ind w:firstLine="320" w:firstLineChars="1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en-US" w:eastAsia="zh-CN"/>
        </w:rPr>
        <w:t xml:space="preserve">  </w:t>
      </w:r>
      <w:r>
        <w:rPr>
          <w:rFonts w:hint="eastAsia" w:ascii="Times New Roman" w:hAnsi="方正仿宋_GBK" w:eastAsia="方正仿宋_GBK" w:cs="方正仿宋_GBK"/>
          <w:sz w:val="32"/>
          <w:szCs w:val="32"/>
          <w:lang w:val="zh-TW" w:eastAsia="zh-TW"/>
        </w:rPr>
        <w:t>（4）住房保障支出11.9</w:t>
      </w:r>
      <w:r>
        <w:rPr>
          <w:rFonts w:hint="eastAsia" w:ascii="Times New Roman" w:hAnsi="方正仿宋_GBK" w:eastAsia="方正仿宋_GBK" w:cs="方正仿宋_GBK"/>
          <w:sz w:val="32"/>
          <w:szCs w:val="32"/>
          <w:lang w:val="en-US" w:eastAsia="zh-CN"/>
        </w:rPr>
        <w:t>9</w:t>
      </w:r>
      <w:r>
        <w:rPr>
          <w:rFonts w:hint="eastAsia" w:ascii="Times New Roman" w:hAnsi="方正仿宋_GBK" w:eastAsia="方正仿宋_GBK" w:cs="方正仿宋_GBK"/>
          <w:sz w:val="32"/>
          <w:szCs w:val="32"/>
          <w:lang w:val="zh-TW" w:eastAsia="zh-TW"/>
        </w:rPr>
        <w:t>万元，占2</w:t>
      </w:r>
      <w:r>
        <w:rPr>
          <w:rFonts w:hint="eastAsia" w:ascii="Times New Roman" w:hAnsi="方正仿宋_GBK" w:eastAsia="方正仿宋_GBK" w:cs="方正仿宋_GBK"/>
          <w:sz w:val="32"/>
          <w:szCs w:val="32"/>
          <w:lang w:val="en-US" w:eastAsia="zh-CN"/>
        </w:rPr>
        <w:t>.0</w:t>
      </w:r>
      <w:r>
        <w:rPr>
          <w:rFonts w:hint="eastAsia" w:ascii="Times New Roman" w:hAnsi="方正仿宋_GBK" w:eastAsia="方正仿宋_GBK" w:cs="方正仿宋_GBK"/>
          <w:sz w:val="32"/>
          <w:szCs w:val="32"/>
          <w:lang w:val="zh-TW" w:eastAsia="zh-TW"/>
        </w:rPr>
        <w:t>%，较年初预算数增加</w:t>
      </w:r>
      <w:r>
        <w:rPr>
          <w:rFonts w:hint="eastAsia" w:ascii="Times New Roman" w:hAnsi="方正仿宋_GBK" w:eastAsia="方正仿宋_GBK" w:cs="方正仿宋_GBK"/>
          <w:sz w:val="32"/>
          <w:szCs w:val="32"/>
          <w:lang w:val="en-US" w:eastAsia="zh-CN"/>
        </w:rPr>
        <w:t>0.80</w:t>
      </w:r>
      <w:r>
        <w:rPr>
          <w:rFonts w:hint="eastAsia" w:ascii="Times New Roman" w:hAnsi="方正仿宋_GBK" w:eastAsia="方正仿宋_GBK" w:cs="方正仿宋_GBK"/>
          <w:sz w:val="32"/>
          <w:szCs w:val="32"/>
          <w:lang w:val="zh-TW" w:eastAsia="zh-TW"/>
        </w:rPr>
        <w:t>万元，增长7.1%，</w:t>
      </w:r>
      <w:r>
        <w:rPr>
          <w:rFonts w:hint="eastAsia" w:hAnsi="方正仿宋_GBK" w:eastAsia="方正仿宋_GBK" w:cs="方正仿宋_GBK"/>
          <w:sz w:val="32"/>
          <w:szCs w:val="32"/>
        </w:rPr>
        <w:t>主要原因是年中追加了住房补贴预算。</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（四）一般公共预算财政拨款基本支出决算情况说明。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年度一般公共财政拨款基本支出</w:t>
      </w:r>
      <w:r>
        <w:rPr>
          <w:rFonts w:hint="eastAsia" w:ascii="Times New Roman" w:hAnsi="方正仿宋_GBK" w:eastAsia="方正仿宋_GBK" w:cs="方正仿宋_GBK"/>
          <w:sz w:val="32"/>
          <w:szCs w:val="32"/>
          <w:lang w:val="en-US" w:eastAsia="zh-CN"/>
        </w:rPr>
        <w:t>307.12</w:t>
      </w:r>
      <w:r>
        <w:rPr>
          <w:rFonts w:hint="eastAsia" w:ascii="Times New Roman" w:hAnsi="方正仿宋_GBK" w:eastAsia="方正仿宋_GBK" w:cs="方正仿宋_GBK"/>
          <w:sz w:val="32"/>
          <w:szCs w:val="32"/>
          <w:lang w:val="zh-TW" w:eastAsia="zh-TW"/>
        </w:rPr>
        <w:t>万元。其中：人员经费</w:t>
      </w:r>
      <w:r>
        <w:rPr>
          <w:rFonts w:hint="eastAsia" w:ascii="Times New Roman" w:hAnsi="方正仿宋_GBK" w:eastAsia="方正仿宋_GBK" w:cs="方正仿宋_GBK"/>
          <w:sz w:val="32"/>
          <w:szCs w:val="32"/>
          <w:lang w:val="en-US" w:eastAsia="zh-CN"/>
        </w:rPr>
        <w:t>238.91</w:t>
      </w:r>
      <w:r>
        <w:rPr>
          <w:rFonts w:hint="eastAsia" w:ascii="Times New Roman" w:hAnsi="方正仿宋_GBK" w:eastAsia="方正仿宋_GBK" w:cs="方正仿宋_GBK"/>
          <w:sz w:val="32"/>
          <w:szCs w:val="32"/>
          <w:lang w:val="zh-TW" w:eastAsia="zh-TW"/>
        </w:rPr>
        <w:t>万元，较上年决算数</w:t>
      </w:r>
      <w:r>
        <w:rPr>
          <w:rFonts w:hint="eastAsia" w:ascii="Times New Roman" w:hAnsi="方正仿宋_GBK" w:eastAsia="方正仿宋_GBK" w:cs="方正仿宋_GBK"/>
          <w:sz w:val="32"/>
          <w:szCs w:val="32"/>
          <w:lang w:val="zh-TW" w:eastAsia="zh-CN"/>
        </w:rPr>
        <w:t>增加</w:t>
      </w:r>
      <w:r>
        <w:rPr>
          <w:rFonts w:hint="eastAsia" w:ascii="Times New Roman" w:hAnsi="方正仿宋_GBK" w:eastAsia="方正仿宋_GBK" w:cs="方正仿宋_GBK"/>
          <w:sz w:val="32"/>
          <w:szCs w:val="32"/>
          <w:lang w:val="en-US" w:eastAsia="zh-CN"/>
        </w:rPr>
        <w:t>29.54</w:t>
      </w:r>
      <w:r>
        <w:rPr>
          <w:rFonts w:hint="eastAsia" w:ascii="Times New Roman" w:hAnsi="方正仿宋_GBK" w:eastAsia="方正仿宋_GBK" w:cs="方正仿宋_GBK"/>
          <w:sz w:val="32"/>
          <w:szCs w:val="32"/>
          <w:lang w:val="zh-TW" w:eastAsia="zh-TW"/>
        </w:rPr>
        <w:t>万元，</w:t>
      </w:r>
      <w:r>
        <w:rPr>
          <w:rFonts w:hint="eastAsia" w:ascii="Times New Roman" w:hAnsi="方正仿宋_GBK" w:eastAsia="方正仿宋_GBK" w:cs="方正仿宋_GBK"/>
          <w:sz w:val="32"/>
          <w:szCs w:val="32"/>
          <w:lang w:val="zh-TW" w:eastAsia="zh-CN"/>
        </w:rPr>
        <w:t>增加</w:t>
      </w:r>
      <w:r>
        <w:rPr>
          <w:rFonts w:hint="eastAsia" w:ascii="Times New Roman" w:hAnsi="方正仿宋_GBK" w:eastAsia="方正仿宋_GBK" w:cs="方正仿宋_GBK"/>
          <w:sz w:val="32"/>
          <w:szCs w:val="32"/>
          <w:lang w:val="en-US" w:eastAsia="zh-CN"/>
        </w:rPr>
        <w:t>14.1</w:t>
      </w:r>
      <w:r>
        <w:rPr>
          <w:rFonts w:hint="eastAsia" w:ascii="Times New Roman" w:hAnsi="方正仿宋_GBK" w:eastAsia="方正仿宋_GBK" w:cs="方正仿宋_GBK"/>
          <w:sz w:val="32"/>
          <w:szCs w:val="32"/>
          <w:lang w:val="zh-TW" w:eastAsia="zh-TW"/>
        </w:rPr>
        <w:t>%，</w:t>
      </w:r>
      <w:r>
        <w:rPr>
          <w:rFonts w:hint="eastAsia" w:ascii="方正仿宋_GBK" w:hAnsi="仿宋_GB2312" w:eastAsia="方正仿宋_GBK" w:cs="仿宋_GB2312"/>
          <w:color w:val="auto"/>
          <w:sz w:val="32"/>
          <w:highlight w:val="none"/>
          <w:lang w:val="en-US" w:eastAsia="zh-CN"/>
        </w:rPr>
        <w:t>主要</w:t>
      </w:r>
      <w:r>
        <w:rPr>
          <w:rFonts w:hint="eastAsia" w:ascii="方正仿宋_GBK" w:hAnsi="仿宋_GB2312" w:eastAsia="方正仿宋_GBK" w:cs="仿宋_GB2312"/>
          <w:color w:val="auto"/>
          <w:sz w:val="32"/>
        </w:rPr>
        <w:t>原因是2022年</w:t>
      </w:r>
      <w:r>
        <w:rPr>
          <w:rFonts w:hint="eastAsia" w:ascii="方正仿宋_GBK" w:hAnsi="仿宋_GB2312" w:eastAsia="方正仿宋_GBK" w:cs="仿宋_GB2312"/>
          <w:color w:val="auto"/>
          <w:sz w:val="32"/>
          <w:lang w:val="en-US" w:eastAsia="zh-CN"/>
        </w:rPr>
        <w:t>发放了</w:t>
      </w:r>
      <w:r>
        <w:rPr>
          <w:rFonts w:hint="eastAsia" w:ascii="方正仿宋_GBK" w:hAnsi="仿宋_GB2312" w:eastAsia="方正仿宋_GBK" w:cs="仿宋_GB2312"/>
          <w:color w:val="auto"/>
          <w:sz w:val="32"/>
        </w:rPr>
        <w:t>2021年年终考核和健康休养费</w:t>
      </w:r>
      <w:r>
        <w:rPr>
          <w:rFonts w:hint="eastAsia" w:ascii="方正仿宋_GBK" w:hAnsi="仿宋_GB2312" w:eastAsia="方正仿宋_GBK" w:cs="仿宋_GB2312"/>
          <w:color w:val="auto"/>
          <w:sz w:val="32"/>
          <w:highlight w:val="none"/>
          <w:lang w:val="en-US" w:eastAsia="zh-CN"/>
        </w:rPr>
        <w:t>。</w:t>
      </w:r>
      <w:r>
        <w:rPr>
          <w:rFonts w:hint="eastAsia" w:ascii="Times New Roman" w:hAnsi="方正仿宋_GBK" w:eastAsia="方正仿宋_GBK" w:cs="方正仿宋_GBK"/>
          <w:sz w:val="32"/>
          <w:szCs w:val="32"/>
          <w:highlight w:val="none"/>
          <w:lang w:val="zh-TW" w:eastAsia="zh-TW"/>
        </w:rPr>
        <w:t>人员经费用途主要包括基本工资、津贴补贴、奖金、绩效工</w:t>
      </w:r>
      <w:r>
        <w:rPr>
          <w:rFonts w:hint="eastAsia" w:ascii="Times New Roman" w:hAnsi="方正仿宋_GBK" w:eastAsia="方正仿宋_GBK" w:cs="方正仿宋_GBK"/>
          <w:sz w:val="32"/>
          <w:szCs w:val="32"/>
          <w:lang w:val="zh-TW" w:eastAsia="zh-TW"/>
        </w:rPr>
        <w:t>资、机关事业单位基本养老保险缴费、职业年金缴费、职工基本医疗保险缴费、公务员医疗补助缴费、其他社会保障缴费、住房公积金、医疗费、生活补助、其他工资福利支出。公用经费</w:t>
      </w:r>
      <w:r>
        <w:rPr>
          <w:rFonts w:hint="eastAsia" w:ascii="Times New Roman" w:hAnsi="方正仿宋_GBK" w:eastAsia="方正仿宋_GBK" w:cs="方正仿宋_GBK"/>
          <w:sz w:val="32"/>
          <w:szCs w:val="32"/>
          <w:lang w:val="en-US" w:eastAsia="zh-CN"/>
        </w:rPr>
        <w:t>68.21</w:t>
      </w:r>
      <w:r>
        <w:rPr>
          <w:rFonts w:hint="eastAsia" w:ascii="Times New Roman" w:hAnsi="方正仿宋_GBK" w:eastAsia="方正仿宋_GBK" w:cs="方正仿宋_GBK"/>
          <w:sz w:val="32"/>
          <w:szCs w:val="32"/>
          <w:lang w:val="zh-TW" w:eastAsia="zh-TW"/>
        </w:rPr>
        <w:t>万元，较上年决算数减少</w:t>
      </w:r>
      <w:r>
        <w:rPr>
          <w:rFonts w:hint="eastAsia" w:ascii="Times New Roman" w:hAnsi="方正仿宋_GBK" w:eastAsia="方正仿宋_GBK" w:cs="方正仿宋_GBK"/>
          <w:sz w:val="32"/>
          <w:szCs w:val="32"/>
          <w:lang w:val="en-US" w:eastAsia="zh-CN"/>
        </w:rPr>
        <w:t>17.51</w:t>
      </w:r>
      <w:r>
        <w:rPr>
          <w:rFonts w:hint="eastAsia" w:ascii="Times New Roman" w:hAnsi="方正仿宋_GBK" w:eastAsia="方正仿宋_GBK" w:cs="方正仿宋_GBK"/>
          <w:sz w:val="32"/>
          <w:szCs w:val="32"/>
          <w:lang w:val="zh-TW" w:eastAsia="zh-TW"/>
        </w:rPr>
        <w:t>万元，下降</w:t>
      </w:r>
      <w:r>
        <w:rPr>
          <w:rFonts w:hint="eastAsia" w:ascii="Times New Roman" w:hAnsi="方正仿宋_GBK" w:eastAsia="方正仿宋_GBK" w:cs="方正仿宋_GBK"/>
          <w:sz w:val="32"/>
          <w:szCs w:val="32"/>
          <w:lang w:val="en-US" w:eastAsia="zh-CN"/>
        </w:rPr>
        <w:t>20.4</w:t>
      </w:r>
      <w:r>
        <w:rPr>
          <w:rFonts w:hint="eastAsia" w:ascii="Times New Roman" w:hAnsi="方正仿宋_GBK" w:eastAsia="方正仿宋_GBK" w:cs="方正仿宋_GBK"/>
          <w:sz w:val="32"/>
          <w:szCs w:val="32"/>
          <w:lang w:val="zh-TW" w:eastAsia="zh-TW"/>
        </w:rPr>
        <w:t>%，主要原因是我所严格贯彻“政府过紧日子”的相关规定，大力压缩一般性支出。公用经费用途主要包括办公费、印刷费、水费、电费、邮电费、物业管理费、差旅费、维修（护）费、工会经费、福利费、公务接待费、公务用车运行维护费、其他交通费、会议费、培训费、咨询费、劳务费、其他商品和服务支出。</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（五）政府性基金预算收支决算情况说明。</w:t>
      </w:r>
    </w:p>
    <w:p>
      <w:pPr>
        <w:adjustRightInd w:val="0"/>
        <w:snapToGrid w:val="0"/>
        <w:spacing w:line="600" w:lineRule="exact"/>
        <w:ind w:firstLine="640" w:firstLineChars="200"/>
        <w:rPr>
          <w:rFonts w:hint="eastAsia"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年度政府性基金预算财政拨款年初结转结余0.00万元，年末结转结余0.00万元。本年收入</w:t>
      </w:r>
      <w:r>
        <w:rPr>
          <w:rFonts w:hint="eastAsia" w:ascii="Times New Roman" w:hAnsi="方正仿宋_GBK" w:eastAsia="方正仿宋_GBK" w:cs="方正仿宋_GBK"/>
          <w:sz w:val="32"/>
          <w:szCs w:val="32"/>
          <w:highlight w:val="none"/>
          <w:lang w:val="en-US" w:eastAsia="zh-CN"/>
        </w:rPr>
        <w:t>201.87</w:t>
      </w:r>
      <w:r>
        <w:rPr>
          <w:rFonts w:hint="eastAsia" w:ascii="Times New Roman" w:hAnsi="方正仿宋_GBK" w:eastAsia="方正仿宋_GBK" w:cs="方正仿宋_GBK"/>
          <w:sz w:val="32"/>
          <w:szCs w:val="32"/>
          <w:highlight w:val="none"/>
          <w:lang w:val="zh-TW" w:eastAsia="zh-TW"/>
        </w:rPr>
        <w:t>万元，较上年决算数增加</w:t>
      </w:r>
      <w:r>
        <w:rPr>
          <w:rFonts w:hint="eastAsia" w:ascii="Times New Roman" w:hAnsi="方正仿宋_GBK" w:eastAsia="方正仿宋_GBK" w:cs="方正仿宋_GBK"/>
          <w:sz w:val="32"/>
          <w:szCs w:val="32"/>
          <w:highlight w:val="none"/>
          <w:lang w:val="en-US" w:eastAsia="zh-CN"/>
        </w:rPr>
        <w:t>111.97</w:t>
      </w:r>
      <w:r>
        <w:rPr>
          <w:rFonts w:hint="eastAsia" w:ascii="Times New Roman" w:hAnsi="方正仿宋_GBK" w:eastAsia="方正仿宋_GBK" w:cs="方正仿宋_GBK"/>
          <w:sz w:val="32"/>
          <w:szCs w:val="32"/>
          <w:highlight w:val="none"/>
          <w:lang w:val="zh-TW" w:eastAsia="zh-TW"/>
        </w:rPr>
        <w:t>万元，增长</w:t>
      </w:r>
      <w:r>
        <w:rPr>
          <w:rFonts w:hint="eastAsia" w:ascii="Times New Roman" w:hAnsi="方正仿宋_GBK" w:eastAsia="方正仿宋_GBK" w:cs="方正仿宋_GBK"/>
          <w:sz w:val="32"/>
          <w:szCs w:val="32"/>
          <w:highlight w:val="none"/>
          <w:lang w:val="en-US" w:eastAsia="zh-CN"/>
        </w:rPr>
        <w:t>124.5</w:t>
      </w:r>
      <w:r>
        <w:rPr>
          <w:rFonts w:hint="eastAsia" w:ascii="Times New Roman" w:hAnsi="方正仿宋_GBK" w:eastAsia="方正仿宋_GBK" w:cs="方正仿宋_GBK"/>
          <w:sz w:val="32"/>
          <w:szCs w:val="32"/>
          <w:highlight w:val="none"/>
          <w:lang w:val="zh-TW" w:eastAsia="zh-TW"/>
        </w:rPr>
        <w:t>%，主要原因是年中增加了新桥水库渗流观测设施整治、新桥水库管理房解危改造项目续建、龙泉水库大坝公路两侧人行便道扶助工程三个项目，追加政府性基金预算。较年初预算数增长201.87万元，增长</w:t>
      </w:r>
      <w:r>
        <w:rPr>
          <w:rFonts w:hint="eastAsia" w:ascii="Times New Roman" w:hAnsi="方正仿宋_GBK" w:eastAsia="方正仿宋_GBK" w:cs="方正仿宋_GBK"/>
          <w:sz w:val="32"/>
          <w:szCs w:val="32"/>
          <w:highlight w:val="none"/>
          <w:lang w:val="en-US" w:eastAsia="zh-CN"/>
        </w:rPr>
        <w:t>100.0</w:t>
      </w:r>
      <w:r>
        <w:rPr>
          <w:rFonts w:hint="eastAsia" w:ascii="Times New Roman" w:hAnsi="方正仿宋_GBK" w:eastAsia="方正仿宋_GBK" w:cs="方正仿宋_GBK"/>
          <w:sz w:val="32"/>
          <w:szCs w:val="32"/>
          <w:highlight w:val="none"/>
          <w:lang w:val="zh-TW" w:eastAsia="zh-TW"/>
        </w:rPr>
        <w:t>%，主要原因是年中增加了新桥水库渗流观测设施整治、新桥水库管理房解危改造项目续建、龙泉水库大坝公路两侧人行便道扶助工程三个项目，追加政府性基金预算。本年支出</w:t>
      </w:r>
      <w:r>
        <w:rPr>
          <w:rFonts w:hint="eastAsia" w:ascii="Times New Roman" w:hAnsi="方正仿宋_GBK" w:eastAsia="方正仿宋_GBK" w:cs="方正仿宋_GBK"/>
          <w:sz w:val="32"/>
          <w:szCs w:val="32"/>
          <w:highlight w:val="none"/>
          <w:lang w:val="en-US" w:eastAsia="zh-CN"/>
        </w:rPr>
        <w:t>201.87</w:t>
      </w:r>
      <w:r>
        <w:rPr>
          <w:rFonts w:hint="eastAsia" w:ascii="Times New Roman" w:hAnsi="方正仿宋_GBK" w:eastAsia="方正仿宋_GBK" w:cs="方正仿宋_GBK"/>
          <w:sz w:val="32"/>
          <w:szCs w:val="32"/>
          <w:highlight w:val="none"/>
          <w:lang w:val="zh-TW" w:eastAsia="zh-TW"/>
        </w:rPr>
        <w:t>万元，较上年决算数增加</w:t>
      </w:r>
      <w:r>
        <w:rPr>
          <w:rFonts w:hint="eastAsia" w:ascii="Times New Roman" w:hAnsi="方正仿宋_GBK" w:eastAsia="方正仿宋_GBK" w:cs="方正仿宋_GBK"/>
          <w:sz w:val="32"/>
          <w:szCs w:val="32"/>
          <w:highlight w:val="none"/>
          <w:lang w:val="en-US" w:eastAsia="zh-CN"/>
        </w:rPr>
        <w:t>111.97</w:t>
      </w:r>
      <w:r>
        <w:rPr>
          <w:rFonts w:hint="eastAsia" w:ascii="Times New Roman" w:hAnsi="方正仿宋_GBK" w:eastAsia="方正仿宋_GBK" w:cs="方正仿宋_GBK"/>
          <w:sz w:val="32"/>
          <w:szCs w:val="32"/>
          <w:highlight w:val="none"/>
          <w:lang w:val="zh-TW" w:eastAsia="zh-TW"/>
        </w:rPr>
        <w:t>万元，增长</w:t>
      </w:r>
      <w:r>
        <w:rPr>
          <w:rFonts w:hint="eastAsia" w:ascii="Times New Roman" w:hAnsi="方正仿宋_GBK" w:eastAsia="方正仿宋_GBK" w:cs="方正仿宋_GBK"/>
          <w:sz w:val="32"/>
          <w:szCs w:val="32"/>
          <w:highlight w:val="none"/>
          <w:lang w:val="en-US" w:eastAsia="zh-CN"/>
        </w:rPr>
        <w:t>124.5</w:t>
      </w:r>
      <w:r>
        <w:rPr>
          <w:rFonts w:hint="eastAsia" w:ascii="Times New Roman" w:hAnsi="方正仿宋_GBK" w:eastAsia="方正仿宋_GBK" w:cs="方正仿宋_GBK"/>
          <w:sz w:val="32"/>
          <w:szCs w:val="32"/>
          <w:highlight w:val="none"/>
          <w:lang w:val="zh-TW" w:eastAsia="zh-TW"/>
        </w:rPr>
        <w:t>%，主要原因是年中增加了新桥水库渗流观测设施整治、新桥水库管理房解危改造项目续建、龙泉水库大坝公路两侧人行便道扶助工程三个项目，追加政府性基金预算。较预算支出数增长201.87万元，增长</w:t>
      </w:r>
      <w:r>
        <w:rPr>
          <w:rFonts w:hint="eastAsia" w:ascii="Times New Roman" w:hAnsi="方正仿宋_GBK" w:eastAsia="方正仿宋_GBK" w:cs="方正仿宋_GBK"/>
          <w:sz w:val="32"/>
          <w:szCs w:val="32"/>
          <w:highlight w:val="none"/>
          <w:lang w:val="en-US" w:eastAsia="zh-CN"/>
        </w:rPr>
        <w:t>100.0</w:t>
      </w:r>
      <w:r>
        <w:rPr>
          <w:rFonts w:hint="eastAsia" w:ascii="Times New Roman" w:hAnsi="方正仿宋_GBK" w:eastAsia="方正仿宋_GBK" w:cs="方正仿宋_GBK"/>
          <w:sz w:val="32"/>
          <w:szCs w:val="32"/>
          <w:highlight w:val="none"/>
          <w:lang w:val="zh-TW" w:eastAsia="zh-TW"/>
        </w:rPr>
        <w:t>%，主要原因是年中增加了新桥水库渗流观测设施整治、新桥水库管理房解危改造项目续建、龙泉水库大坝公路两侧人行便道扶助工程三个项目，追加政府性基金预算。</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（六）国有资本经营预算财政拨款支出决算情况说明。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本部门</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年度无国有资本经营预算财政拨款支出。</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三、“三公”经费情况说明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（一）“三公”经费支出总体情况说明。</w:t>
      </w:r>
    </w:p>
    <w:p>
      <w:pPr>
        <w:adjustRightInd w:val="0"/>
        <w:snapToGrid w:val="0"/>
        <w:spacing w:line="600" w:lineRule="exact"/>
        <w:ind w:firstLine="640" w:firstLineChars="200"/>
        <w:rPr>
          <w:rFonts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年度“三公”经费支出共计5.0</w:t>
      </w:r>
      <w:r>
        <w:rPr>
          <w:rFonts w:hint="eastAsia" w:ascii="Times New Roman" w:hAnsi="方正仿宋_GBK" w:eastAsia="方正仿宋_GBK" w:cs="方正仿宋_GBK"/>
          <w:sz w:val="32"/>
          <w:szCs w:val="32"/>
          <w:highlight w:val="none"/>
          <w:lang w:val="en-US" w:eastAsia="zh-CN"/>
        </w:rPr>
        <w:t>8</w:t>
      </w:r>
      <w:r>
        <w:rPr>
          <w:rFonts w:hint="eastAsia" w:ascii="Times New Roman" w:hAnsi="方正仿宋_GBK" w:eastAsia="方正仿宋_GBK" w:cs="方正仿宋_GBK"/>
          <w:sz w:val="32"/>
          <w:szCs w:val="32"/>
          <w:highlight w:val="none"/>
          <w:lang w:val="zh-TW" w:eastAsia="zh-TW"/>
        </w:rPr>
        <w:t>万元，</w:t>
      </w:r>
      <w:r>
        <w:rPr>
          <w:rFonts w:hint="eastAsia" w:ascii="Times New Roman" w:hAnsi="方正仿宋_GBK" w:eastAsia="方正仿宋_GBK" w:cs="方正仿宋_GBK"/>
          <w:sz w:val="32"/>
          <w:szCs w:val="32"/>
          <w:highlight w:val="none"/>
          <w:lang w:val="zh-TW" w:eastAsia="zh-CN"/>
        </w:rPr>
        <w:t>与年初预算数相比</w:t>
      </w:r>
      <w:r>
        <w:rPr>
          <w:rFonts w:hint="eastAsia" w:ascii="Times New Roman" w:hAnsi="方正仿宋_GBK" w:eastAsia="方正仿宋_GBK" w:cs="方正仿宋_GBK"/>
          <w:sz w:val="32"/>
          <w:szCs w:val="32"/>
          <w:highlight w:val="none"/>
          <w:lang w:val="en-US" w:eastAsia="zh-CN"/>
        </w:rPr>
        <w:t>无增减，</w:t>
      </w:r>
      <w:r>
        <w:rPr>
          <w:rFonts w:hint="eastAsia" w:ascii="Times New Roman" w:hAnsi="方正仿宋_GBK" w:eastAsia="方正仿宋_GBK" w:cs="方正仿宋_GBK"/>
          <w:sz w:val="32"/>
          <w:szCs w:val="32"/>
          <w:highlight w:val="none"/>
          <w:lang w:val="zh-TW" w:eastAsia="zh-TW"/>
        </w:rPr>
        <w:t>较上年支出数减少0.0</w:t>
      </w:r>
      <w:r>
        <w:rPr>
          <w:rFonts w:hint="eastAsia" w:ascii="Times New Roman" w:hAnsi="方正仿宋_GBK" w:eastAsia="方正仿宋_GBK" w:cs="方正仿宋_GBK"/>
          <w:sz w:val="32"/>
          <w:szCs w:val="32"/>
          <w:highlight w:val="none"/>
          <w:lang w:val="en-US" w:eastAsia="zh-CN"/>
        </w:rPr>
        <w:t>1</w:t>
      </w:r>
      <w:r>
        <w:rPr>
          <w:rFonts w:hint="eastAsia" w:ascii="Times New Roman" w:hAnsi="方正仿宋_GBK" w:eastAsia="方正仿宋_GBK" w:cs="方正仿宋_GBK"/>
          <w:sz w:val="32"/>
          <w:szCs w:val="32"/>
          <w:highlight w:val="none"/>
          <w:lang w:val="zh-TW" w:eastAsia="zh-TW"/>
        </w:rPr>
        <w:t>万元，主要原因是我所更加严格贯彻八项规定，厉行节约，减少了“三公”经费支出。</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（二）“三公”经费分项支出情况。</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本部门因公出国（境）费用0.00万元，主要是用于因公出国（境）支出。费用支出较年初预算数增加0.00万元，增长0.0%，较上年支出数增加0.00万元，增长0.0%，主要原因是上年及本年我所均未安排也未支出因公出国（境）费用。</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公务车购置费0.00万元，主要用于公务用车的购置。费用支出较年初预算数增加0.00万元，增长0.0%；较上年支出数增加0.00万元，增长0.0%，主要原因是上年及本年我所均未安排也未支出公务车购置费。</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公务车运行维护费4.24万元，主要用于机要文件交换、市内因公出行、水利工程检查等工作所需车辆的燃料费、维修费、过桥过路费、保险费等。费用支出较年初预算数增加0.00万元，增长0.0%，较上年支出数增加0.00万元，增长0.0%，</w:t>
      </w:r>
      <w:r>
        <w:rPr>
          <w:rFonts w:hint="eastAsia" w:ascii="Times New Roman" w:hAnsi="方正仿宋_GBK" w:eastAsia="方正仿宋_GBK" w:cs="方正仿宋_GBK"/>
          <w:sz w:val="32"/>
          <w:szCs w:val="32"/>
          <w:lang w:val="zh-TW" w:eastAsia="zh-CN"/>
        </w:rPr>
        <w:t>主要原因是我所厉行节约，严格控制公务车运行维护相关费用支出。</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公务接待费0.8</w:t>
      </w:r>
      <w:r>
        <w:rPr>
          <w:rFonts w:hint="eastAsia" w:ascii="Times New Roman" w:hAnsi="方正仿宋_GBK" w:eastAsia="方正仿宋_GBK" w:cs="方正仿宋_GBK"/>
          <w:sz w:val="32"/>
          <w:szCs w:val="32"/>
          <w:lang w:val="en-US" w:eastAsia="zh-CN"/>
        </w:rPr>
        <w:t>4</w:t>
      </w:r>
      <w:r>
        <w:rPr>
          <w:rFonts w:hint="eastAsia" w:ascii="Times New Roman" w:hAnsi="方正仿宋_GBK" w:eastAsia="方正仿宋_GBK" w:cs="方正仿宋_GBK"/>
          <w:sz w:val="32"/>
          <w:szCs w:val="32"/>
          <w:lang w:val="zh-TW" w:eastAsia="zh-TW"/>
        </w:rPr>
        <w:t>万元，主要用于接待其他区县水利部门到我区交流学习，接受相关部门检查指导工作发生的接待支出。费用支出较年初预算数减少0.0</w:t>
      </w:r>
      <w:r>
        <w:rPr>
          <w:rFonts w:hint="eastAsia" w:ascii="Times New Roman" w:hAnsi="方正仿宋_GBK" w:eastAsia="方正仿宋_GBK" w:cs="方正仿宋_GBK"/>
          <w:sz w:val="32"/>
          <w:szCs w:val="32"/>
          <w:lang w:val="en-US" w:eastAsia="zh-CN"/>
        </w:rPr>
        <w:t>0</w:t>
      </w:r>
      <w:r>
        <w:rPr>
          <w:rFonts w:hint="eastAsia" w:ascii="Times New Roman" w:hAnsi="方正仿宋_GBK" w:eastAsia="方正仿宋_GBK" w:cs="方正仿宋_GBK"/>
          <w:sz w:val="32"/>
          <w:szCs w:val="32"/>
          <w:lang w:val="zh-TW" w:eastAsia="zh-TW"/>
        </w:rPr>
        <w:t>万元，</w:t>
      </w:r>
      <w:r>
        <w:rPr>
          <w:rFonts w:hint="eastAsia" w:ascii="Times New Roman" w:hAnsi="方正仿宋_GBK" w:eastAsia="方正仿宋_GBK" w:cs="方正仿宋_GBK"/>
          <w:sz w:val="32"/>
          <w:szCs w:val="32"/>
          <w:lang w:val="zh-TW" w:eastAsia="zh-CN"/>
        </w:rPr>
        <w:t>增长</w:t>
      </w:r>
      <w:r>
        <w:rPr>
          <w:rFonts w:hint="eastAsia" w:ascii="Times New Roman" w:hAnsi="方正仿宋_GBK" w:eastAsia="方正仿宋_GBK" w:cs="方正仿宋_GBK"/>
          <w:sz w:val="32"/>
          <w:szCs w:val="32"/>
          <w:lang w:val="en-US" w:eastAsia="zh-CN"/>
        </w:rPr>
        <w:t>0.0</w:t>
      </w:r>
      <w:r>
        <w:rPr>
          <w:rFonts w:hint="eastAsia" w:ascii="Times New Roman" w:hAnsi="方正仿宋_GBK" w:eastAsia="方正仿宋_GBK" w:cs="方正仿宋_GBK"/>
          <w:sz w:val="32"/>
          <w:szCs w:val="32"/>
          <w:lang w:val="zh-TW" w:eastAsia="zh-TW"/>
        </w:rPr>
        <w:t>%；较上年支出数减少0.0</w:t>
      </w:r>
      <w:r>
        <w:rPr>
          <w:rFonts w:hint="eastAsia" w:ascii="Times New Roman" w:hAnsi="方正仿宋_GBK" w:eastAsia="方正仿宋_GBK" w:cs="方正仿宋_GBK"/>
          <w:sz w:val="32"/>
          <w:szCs w:val="32"/>
          <w:lang w:val="en-US" w:eastAsia="zh-CN"/>
        </w:rPr>
        <w:t>1</w:t>
      </w:r>
      <w:r>
        <w:rPr>
          <w:rFonts w:hint="eastAsia" w:ascii="Times New Roman" w:hAnsi="方正仿宋_GBK" w:eastAsia="方正仿宋_GBK" w:cs="方正仿宋_GBK"/>
          <w:sz w:val="32"/>
          <w:szCs w:val="32"/>
          <w:lang w:val="zh-TW" w:eastAsia="zh-TW"/>
        </w:rPr>
        <w:t>万元，较上年决算</w:t>
      </w:r>
      <w:r>
        <w:rPr>
          <w:rFonts w:hint="eastAsia" w:ascii="Times New Roman" w:hAnsi="方正仿宋_GBK" w:eastAsia="方正仿宋_GBK" w:cs="方正仿宋_GBK"/>
          <w:sz w:val="32"/>
          <w:szCs w:val="32"/>
          <w:lang w:val="zh-TW" w:eastAsia="zh-CN"/>
        </w:rPr>
        <w:t>数</w:t>
      </w:r>
      <w:r>
        <w:rPr>
          <w:rFonts w:hint="eastAsia" w:ascii="Times New Roman" w:hAnsi="方正仿宋_GBK" w:eastAsia="方正仿宋_GBK" w:cs="方正仿宋_GBK"/>
          <w:sz w:val="32"/>
          <w:szCs w:val="32"/>
          <w:lang w:val="zh-TW" w:eastAsia="zh-TW"/>
        </w:rPr>
        <w:t>下降的主要原因是我所更加严格贯彻八项规定，厉行节约，减少了公务接待费支出。</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（三）“三公”经费实物量情况。</w:t>
      </w:r>
    </w:p>
    <w:p>
      <w:pPr>
        <w:adjustRightInd w:val="0"/>
        <w:snapToGrid w:val="0"/>
        <w:spacing w:line="600" w:lineRule="exact"/>
        <w:ind w:firstLine="640" w:firstLineChars="200"/>
        <w:rPr>
          <w:rFonts w:ascii="Times New Roman" w:hAnsi="方正仿宋_GBK" w:eastAsia="方正仿宋_GBK" w:cs="方正仿宋_GBK"/>
          <w:sz w:val="32"/>
          <w:szCs w:val="32"/>
          <w:highlight w:val="yellow"/>
          <w:lang w:val="zh-TW" w:eastAsia="zh-TW"/>
        </w:rPr>
      </w:pP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年度本部门因公出国（境）共计0个团组，0人；公务用车购置0辆，公务车保有量为</w:t>
      </w:r>
      <w:r>
        <w:rPr>
          <w:rFonts w:hint="eastAsia" w:ascii="Times New Roman" w:hAnsi="方正仿宋_GBK" w:eastAsia="方正仿宋_GBK" w:cs="方正仿宋_GBK"/>
          <w:sz w:val="32"/>
          <w:szCs w:val="32"/>
          <w:lang w:val="en-US" w:eastAsia="zh-CN"/>
        </w:rPr>
        <w:t>1</w:t>
      </w:r>
      <w:r>
        <w:rPr>
          <w:rFonts w:hint="eastAsia" w:ascii="Times New Roman" w:hAnsi="方正仿宋_GBK" w:eastAsia="方正仿宋_GBK" w:cs="方正仿宋_GBK"/>
          <w:sz w:val="32"/>
          <w:szCs w:val="32"/>
          <w:lang w:val="zh-TW" w:eastAsia="zh-TW"/>
        </w:rPr>
        <w:t>辆；国内公务接待19批次18</w:t>
      </w:r>
      <w:r>
        <w:rPr>
          <w:rFonts w:hint="eastAsia" w:ascii="Times New Roman" w:hAnsi="方正仿宋_GBK" w:eastAsia="方正仿宋_GBK" w:cs="方正仿宋_GBK"/>
          <w:sz w:val="32"/>
          <w:szCs w:val="32"/>
          <w:lang w:val="en-US" w:eastAsia="zh-CN"/>
        </w:rPr>
        <w:t>7</w:t>
      </w:r>
      <w:r>
        <w:rPr>
          <w:rFonts w:hint="eastAsia" w:ascii="Times New Roman" w:hAnsi="方正仿宋_GBK" w:eastAsia="方正仿宋_GBK" w:cs="方正仿宋_GBK"/>
          <w:sz w:val="32"/>
          <w:szCs w:val="32"/>
          <w:lang w:val="zh-TW" w:eastAsia="zh-TW"/>
        </w:rPr>
        <w:t>人，其中：国内外事接待0批次，0人；国（境）外公务接待0批次，0人。</w:t>
      </w: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年本部门人均接待费44.9</w:t>
      </w:r>
      <w:r>
        <w:rPr>
          <w:rFonts w:hint="eastAsia" w:ascii="Times New Roman" w:hAnsi="方正仿宋_GBK" w:eastAsia="方正仿宋_GBK" w:cs="方正仿宋_GBK"/>
          <w:sz w:val="32"/>
          <w:szCs w:val="32"/>
          <w:highlight w:val="none"/>
          <w:lang w:val="en-US" w:eastAsia="zh-CN"/>
        </w:rPr>
        <w:t>2</w:t>
      </w:r>
      <w:r>
        <w:rPr>
          <w:rFonts w:hint="eastAsia" w:ascii="Times New Roman" w:hAnsi="方正仿宋_GBK" w:eastAsia="方正仿宋_GBK" w:cs="方正仿宋_GBK"/>
          <w:sz w:val="32"/>
          <w:szCs w:val="32"/>
          <w:highlight w:val="none"/>
          <w:lang w:val="zh-TW" w:eastAsia="zh-TW"/>
        </w:rPr>
        <w:t>元，车均购置费0.00万元，车均维护费</w:t>
      </w:r>
      <w:r>
        <w:rPr>
          <w:rFonts w:hint="eastAsia" w:ascii="Times New Roman" w:hAnsi="方正仿宋_GBK" w:eastAsia="方正仿宋_GBK" w:cs="方正仿宋_GBK"/>
          <w:sz w:val="32"/>
          <w:szCs w:val="32"/>
          <w:highlight w:val="none"/>
          <w:lang w:val="en-US" w:eastAsia="zh-CN"/>
        </w:rPr>
        <w:t>4.24</w:t>
      </w:r>
      <w:r>
        <w:rPr>
          <w:rFonts w:hint="eastAsia" w:ascii="Times New Roman" w:hAnsi="方正仿宋_GBK" w:eastAsia="方正仿宋_GBK" w:cs="方正仿宋_GBK"/>
          <w:sz w:val="32"/>
          <w:szCs w:val="32"/>
          <w:highlight w:val="none"/>
          <w:lang w:val="zh-TW" w:eastAsia="zh-TW"/>
        </w:rPr>
        <w:t>万元。</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四、其他需要说明的事项</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（一）一般公共预算财政拨款会议费和培训费情况说明。</w:t>
      </w:r>
    </w:p>
    <w:p>
      <w:pPr>
        <w:adjustRightInd w:val="0"/>
        <w:snapToGrid w:val="0"/>
        <w:spacing w:line="600" w:lineRule="exact"/>
        <w:ind w:firstLine="640" w:firstLineChars="200"/>
        <w:rPr>
          <w:rFonts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lang w:val="zh-TW" w:eastAsia="zh-TW"/>
        </w:rPr>
        <w:t>本年度会议费支出0.00万元，较上年决算数增加0.00万元，增长0.0%，主要原因是上年及本年我所均未安排也未支出会议费。</w:t>
      </w:r>
      <w:r>
        <w:rPr>
          <w:rFonts w:hint="eastAsia" w:ascii="Times New Roman" w:hAnsi="方正仿宋_GBK" w:eastAsia="方正仿宋_GBK" w:cs="方正仿宋_GBK"/>
          <w:sz w:val="32"/>
          <w:szCs w:val="32"/>
          <w:highlight w:val="none"/>
          <w:lang w:val="zh-TW" w:eastAsia="zh-TW"/>
        </w:rPr>
        <w:t>本年度培训费支出0.</w:t>
      </w:r>
      <w:r>
        <w:rPr>
          <w:rFonts w:hint="eastAsia" w:ascii="Times New Roman" w:hAnsi="方正仿宋_GBK" w:eastAsia="方正仿宋_GBK" w:cs="方正仿宋_GBK"/>
          <w:sz w:val="32"/>
          <w:szCs w:val="32"/>
          <w:highlight w:val="none"/>
          <w:lang w:val="en-US" w:eastAsia="zh-CN"/>
        </w:rPr>
        <w:t>76</w:t>
      </w:r>
      <w:r>
        <w:rPr>
          <w:rFonts w:hint="eastAsia" w:ascii="Times New Roman" w:hAnsi="方正仿宋_GBK" w:eastAsia="方正仿宋_GBK" w:cs="方正仿宋_GBK"/>
          <w:sz w:val="32"/>
          <w:szCs w:val="32"/>
          <w:highlight w:val="none"/>
          <w:lang w:val="zh-TW" w:eastAsia="zh-TW"/>
        </w:rPr>
        <w:t>万元，较上年决算数</w:t>
      </w:r>
      <w:r>
        <w:rPr>
          <w:rFonts w:hint="eastAsia" w:ascii="Times New Roman" w:hAnsi="方正仿宋_GBK" w:eastAsia="方正仿宋_GBK" w:cs="方正仿宋_GBK"/>
          <w:sz w:val="32"/>
          <w:szCs w:val="32"/>
          <w:highlight w:val="none"/>
          <w:lang w:val="zh-TW" w:eastAsia="zh-CN"/>
        </w:rPr>
        <w:t>减少</w:t>
      </w:r>
      <w:r>
        <w:rPr>
          <w:rFonts w:hint="eastAsia" w:ascii="Times New Roman" w:hAnsi="方正仿宋_GBK" w:eastAsia="方正仿宋_GBK" w:cs="方正仿宋_GBK"/>
          <w:sz w:val="32"/>
          <w:szCs w:val="32"/>
          <w:highlight w:val="none"/>
          <w:lang w:val="en-US" w:eastAsia="zh-CN"/>
        </w:rPr>
        <w:t>0.14</w:t>
      </w:r>
      <w:r>
        <w:rPr>
          <w:rFonts w:hint="eastAsia" w:ascii="Times New Roman" w:hAnsi="方正仿宋_GBK" w:eastAsia="方正仿宋_GBK" w:cs="方正仿宋_GBK"/>
          <w:sz w:val="32"/>
          <w:szCs w:val="32"/>
          <w:highlight w:val="none"/>
          <w:lang w:val="zh-TW" w:eastAsia="zh-TW"/>
        </w:rPr>
        <w:t>万元，</w:t>
      </w:r>
      <w:r>
        <w:rPr>
          <w:rFonts w:hint="eastAsia" w:ascii="Times New Roman" w:hAnsi="方正仿宋_GBK" w:eastAsia="方正仿宋_GBK" w:cs="方正仿宋_GBK"/>
          <w:sz w:val="32"/>
          <w:szCs w:val="32"/>
          <w:highlight w:val="none"/>
          <w:lang w:val="zh-TW" w:eastAsia="zh-CN"/>
        </w:rPr>
        <w:t>主要原因是</w:t>
      </w:r>
      <w:r>
        <w:rPr>
          <w:rFonts w:hint="eastAsia" w:ascii="Times New Roman" w:hAnsi="方正仿宋_GBK" w:eastAsia="方正仿宋_GBK" w:cs="方正仿宋_GBK"/>
          <w:sz w:val="32"/>
          <w:szCs w:val="32"/>
          <w:highlight w:val="none"/>
          <w:lang w:val="zh-TW" w:eastAsia="zh-TW"/>
        </w:rPr>
        <w:t>我所更加严格贯彻八项规定，厉行节约，减少了</w:t>
      </w:r>
      <w:r>
        <w:rPr>
          <w:rFonts w:hint="eastAsia" w:ascii="Times New Roman" w:hAnsi="方正仿宋_GBK" w:eastAsia="方正仿宋_GBK" w:cs="方正仿宋_GBK"/>
          <w:sz w:val="32"/>
          <w:szCs w:val="32"/>
          <w:highlight w:val="none"/>
          <w:lang w:val="zh-TW" w:eastAsia="zh-CN"/>
        </w:rPr>
        <w:t>培训费用</w:t>
      </w:r>
      <w:r>
        <w:rPr>
          <w:rFonts w:hint="eastAsia" w:ascii="Times New Roman" w:hAnsi="方正仿宋_GBK" w:eastAsia="方正仿宋_GBK" w:cs="方正仿宋_GBK"/>
          <w:sz w:val="32"/>
          <w:szCs w:val="32"/>
          <w:highlight w:val="none"/>
          <w:lang w:val="zh-TW" w:eastAsia="zh-TW"/>
        </w:rPr>
        <w:t>支出。</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（二）机关运行经费情况说明。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按照部门决算列报口径，我所不在机关运行经费统计范围之内。</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（三）国有资产占用情况说明。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截至</w:t>
      </w:r>
      <w:r>
        <w:rPr>
          <w:rFonts w:hint="eastAsia" w:ascii="Times New Roman" w:hAnsi="方正仿宋_GBK" w:eastAsia="方正仿宋_GBK" w:cs="方正仿宋_GBK"/>
          <w:sz w:val="32"/>
          <w:szCs w:val="32"/>
          <w:lang w:val="zh-TW" w:eastAsia="zh-CN"/>
        </w:rPr>
        <w:t>2022</w:t>
      </w:r>
      <w:r>
        <w:rPr>
          <w:rFonts w:hint="eastAsia" w:ascii="Times New Roman" w:hAnsi="方正仿宋_GBK" w:eastAsia="方正仿宋_GBK" w:cs="方正仿宋_GBK"/>
          <w:sz w:val="32"/>
          <w:szCs w:val="32"/>
          <w:lang w:val="zh-TW" w:eastAsia="zh-TW"/>
        </w:rPr>
        <w:t>年12月31日，本部门共有车辆</w:t>
      </w:r>
      <w:r>
        <w:rPr>
          <w:rFonts w:hint="eastAsia" w:ascii="Times New Roman" w:hAnsi="方正仿宋_GBK" w:eastAsia="方正仿宋_GBK" w:cs="方正仿宋_GBK"/>
          <w:sz w:val="32"/>
          <w:szCs w:val="32"/>
          <w:lang w:val="en-US" w:eastAsia="zh-CN"/>
        </w:rPr>
        <w:t>1</w:t>
      </w:r>
      <w:r>
        <w:rPr>
          <w:rFonts w:hint="eastAsia" w:ascii="Times New Roman" w:hAnsi="方正仿宋_GBK" w:eastAsia="方正仿宋_GBK" w:cs="方正仿宋_GBK"/>
          <w:sz w:val="32"/>
          <w:szCs w:val="32"/>
          <w:lang w:val="zh-TW" w:eastAsia="zh-TW"/>
        </w:rPr>
        <w:t>辆，其中，副部（省）级及以上领导用车0辆、主要领导干部用车0辆、机要通信用车</w:t>
      </w:r>
      <w:r>
        <w:rPr>
          <w:rFonts w:hint="eastAsia" w:ascii="Times New Roman" w:hAnsi="方正仿宋_GBK" w:eastAsia="方正仿宋_GBK" w:cs="方正仿宋_GBK"/>
          <w:sz w:val="32"/>
          <w:szCs w:val="32"/>
          <w:lang w:val="en-US" w:eastAsia="zh-CN"/>
        </w:rPr>
        <w:t>1</w:t>
      </w:r>
      <w:r>
        <w:rPr>
          <w:rFonts w:hint="eastAsia" w:ascii="Times New Roman" w:hAnsi="方正仿宋_GBK" w:eastAsia="方正仿宋_GBK" w:cs="方正仿宋_GBK"/>
          <w:sz w:val="32"/>
          <w:szCs w:val="32"/>
          <w:lang w:val="zh-TW" w:eastAsia="zh-TW"/>
        </w:rPr>
        <w:t>辆、应急保障用车0辆、执法执勤用车0辆，特种专业技术用车0辆，离退休干部用车0辆，其他用车0辆，单价50万元（含）以上通用设备0台（套），单价100万元（含）以上专用设备0台（套）。</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（四）政府采购支出情况说明。</w:t>
      </w:r>
    </w:p>
    <w:p>
      <w:pPr>
        <w:adjustRightInd w:val="0"/>
        <w:snapToGrid w:val="0"/>
        <w:spacing w:line="600" w:lineRule="exact"/>
        <w:ind w:firstLine="640" w:firstLineChars="200"/>
        <w:rPr>
          <w:rFonts w:ascii="Times New Roman" w:hAnsi="方正仿宋_GBK" w:eastAsia="方正仿宋_GBK" w:cs="方正仿宋_GBK"/>
          <w:sz w:val="32"/>
          <w:szCs w:val="32"/>
          <w:highlight w:val="none"/>
          <w:lang w:val="zh-TW" w:eastAsia="zh-TW"/>
        </w:rPr>
      </w:pPr>
      <w:r>
        <w:rPr>
          <w:rFonts w:hint="eastAsia" w:ascii="Times New Roman" w:hAnsi="方正仿宋_GBK" w:eastAsia="方正仿宋_GBK" w:cs="方正仿宋_GBK"/>
          <w:sz w:val="32"/>
          <w:szCs w:val="32"/>
          <w:highlight w:val="none"/>
          <w:lang w:val="zh-TW" w:eastAsia="zh-CN"/>
        </w:rPr>
        <w:t>2022</w:t>
      </w:r>
      <w:r>
        <w:rPr>
          <w:rFonts w:hint="eastAsia" w:ascii="Times New Roman" w:hAnsi="方正仿宋_GBK" w:eastAsia="方正仿宋_GBK" w:cs="方正仿宋_GBK"/>
          <w:sz w:val="32"/>
          <w:szCs w:val="32"/>
          <w:highlight w:val="none"/>
          <w:lang w:val="zh-TW" w:eastAsia="zh-TW"/>
        </w:rPr>
        <w:t>年度本部门政府采购支出总额</w:t>
      </w:r>
      <w:r>
        <w:rPr>
          <w:rFonts w:hint="eastAsia" w:ascii="Times New Roman" w:hAnsi="方正仿宋_GBK" w:eastAsia="方正仿宋_GBK" w:cs="方正仿宋_GBK"/>
          <w:sz w:val="32"/>
          <w:szCs w:val="32"/>
          <w:highlight w:val="none"/>
          <w:lang w:val="en-US" w:eastAsia="zh-CN"/>
        </w:rPr>
        <w:t>52.80</w:t>
      </w:r>
      <w:r>
        <w:rPr>
          <w:rFonts w:hint="eastAsia" w:ascii="Times New Roman" w:hAnsi="方正仿宋_GBK" w:eastAsia="方正仿宋_GBK" w:cs="方正仿宋_GBK"/>
          <w:sz w:val="32"/>
          <w:szCs w:val="32"/>
          <w:highlight w:val="none"/>
          <w:lang w:val="zh-TW" w:eastAsia="zh-TW"/>
        </w:rPr>
        <w:t>万元，其中：政府采购货物支出0.00万元、政府采购工程支出0.00万元、政府采购服务支出</w:t>
      </w:r>
      <w:r>
        <w:rPr>
          <w:rFonts w:hint="eastAsia" w:ascii="Times New Roman" w:hAnsi="方正仿宋_GBK" w:eastAsia="方正仿宋_GBK" w:cs="方正仿宋_GBK"/>
          <w:sz w:val="32"/>
          <w:szCs w:val="32"/>
          <w:highlight w:val="none"/>
          <w:lang w:val="en-US" w:eastAsia="zh-CN"/>
        </w:rPr>
        <w:t>52.80</w:t>
      </w:r>
      <w:r>
        <w:rPr>
          <w:rFonts w:hint="eastAsia" w:ascii="Times New Roman" w:hAnsi="方正仿宋_GBK" w:eastAsia="方正仿宋_GBK" w:cs="方正仿宋_GBK"/>
          <w:sz w:val="32"/>
          <w:szCs w:val="32"/>
          <w:highlight w:val="none"/>
          <w:lang w:val="zh-TW" w:eastAsia="zh-TW"/>
        </w:rPr>
        <w:t>万元。授予中小企业合同金额</w:t>
      </w:r>
      <w:r>
        <w:rPr>
          <w:rFonts w:hint="eastAsia" w:ascii="Times New Roman" w:hAnsi="方正仿宋_GBK" w:eastAsia="方正仿宋_GBK" w:cs="方正仿宋_GBK"/>
          <w:sz w:val="32"/>
          <w:szCs w:val="32"/>
          <w:highlight w:val="none"/>
          <w:lang w:val="en-US" w:eastAsia="zh-CN"/>
        </w:rPr>
        <w:t>52.80</w:t>
      </w:r>
      <w:r>
        <w:rPr>
          <w:rFonts w:hint="eastAsia" w:ascii="Times New Roman" w:hAnsi="方正仿宋_GBK" w:eastAsia="方正仿宋_GBK" w:cs="方正仿宋_GBK"/>
          <w:sz w:val="32"/>
          <w:szCs w:val="32"/>
          <w:highlight w:val="none"/>
          <w:lang w:val="zh-TW" w:eastAsia="zh-TW"/>
        </w:rPr>
        <w:t>万元，占政府采购支出总额的</w:t>
      </w:r>
      <w:r>
        <w:rPr>
          <w:rFonts w:hint="eastAsia" w:ascii="Times New Roman" w:hAnsi="方正仿宋_GBK" w:eastAsia="方正仿宋_GBK" w:cs="方正仿宋_GBK"/>
          <w:sz w:val="32"/>
          <w:szCs w:val="32"/>
          <w:highlight w:val="none"/>
          <w:lang w:val="en-US" w:eastAsia="zh-CN"/>
        </w:rPr>
        <w:t>10</w:t>
      </w:r>
      <w:r>
        <w:rPr>
          <w:rFonts w:hint="eastAsia" w:ascii="Times New Roman" w:hAnsi="方正仿宋_GBK" w:eastAsia="方正仿宋_GBK" w:cs="方正仿宋_GBK"/>
          <w:sz w:val="32"/>
          <w:szCs w:val="32"/>
          <w:highlight w:val="none"/>
          <w:lang w:val="zh-TW" w:eastAsia="zh-TW"/>
        </w:rPr>
        <w:t>0.0%，其中：授予小微企业合同金额</w:t>
      </w:r>
      <w:r>
        <w:rPr>
          <w:rFonts w:hint="eastAsia" w:ascii="Times New Roman" w:hAnsi="方正仿宋_GBK" w:eastAsia="方正仿宋_GBK" w:cs="方正仿宋_GBK"/>
          <w:sz w:val="32"/>
          <w:szCs w:val="32"/>
          <w:highlight w:val="none"/>
          <w:lang w:val="en-US" w:eastAsia="zh-CN"/>
        </w:rPr>
        <w:t>52.80</w:t>
      </w:r>
      <w:r>
        <w:rPr>
          <w:rFonts w:hint="eastAsia" w:ascii="Times New Roman" w:hAnsi="方正仿宋_GBK" w:eastAsia="方正仿宋_GBK" w:cs="方正仿宋_GBK"/>
          <w:sz w:val="32"/>
          <w:szCs w:val="32"/>
          <w:highlight w:val="none"/>
          <w:lang w:val="zh-TW" w:eastAsia="zh-TW"/>
        </w:rPr>
        <w:t>万元，占政府采购支出总额的</w:t>
      </w:r>
      <w:r>
        <w:rPr>
          <w:rFonts w:hint="eastAsia" w:ascii="Times New Roman" w:hAnsi="方正仿宋_GBK" w:eastAsia="方正仿宋_GBK" w:cs="方正仿宋_GBK"/>
          <w:sz w:val="32"/>
          <w:szCs w:val="32"/>
          <w:highlight w:val="none"/>
          <w:lang w:val="en-US" w:eastAsia="zh-CN"/>
        </w:rPr>
        <w:t>10</w:t>
      </w:r>
      <w:r>
        <w:rPr>
          <w:rFonts w:hint="eastAsia" w:ascii="Times New Roman" w:hAnsi="方正仿宋_GBK" w:eastAsia="方正仿宋_GBK" w:cs="方正仿宋_GBK"/>
          <w:sz w:val="32"/>
          <w:szCs w:val="32"/>
          <w:highlight w:val="none"/>
          <w:lang w:val="zh-TW" w:eastAsia="zh-TW"/>
        </w:rPr>
        <w:t>0.0%。主要用于采购水库日常管护服务。</w:t>
      </w:r>
    </w:p>
    <w:p>
      <w:pPr>
        <w:pStyle w:val="15"/>
        <w:tabs>
          <w:tab w:val="center" w:pos="4153"/>
          <w:tab w:val="left" w:pos="7275"/>
        </w:tabs>
        <w:spacing w:line="560" w:lineRule="exact"/>
        <w:ind w:firstLine="640"/>
        <w:rPr>
          <w:rFonts w:eastAsia="方正黑体_GBK"/>
          <w:sz w:val="32"/>
          <w:szCs w:val="32"/>
          <w:highlight w:val="none"/>
        </w:rPr>
      </w:pPr>
      <w:r>
        <w:rPr>
          <w:rFonts w:hint="eastAsia" w:eastAsia="方正黑体_GBK"/>
          <w:sz w:val="32"/>
          <w:szCs w:val="32"/>
          <w:highlight w:val="none"/>
        </w:rPr>
        <w:t>五、预算绩效管理情况说明</w:t>
      </w:r>
    </w:p>
    <w:p>
      <w:pPr>
        <w:snapToGrid w:val="0"/>
        <w:spacing w:line="600" w:lineRule="exact"/>
        <w:ind w:firstLine="640" w:firstLineChars="200"/>
        <w:rPr>
          <w:rFonts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（一）预算绩效管理工作开展情况。</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根据预算绩效管理要求，我所对</w:t>
      </w:r>
      <w:bookmarkStart w:id="0" w:name="_GoBack"/>
      <w:bookmarkEnd w:id="0"/>
      <w:r>
        <w:rPr>
          <w:rFonts w:hint="eastAsia" w:ascii="Times New Roman" w:hAnsi="方正仿宋_GBK" w:eastAsia="方正仿宋_GBK" w:cs="方正仿宋_GBK"/>
          <w:sz w:val="32"/>
          <w:szCs w:val="32"/>
          <w:lang w:val="zh-TW" w:eastAsia="zh-TW"/>
        </w:rPr>
        <w:t>1</w:t>
      </w:r>
      <w:r>
        <w:rPr>
          <w:rFonts w:hint="eastAsia" w:ascii="Times New Roman" w:hAnsi="方正仿宋_GBK" w:eastAsia="方正仿宋_GBK" w:cs="方正仿宋_GBK"/>
          <w:sz w:val="32"/>
          <w:szCs w:val="32"/>
          <w:lang w:val="en-US" w:eastAsia="zh-CN"/>
        </w:rPr>
        <w:t>6</w:t>
      </w:r>
      <w:r>
        <w:rPr>
          <w:rFonts w:hint="eastAsia" w:ascii="Times New Roman" w:hAnsi="方正仿宋_GBK" w:eastAsia="方正仿宋_GBK" w:cs="方正仿宋_GBK"/>
          <w:sz w:val="32"/>
          <w:szCs w:val="32"/>
          <w:lang w:val="zh-TW" w:eastAsia="zh-TW"/>
        </w:rPr>
        <w:t>个项目开展了绩效自评，其中，以填报目标自评表形式开展自评1</w:t>
      </w:r>
      <w:r>
        <w:rPr>
          <w:rFonts w:hint="eastAsia" w:ascii="Times New Roman" w:hAnsi="方正仿宋_GBK" w:eastAsia="方正仿宋_GBK" w:cs="方正仿宋_GBK"/>
          <w:sz w:val="32"/>
          <w:szCs w:val="32"/>
          <w:lang w:val="en-US" w:eastAsia="zh-CN"/>
        </w:rPr>
        <w:t>6</w:t>
      </w:r>
      <w:r>
        <w:rPr>
          <w:rFonts w:hint="eastAsia" w:ascii="Times New Roman" w:hAnsi="方正仿宋_GBK" w:eastAsia="方正仿宋_GBK" w:cs="方正仿宋_GBK"/>
          <w:sz w:val="32"/>
          <w:szCs w:val="32"/>
          <w:lang w:val="zh-TW" w:eastAsia="zh-TW"/>
        </w:rPr>
        <w:t>项，涉及资金</w:t>
      </w:r>
      <w:r>
        <w:rPr>
          <w:rFonts w:hint="eastAsia" w:ascii="Times New Roman" w:hAnsi="方正仿宋_GBK" w:eastAsia="方正仿宋_GBK" w:cs="方正仿宋_GBK"/>
          <w:sz w:val="32"/>
          <w:szCs w:val="32"/>
          <w:lang w:val="en-US" w:eastAsia="zh-CN"/>
        </w:rPr>
        <w:t>492.51</w:t>
      </w:r>
      <w:r>
        <w:rPr>
          <w:rFonts w:hint="eastAsia" w:ascii="Times New Roman" w:hAnsi="方正仿宋_GBK" w:eastAsia="方正仿宋_GBK" w:cs="方正仿宋_GBK"/>
          <w:sz w:val="32"/>
          <w:szCs w:val="32"/>
          <w:lang w:val="zh-TW" w:eastAsia="zh-TW"/>
        </w:rPr>
        <w:t>万元；以委托第三方形式开展绩效自评0项，涉及资金0.00万元，从评价情况来看，我所这些项目均达到了预期绩效目标。</w:t>
      </w:r>
    </w:p>
    <w:p>
      <w:pPr>
        <w:snapToGrid w:val="0"/>
        <w:spacing w:line="600" w:lineRule="exact"/>
        <w:ind w:firstLine="640" w:firstLineChars="200"/>
        <w:rPr>
          <w:rFonts w:hint="eastAsia" w:ascii="方正楷体_GBK" w:hAnsi="方正楷体_GBK" w:eastAsia="方正楷体_GBK" w:cs="方正楷体_GBK"/>
          <w:snapToGrid w:val="0"/>
          <w:kern w:val="32"/>
          <w:sz w:val="32"/>
          <w:szCs w:val="32"/>
        </w:rPr>
      </w:pPr>
      <w:r>
        <w:rPr>
          <w:rFonts w:hint="eastAsia" w:ascii="方正楷体_GBK" w:hAnsi="方正楷体_GBK" w:eastAsia="方正楷体_GBK" w:cs="方正楷体_GBK"/>
          <w:snapToGrid w:val="0"/>
          <w:kern w:val="32"/>
          <w:sz w:val="32"/>
          <w:szCs w:val="32"/>
        </w:rPr>
        <w:t>（二）绩效自评结果。</w:t>
      </w:r>
    </w:p>
    <w:p>
      <w:pPr>
        <w:pStyle w:val="2"/>
      </w:pPr>
    </w:p>
    <w:p>
      <w:pPr>
        <w:adjustRightInd w:val="0"/>
        <w:snapToGrid w:val="0"/>
        <w:spacing w:line="600" w:lineRule="exact"/>
        <w:ind w:firstLine="640" w:firstLineChars="200"/>
        <w:rPr>
          <w:rFonts w:hint="eastAsia"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1.绩效目标自评表。</w:t>
      </w:r>
    </w:p>
    <w:p>
      <w:pPr>
        <w:pStyle w:val="2"/>
        <w:rPr>
          <w:rFonts w:hint="eastAsia" w:ascii="Times New Roman" w:hAnsi="方正仿宋_GBK" w:eastAsia="方正仿宋_GBK" w:cs="方正仿宋_GBK"/>
          <w:sz w:val="32"/>
          <w:szCs w:val="32"/>
          <w:lang w:val="zh-TW" w:eastAsia="zh-TW"/>
        </w:rPr>
      </w:pPr>
    </w:p>
    <w:p>
      <w:pPr>
        <w:rPr>
          <w:rFonts w:hint="eastAsia" w:ascii="Times New Roman" w:hAnsi="方正仿宋_GBK" w:eastAsia="方正仿宋_GBK" w:cs="方正仿宋_GBK"/>
          <w:sz w:val="32"/>
          <w:szCs w:val="32"/>
          <w:lang w:val="zh-TW" w:eastAsia="zh-TW"/>
        </w:rPr>
      </w:pPr>
    </w:p>
    <w:p>
      <w:pPr>
        <w:pStyle w:val="2"/>
        <w:rPr>
          <w:rFonts w:hint="eastAsia" w:ascii="Times New Roman" w:hAnsi="方正仿宋_GBK" w:eastAsia="方正仿宋_GBK" w:cs="方正仿宋_GBK"/>
          <w:sz w:val="32"/>
          <w:szCs w:val="32"/>
          <w:lang w:val="zh-TW" w:eastAsia="zh-TW"/>
        </w:rPr>
      </w:pPr>
    </w:p>
    <w:p>
      <w:pPr>
        <w:rPr>
          <w:rFonts w:hint="eastAsia" w:ascii="Times New Roman" w:hAnsi="方正仿宋_GBK" w:eastAsia="方正仿宋_GBK" w:cs="方正仿宋_GBK"/>
          <w:sz w:val="32"/>
          <w:szCs w:val="32"/>
          <w:lang w:val="zh-TW" w:eastAsia="zh-TW"/>
        </w:rPr>
      </w:pPr>
    </w:p>
    <w:p>
      <w:pPr>
        <w:pStyle w:val="2"/>
        <w:rPr>
          <w:rFonts w:hint="eastAsia" w:ascii="Times New Roman" w:hAnsi="方正仿宋_GBK" w:eastAsia="方正仿宋_GBK" w:cs="方正仿宋_GBK"/>
          <w:sz w:val="32"/>
          <w:szCs w:val="32"/>
          <w:lang w:val="zh-TW" w:eastAsia="zh-TW"/>
        </w:rPr>
      </w:pPr>
    </w:p>
    <w:p>
      <w:pPr>
        <w:rPr>
          <w:rFonts w:hint="eastAsia" w:ascii="Times New Roman" w:hAnsi="方正仿宋_GBK" w:eastAsia="方正仿宋_GBK" w:cs="方正仿宋_GBK"/>
          <w:sz w:val="32"/>
          <w:szCs w:val="32"/>
          <w:lang w:val="zh-TW" w:eastAsia="zh-TW"/>
        </w:rPr>
      </w:pPr>
    </w:p>
    <w:p>
      <w:pPr>
        <w:pStyle w:val="2"/>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编外聘用人员经费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50011222T000000068165</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550,000.00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550,000.00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550,000.00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550,000.00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550,000.00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550,000.00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确保辖区各水库正常运行</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5"/>
                <w:szCs w:val="15"/>
                <w:u w:val="none"/>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完成管理所编外聘用人员工资、保险等的缴纳发放，确保辖区各水库正常运行。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人数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人数</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水库座数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总成本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万元/年</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水库安全运行</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spacing w:line="600" w:lineRule="exact"/>
        <w:ind w:firstLine="640" w:firstLineChars="200"/>
        <w:rPr>
          <w:rFonts w:hint="eastAsia" w:ascii="方正仿宋_GBK" w:hAnsi="仿宋_GB2312" w:eastAsia="方正仿宋_GBK" w:cs="仿宋_GB2312"/>
          <w:color w:val="auto"/>
          <w:sz w:val="32"/>
          <w:highlight w:val="none"/>
          <w:lang w:val="en-US" w:eastAsia="zh-CN"/>
        </w:rPr>
      </w:pPr>
    </w:p>
    <w:p>
      <w:pPr>
        <w:spacing w:line="600" w:lineRule="exact"/>
        <w:ind w:firstLine="640" w:firstLineChars="200"/>
        <w:rPr>
          <w:rFonts w:hint="eastAsia" w:ascii="方正仿宋_GBK" w:hAnsi="仿宋_GB2312" w:eastAsia="方正仿宋_GBK" w:cs="仿宋_GB2312"/>
          <w:color w:val="auto"/>
          <w:sz w:val="32"/>
          <w:highlight w:val="none"/>
          <w:lang w:val="en-US" w:eastAsia="zh-CN"/>
        </w:rPr>
      </w:pPr>
    </w:p>
    <w:p>
      <w:pPr>
        <w:pStyle w:val="2"/>
        <w:rPr>
          <w:rFonts w:hint="eastAsia" w:ascii="方正仿宋_GBK" w:hAnsi="仿宋_GB2312" w:eastAsia="方正仿宋_GBK" w:cs="仿宋_GB2312"/>
          <w:color w:val="auto"/>
          <w:sz w:val="32"/>
          <w:highlight w:val="none"/>
          <w:lang w:val="en-US" w:eastAsia="zh-CN"/>
        </w:rPr>
      </w:pPr>
    </w:p>
    <w:p>
      <w:pPr>
        <w:rPr>
          <w:rFonts w:hint="eastAsia"/>
          <w:lang w:val="en-US" w:eastAsia="zh-CN"/>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水库白蚁防治</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50011221T000000053899</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144,000.00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144,000.00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144,000.00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144,000.00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144,000.00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144,000.00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消除水库白蚁危害，保障水库安全运行。</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5"/>
                <w:szCs w:val="15"/>
                <w:u w:val="none"/>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已完成辖区5座水库白蚁防治工作，消除了水库白蚁危害，保障了水库安全运行。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水库</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消除水库白蚁危害</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总成本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14.4</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14.4</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水库安全运行</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pStyle w:val="2"/>
        <w:rPr>
          <w:rFonts w:hint="eastAsia" w:ascii="方正仿宋_GBK" w:hAnsi="仿宋_GB2312" w:eastAsia="方正仿宋_GBK" w:cs="仿宋_GB2312"/>
          <w:color w:val="auto"/>
          <w:sz w:val="32"/>
          <w:highlight w:val="none"/>
          <w:lang w:val="en-US" w:eastAsia="zh-CN"/>
        </w:rPr>
      </w:pPr>
    </w:p>
    <w:p>
      <w:pPr>
        <w:rPr>
          <w:rFonts w:hint="eastAsia" w:ascii="方正仿宋_GBK" w:hAnsi="仿宋_GB2312" w:eastAsia="方正仿宋_GBK" w:cs="仿宋_GB2312"/>
          <w:color w:val="auto"/>
          <w:sz w:val="32"/>
          <w:highlight w:val="none"/>
          <w:lang w:val="en-US" w:eastAsia="zh-CN"/>
        </w:rPr>
      </w:pPr>
    </w:p>
    <w:p>
      <w:pPr>
        <w:pStyle w:val="2"/>
        <w:rPr>
          <w:rFonts w:hint="eastAsia" w:ascii="方正仿宋_GBK" w:hAnsi="仿宋_GB2312" w:eastAsia="方正仿宋_GBK" w:cs="仿宋_GB2312"/>
          <w:color w:val="auto"/>
          <w:sz w:val="32"/>
          <w:highlight w:val="none"/>
          <w:lang w:val="en-US" w:eastAsia="zh-CN"/>
        </w:rPr>
      </w:pPr>
    </w:p>
    <w:p>
      <w:pPr>
        <w:rPr>
          <w:rFonts w:hint="eastAsia"/>
          <w:lang w:val="en-US" w:eastAsia="zh-CN"/>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水库运行管理费</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50011222T000000068753</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209,000.00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209,000.00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209,000.00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209,000.00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209,000.00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209,000.00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通过水库运行管理，确保辖区各水库正常运行</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15"/>
                <w:szCs w:val="15"/>
                <w:u w:val="none"/>
              </w:rPr>
            </w:pP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已完成辖区5座水库水利工程管护、安全管理等，确保了辖区水库正常运行。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水库座数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总成本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万元/年</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20.9</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20.9</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水库安全运行</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优</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rPr>
          <w:rFonts w:hint="eastAsia" w:ascii="方正仿宋_GBK" w:hAnsi="仿宋_GB2312" w:eastAsia="方正仿宋_GBK" w:cs="仿宋_GB2312"/>
          <w:color w:val="auto"/>
          <w:sz w:val="32"/>
          <w:highlight w:val="none"/>
          <w:lang w:val="en-US" w:eastAsia="zh-CN"/>
        </w:rPr>
      </w:pPr>
    </w:p>
    <w:p>
      <w:pPr>
        <w:pStyle w:val="2"/>
        <w:rPr>
          <w:rFonts w:hint="eastAsia" w:ascii="方正仿宋_GBK" w:hAnsi="仿宋_GB2312" w:eastAsia="方正仿宋_GBK" w:cs="仿宋_GB2312"/>
          <w:color w:val="auto"/>
          <w:sz w:val="32"/>
          <w:highlight w:val="none"/>
          <w:lang w:val="en-US" w:eastAsia="zh-CN"/>
        </w:rPr>
      </w:pPr>
    </w:p>
    <w:p>
      <w:pPr>
        <w:rPr>
          <w:rFonts w:hint="eastAsia" w:ascii="方正仿宋_GBK" w:hAnsi="仿宋_GB2312" w:eastAsia="方正仿宋_GBK" w:cs="仿宋_GB2312"/>
          <w:color w:val="auto"/>
          <w:sz w:val="32"/>
          <w:highlight w:val="none"/>
          <w:lang w:val="en-US" w:eastAsia="zh-CN"/>
        </w:rPr>
      </w:pPr>
    </w:p>
    <w:p>
      <w:pPr>
        <w:pStyle w:val="2"/>
        <w:rPr>
          <w:rFonts w:hint="eastAsia" w:ascii="方正仿宋_GBK" w:hAnsi="仿宋_GB2312" w:eastAsia="方正仿宋_GBK" w:cs="仿宋_GB2312"/>
          <w:color w:val="auto"/>
          <w:sz w:val="32"/>
          <w:highlight w:val="none"/>
          <w:lang w:val="en-US" w:eastAsia="zh-CN"/>
        </w:rPr>
      </w:pPr>
    </w:p>
    <w:p>
      <w:pPr>
        <w:rPr>
          <w:rFonts w:hint="eastAsia"/>
          <w:lang w:val="en-US" w:eastAsia="zh-CN"/>
        </w:rPr>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水利安全管理与咨询</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50011221T000000053544</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100.00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244,800.00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244,800.00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244,800.00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244,800.00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完成新桥水库2022年度水利工程标准化管理市级评价。</w:t>
            </w: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完成辖区内1座中型水库（新桥水库）2022年度水利工程标准化管理市级评价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完成新桥水库工程标准化管理市评价</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水利工程规范管理</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定性</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有效改善</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总成本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24.48</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24.48</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20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pStyle w:val="2"/>
        <w:rPr>
          <w:rFonts w:hint="eastAsia"/>
          <w:lang w:val="en-US" w:eastAsia="zh-CN"/>
        </w:rPr>
      </w:pPr>
    </w:p>
    <w:p/>
    <w:p>
      <w:pPr>
        <w:pStyle w:val="2"/>
      </w:pPr>
    </w:p>
    <w:p/>
    <w:p>
      <w:pPr>
        <w:pStyle w:val="2"/>
      </w:pPr>
    </w:p>
    <w:p/>
    <w:p>
      <w:pPr>
        <w:pStyle w:val="2"/>
      </w:pPr>
    </w:p>
    <w:tbl>
      <w:tblPr>
        <w:tblStyle w:val="10"/>
        <w:tblpPr w:leftFromText="180" w:rightFromText="180" w:vertAnchor="text" w:horzAnchor="page" w:tblpX="1788" w:tblpY="599"/>
        <w:tblOverlap w:val="never"/>
        <w:tblW w:w="90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88"/>
        <w:gridCol w:w="176"/>
        <w:gridCol w:w="872"/>
        <w:gridCol w:w="293"/>
        <w:gridCol w:w="670"/>
        <w:gridCol w:w="52"/>
        <w:gridCol w:w="620"/>
        <w:gridCol w:w="260"/>
        <w:gridCol w:w="388"/>
        <w:gridCol w:w="22"/>
        <w:gridCol w:w="672"/>
        <w:gridCol w:w="281"/>
        <w:gridCol w:w="117"/>
        <w:gridCol w:w="272"/>
        <w:gridCol w:w="556"/>
        <w:gridCol w:w="116"/>
        <w:gridCol w:w="389"/>
        <w:gridCol w:w="282"/>
        <w:gridCol w:w="29"/>
        <w:gridCol w:w="643"/>
        <w:gridCol w:w="671"/>
        <w:gridCol w:w="12"/>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2022年度项目绩效自评表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9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中型水库维修养护</w:t>
            </w:r>
          </w:p>
        </w:tc>
        <w:tc>
          <w:tcPr>
            <w:tcW w:w="10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项目编码：</w:t>
            </w:r>
          </w:p>
        </w:tc>
        <w:tc>
          <w:tcPr>
            <w:tcW w:w="12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50011222T000002038777</w:t>
            </w:r>
          </w:p>
        </w:tc>
        <w:tc>
          <w:tcPr>
            <w:tcW w:w="109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自评总分：</w:t>
            </w:r>
          </w:p>
        </w:tc>
        <w:tc>
          <w:tcPr>
            <w:tcW w:w="8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93.30</w:t>
            </w:r>
          </w:p>
        </w:tc>
        <w:tc>
          <w:tcPr>
            <w:tcW w:w="816" w:type="dxa"/>
            <w:gridSpan w:val="4"/>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b/>
                <w:i w:val="0"/>
                <w:color w:val="000000"/>
                <w:sz w:val="15"/>
                <w:szCs w:val="15"/>
                <w:u w:val="none"/>
              </w:rPr>
            </w:pPr>
          </w:p>
        </w:tc>
        <w:tc>
          <w:tcPr>
            <w:tcW w:w="198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15"/>
                <w:szCs w:val="15"/>
                <w:u w:val="none"/>
              </w:rPr>
            </w:pP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年初预算数</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全年（调整）预算数</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全年执行数</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执行率权重</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年度总金额</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160,000.00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160,000.00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52,570.00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32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其中：财政拨款</w:t>
            </w:r>
          </w:p>
        </w:tc>
        <w:tc>
          <w:tcPr>
            <w:tcW w:w="160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160,000.00 </w:t>
            </w:r>
          </w:p>
        </w:tc>
        <w:tc>
          <w:tcPr>
            <w:tcW w:w="1363"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160,000.00 </w:t>
            </w:r>
          </w:p>
        </w:tc>
        <w:tc>
          <w:tcPr>
            <w:tcW w:w="145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52,570.00 </w:t>
            </w:r>
          </w:p>
        </w:tc>
        <w:tc>
          <w:tcPr>
            <w:tcW w:w="95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33</w:t>
            </w:r>
          </w:p>
        </w:tc>
        <w:tc>
          <w:tcPr>
            <w:tcW w:w="68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10.00</w:t>
            </w: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3.30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67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年初绩效目标</w:t>
            </w:r>
          </w:p>
        </w:tc>
        <w:tc>
          <w:tcPr>
            <w:tcW w:w="2684"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全年（调整）绩效目标</w:t>
            </w:r>
          </w:p>
        </w:tc>
        <w:tc>
          <w:tcPr>
            <w:tcW w:w="2686"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trPr>
        <w:tc>
          <w:tcPr>
            <w:tcW w:w="3671"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完成2020中型水库维修养护</w:t>
            </w:r>
          </w:p>
        </w:tc>
        <w:tc>
          <w:tcPr>
            <w:tcW w:w="2684" w:type="dxa"/>
            <w:gridSpan w:val="9"/>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完成2022中型水库维修养护</w:t>
            </w:r>
          </w:p>
        </w:tc>
        <w:tc>
          <w:tcPr>
            <w:tcW w:w="2686"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完成辖区5座水库维修养护工作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9041" w:type="dxa"/>
            <w:gridSpan w:val="2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5"/>
                <w:szCs w:val="15"/>
                <w:u w:val="none"/>
              </w:rPr>
            </w:pPr>
            <w:r>
              <w:rPr>
                <w:rFonts w:hint="eastAsia" w:ascii="微软雅黑" w:hAnsi="微软雅黑" w:eastAsia="微软雅黑" w:cs="微软雅黑"/>
                <w:b/>
                <w:i w:val="0"/>
                <w:color w:val="808080"/>
                <w:kern w:val="0"/>
                <w:sz w:val="15"/>
                <w:szCs w:val="15"/>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指标名称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计量单位</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指标性质</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指标值</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全年完成值</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偏离度（%）</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得分系数（%）</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指标权重</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指标得分</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是否核心指标</w:t>
            </w: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sz w:val="15"/>
                <w:szCs w:val="15"/>
              </w:rPr>
            </w:pPr>
            <w:r>
              <w:rPr>
                <w:rFonts w:hint="eastAsia" w:ascii="宋体" w:hAnsi="宋体" w:eastAsia="宋体" w:cs="宋体"/>
                <w:b/>
                <w:i w:val="0"/>
                <w:color w:val="000000"/>
                <w:kern w:val="0"/>
                <w:sz w:val="15"/>
                <w:szCs w:val="15"/>
                <w:u w:val="none"/>
                <w:lang w:val="en-US" w:eastAsia="zh-CN" w:bidi="ar"/>
              </w:rPr>
              <w:t>说明</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水库维修养护座数</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40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项目验收合格率</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总成本</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万元</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16</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5.257</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按实际工程支付</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覆盖服务人口</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人</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500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水座正常运行</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座</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1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群众满意度</w:t>
            </w:r>
          </w:p>
        </w:tc>
        <w:tc>
          <w:tcPr>
            <w:tcW w:w="11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0</w:t>
            </w:r>
          </w:p>
        </w:tc>
        <w:tc>
          <w:tcPr>
            <w:tcW w:w="67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10</w:t>
            </w: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c>
          <w:tcPr>
            <w:tcW w:w="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50" w:firstLineChars="100"/>
              <w:jc w:val="left"/>
              <w:textAlignment w:val="center"/>
              <w:rPr>
                <w:rFonts w:hint="eastAsia" w:ascii="宋体" w:hAnsi="宋体" w:eastAsia="宋体" w:cs="宋体"/>
                <w:i w:val="0"/>
                <w:color w:val="000000"/>
                <w:kern w:val="0"/>
                <w:sz w:val="15"/>
                <w:szCs w:val="15"/>
                <w:u w:val="none"/>
                <w:lang w:val="en-US" w:eastAsia="zh-CN" w:bidi="ar"/>
              </w:rPr>
            </w:pPr>
          </w:p>
        </w:tc>
      </w:tr>
    </w:tbl>
    <w:p>
      <w:pPr>
        <w:pStyle w:val="2"/>
      </w:pP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2.绩效自评报告或案例。</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我所是采用填报目标自评表形式开展绩效自评，没有绩效自评报告。</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3.关于绩效自评结果的说明。</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经评价，各项目均达到了年度绩效目标。</w:t>
      </w:r>
    </w:p>
    <w:p>
      <w:pPr>
        <w:snapToGrid w:val="0"/>
        <w:spacing w:line="600" w:lineRule="exact"/>
        <w:ind w:firstLine="640" w:firstLineChars="200"/>
        <w:rPr>
          <w:rFonts w:ascii="方正楷体_GBK" w:hAnsi="方正楷体_GBK" w:eastAsia="方正楷体_GBK" w:cs="方正楷体_GBK"/>
          <w:b/>
          <w:snapToGrid w:val="0"/>
          <w:kern w:val="32"/>
          <w:sz w:val="32"/>
          <w:szCs w:val="32"/>
        </w:rPr>
      </w:pPr>
      <w:r>
        <w:rPr>
          <w:rFonts w:hint="eastAsia" w:ascii="方正楷体_GBK" w:hAnsi="方正楷体_GBK" w:eastAsia="方正楷体_GBK" w:cs="方正楷体_GBK"/>
          <w:snapToGrid w:val="0"/>
          <w:kern w:val="32"/>
          <w:sz w:val="32"/>
          <w:szCs w:val="32"/>
        </w:rPr>
        <w:t>（三）重点绩效评价结果。</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我所是采用填报目标自评表形式开展绩效自评，没有重点绩效自评项目。</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六、专业名词解释</w:t>
      </w:r>
    </w:p>
    <w:p>
      <w:pPr>
        <w:snapToGrid w:val="0"/>
        <w:spacing w:line="560" w:lineRule="exact"/>
        <w:ind w:firstLine="640" w:firstLineChars="200"/>
        <w:rPr>
          <w:rFonts w:hAnsi="方正仿宋_GBK" w:eastAsia="方正仿宋_GBK" w:cs="方正仿宋_GBK"/>
          <w:sz w:val="32"/>
          <w:szCs w:val="32"/>
          <w:lang w:val="zh-TW" w:eastAsia="zh-TW"/>
        </w:rPr>
      </w:pPr>
      <w:r>
        <w:rPr>
          <w:rFonts w:ascii="方正楷体_GBK" w:hAnsi="方正楷体_GBK" w:eastAsia="方正楷体_GBK" w:cs="方正楷体_GBK"/>
          <w:snapToGrid w:val="0"/>
          <w:kern w:val="32"/>
          <w:sz w:val="32"/>
          <w:szCs w:val="32"/>
        </w:rPr>
        <w:t>（一）财政拨款收入：</w:t>
      </w:r>
      <w:r>
        <w:rPr>
          <w:rFonts w:hint="eastAsia" w:hAnsi="方正仿宋_GBK" w:eastAsia="方正仿宋_GBK" w:cs="方正仿宋_GBK"/>
          <w:sz w:val="32"/>
          <w:szCs w:val="32"/>
          <w:lang w:val="zh-TW" w:eastAsia="zh-TW"/>
        </w:rPr>
        <w:t>指本年度从本级财政部门取得的财政拨款，包括一般公共预算财政拨款和政府性基金预算财政拨款。</w:t>
      </w:r>
    </w:p>
    <w:p>
      <w:pPr>
        <w:snapToGrid w:val="0"/>
        <w:spacing w:line="560" w:lineRule="exact"/>
        <w:ind w:firstLine="640" w:firstLineChars="200"/>
        <w:rPr>
          <w:rFonts w:hAnsi="方正仿宋_GBK" w:eastAsia="方正仿宋_GBK" w:cs="方正仿宋_GBK"/>
          <w:sz w:val="32"/>
          <w:szCs w:val="32"/>
          <w:lang w:val="zh-TW" w:eastAsia="zh-TW"/>
        </w:rPr>
      </w:pPr>
      <w:r>
        <w:rPr>
          <w:rFonts w:ascii="方正楷体_GBK" w:hAnsi="方正楷体_GBK" w:eastAsia="方正楷体_GBK" w:cs="方正楷体_GBK"/>
          <w:snapToGrid w:val="0"/>
          <w:kern w:val="32"/>
          <w:sz w:val="32"/>
          <w:szCs w:val="32"/>
        </w:rPr>
        <w:t>（二）事业收入：</w:t>
      </w:r>
      <w:r>
        <w:rPr>
          <w:rFonts w:hint="eastAsia" w:hAnsi="方正仿宋_GBK" w:eastAsia="方正仿宋_GBK" w:cs="方正仿宋_GBK"/>
          <w:sz w:val="32"/>
          <w:szCs w:val="32"/>
          <w:lang w:val="zh-TW" w:eastAsia="zh-TW"/>
        </w:rPr>
        <w:t>指事业单位开展专业业务活动及其辅助活动取得的现金流入；事业单位收到的财政专户实际核拨的教育收费等资金在此反映。</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（三）经营收入：</w:t>
      </w:r>
      <w:r>
        <w:rPr>
          <w:rFonts w:ascii="方正仿宋_GBK" w:hAnsi="Times New Roman" w:eastAsia="方正仿宋_GBK" w:cs="Times New Roman"/>
          <w:snapToGrid w:val="0"/>
          <w:kern w:val="32"/>
          <w:sz w:val="32"/>
        </w:rPr>
        <w:t>指事业单位在专业业务活动及其辅助活动之外开展非独立核算经营活动取得的现金流入。</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（四）其他收入：</w:t>
      </w:r>
      <w:r>
        <w:rPr>
          <w:rFonts w:ascii="方正仿宋_GBK" w:hAnsi="Times New Roman" w:eastAsia="方正仿宋_GBK" w:cs="Times New Roman"/>
          <w:snapToGrid w:val="0"/>
          <w:kern w:val="32"/>
          <w:sz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（五）用事业基金弥补收支差额：</w:t>
      </w:r>
      <w:r>
        <w:rPr>
          <w:rFonts w:ascii="方正仿宋_GBK" w:hAnsi="Times New Roman" w:eastAsia="方正仿宋_GBK" w:cs="Times New Roman"/>
          <w:snapToGrid w:val="0"/>
          <w:kern w:val="32"/>
          <w:sz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（六）年初结转和结余：</w:t>
      </w:r>
      <w:r>
        <w:rPr>
          <w:rFonts w:ascii="方正仿宋_GBK" w:hAnsi="Times New Roman" w:eastAsia="方正仿宋_GBK" w:cs="Times New Roman"/>
          <w:snapToGrid w:val="0"/>
          <w:kern w:val="32"/>
          <w:sz w:val="32"/>
        </w:rPr>
        <w:t>指单位上年结转本年使用的基本支出结转、项目支出结转和结余、经营结余。</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（七）结余分配：</w:t>
      </w:r>
      <w:r>
        <w:rPr>
          <w:rFonts w:ascii="方正仿宋_GBK" w:hAnsi="Times New Roman" w:eastAsia="方正仿宋_GBK" w:cs="Times New Roman"/>
          <w:snapToGrid w:val="0"/>
          <w:kern w:val="32"/>
          <w:sz w:val="32"/>
        </w:rPr>
        <w:t>指单位按照国家有关规定，缴纳所得税、提取专用基金、转入事业基金等当年结余的分配情况。</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（八）年末结转和结余：</w:t>
      </w:r>
      <w:r>
        <w:rPr>
          <w:rFonts w:ascii="方正仿宋_GBK" w:hAnsi="Times New Roman" w:eastAsia="方正仿宋_GBK" w:cs="Times New Roman"/>
          <w:snapToGrid w:val="0"/>
          <w:kern w:val="32"/>
          <w:sz w:val="32"/>
        </w:rPr>
        <w:t>指单位结转下年的基本支出结转、项目支出结转和结余、经营结余。</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（九）基本支出：</w:t>
      </w:r>
      <w:r>
        <w:rPr>
          <w:rFonts w:ascii="方正仿宋_GBK" w:hAnsi="Times New Roman" w:eastAsia="方正仿宋_GBK" w:cs="Times New Roman"/>
          <w:snapToGrid w:val="0"/>
          <w:kern w:val="32"/>
          <w:sz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（十）项目支出：</w:t>
      </w:r>
      <w:r>
        <w:rPr>
          <w:rFonts w:ascii="方正仿宋_GBK" w:hAnsi="Times New Roman" w:eastAsia="方正仿宋_GBK" w:cs="Times New Roman"/>
          <w:snapToGrid w:val="0"/>
          <w:kern w:val="32"/>
          <w:sz w:val="32"/>
        </w:rPr>
        <w:t>指在基本支出之外为完成特定行政任务和事业发展目标所发生的支出。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（十一）经营支出：</w:t>
      </w:r>
      <w:r>
        <w:rPr>
          <w:rFonts w:ascii="方正仿宋_GBK" w:hAnsi="Times New Roman" w:eastAsia="方正仿宋_GBK" w:cs="Times New Roman"/>
          <w:snapToGrid w:val="0"/>
          <w:kern w:val="32"/>
          <w:sz w:val="32"/>
        </w:rPr>
        <w:t>指事业单位在专业业务活动及其辅助活动之外开展非独立核算经营活动发生的支出。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（十二）“三公”经费：</w:t>
      </w:r>
      <w:r>
        <w:rPr>
          <w:rFonts w:ascii="方正仿宋_GBK" w:hAnsi="Times New Roman" w:eastAsia="方正仿宋_GBK" w:cs="Times New Roman"/>
          <w:snapToGrid w:val="0"/>
          <w:kern w:val="32"/>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（十三）机关运行经费：</w:t>
      </w:r>
      <w:r>
        <w:rPr>
          <w:rFonts w:ascii="方正仿宋_GBK" w:hAnsi="Times New Roman" w:eastAsia="方正仿宋_GBK" w:cs="Times New Roman"/>
          <w:snapToGrid w:val="0"/>
          <w:kern w:val="32"/>
          <w:sz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（十四）工资福利支出（支出经济分类科目类级）：</w:t>
      </w:r>
      <w:r>
        <w:rPr>
          <w:rFonts w:ascii="方正仿宋_GBK" w:hAnsi="Times New Roman" w:eastAsia="方正仿宋_GBK" w:cs="Times New Roman"/>
          <w:snapToGrid w:val="0"/>
          <w:kern w:val="32"/>
          <w:sz w:val="32"/>
        </w:rPr>
        <w:t>反映单位开支的在职职工和编制外长期聘用人员的各类劳动报酬，以及为上述人员缴纳的各项社会保险费等。</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（十五）商品和服务支出（支出经济分类科目类级）：</w:t>
      </w:r>
      <w:r>
        <w:rPr>
          <w:rFonts w:ascii="方正仿宋_GBK" w:hAnsi="Times New Roman" w:eastAsia="方正仿宋_GBK" w:cs="Times New Roman"/>
          <w:snapToGrid w:val="0"/>
          <w:kern w:val="32"/>
          <w:sz w:val="32"/>
        </w:rPr>
        <w:t>反映单位购买商品和服务的支出（不包括用于购置固定资产的支出、战略性和应急储备支出）。</w:t>
      </w:r>
    </w:p>
    <w:p>
      <w:pPr>
        <w:snapToGrid w:val="0"/>
        <w:spacing w:line="560" w:lineRule="exact"/>
        <w:ind w:firstLine="640" w:firstLineChars="200"/>
        <w:rPr>
          <w:rFonts w:ascii="方正仿宋_GBK" w:hAnsi="Times New Roman" w:eastAsia="方正仿宋_GBK" w:cs="Times New Roman"/>
          <w:snapToGrid w:val="0"/>
          <w:kern w:val="32"/>
          <w:sz w:val="32"/>
        </w:rPr>
      </w:pPr>
      <w:r>
        <w:rPr>
          <w:rFonts w:ascii="方正楷体_GBK" w:hAnsi="方正楷体_GBK" w:eastAsia="方正楷体_GBK" w:cs="方正楷体_GBK"/>
          <w:snapToGrid w:val="0"/>
          <w:kern w:val="32"/>
          <w:sz w:val="32"/>
          <w:szCs w:val="32"/>
        </w:rPr>
        <w:t>（十六）对个人和家庭的补助（支出经济分类科目类级）：</w:t>
      </w:r>
      <w:r>
        <w:rPr>
          <w:rFonts w:ascii="方正仿宋_GBK" w:hAnsi="Times New Roman" w:eastAsia="方正仿宋_GBK" w:cs="Times New Roman"/>
          <w:snapToGrid w:val="0"/>
          <w:kern w:val="32"/>
          <w:sz w:val="32"/>
        </w:rPr>
        <w:t>反映用于对个人和家庭的补助支出。</w:t>
      </w:r>
    </w:p>
    <w:p>
      <w:pPr>
        <w:snapToGrid w:val="0"/>
        <w:spacing w:line="560" w:lineRule="exact"/>
        <w:ind w:firstLine="640" w:firstLineChars="200"/>
      </w:pPr>
      <w:r>
        <w:rPr>
          <w:rFonts w:ascii="方正楷体_GBK" w:hAnsi="方正楷体_GBK" w:eastAsia="方正楷体_GBK" w:cs="方正楷体_GBK"/>
          <w:snapToGrid w:val="0"/>
          <w:kern w:val="32"/>
          <w:sz w:val="32"/>
          <w:szCs w:val="32"/>
        </w:rPr>
        <w:t>（十七）其他资本性支出（支出经济分类科目类级）：</w:t>
      </w:r>
      <w:r>
        <w:rPr>
          <w:rFonts w:ascii="方正仿宋_GBK" w:hAnsi="Times New Roman" w:eastAsia="方正仿宋_GBK" w:cs="Times New Roman"/>
          <w:snapToGrid w:val="0"/>
          <w:kern w:val="32"/>
          <w:sz w:val="32"/>
        </w:rPr>
        <w:t>反映非各级发展与改革部门集中安排的用于购置固定资产、战略性和应急性储备、土地和无形资产，以及构建基础设施、大型修缮和财政支持企业更新改造所发生的支出。</w:t>
      </w:r>
    </w:p>
    <w:p>
      <w:pPr>
        <w:pStyle w:val="15"/>
        <w:tabs>
          <w:tab w:val="center" w:pos="4153"/>
          <w:tab w:val="left" w:pos="7275"/>
        </w:tabs>
        <w:spacing w:line="560" w:lineRule="exact"/>
        <w:ind w:firstLine="640"/>
        <w:rPr>
          <w:rFonts w:eastAsia="方正黑体_GBK"/>
          <w:sz w:val="32"/>
          <w:szCs w:val="32"/>
        </w:rPr>
      </w:pPr>
      <w:r>
        <w:rPr>
          <w:rFonts w:hint="eastAsia" w:eastAsia="方正黑体_GBK"/>
          <w:sz w:val="32"/>
          <w:szCs w:val="32"/>
        </w:rPr>
        <w:t>七、决算公开联系方式及信息反馈渠道</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部门决算公开联系人：王妍</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联系电话：023-67822433</w:t>
      </w:r>
    </w:p>
    <w:p>
      <w:pPr>
        <w:adjustRightInd w:val="0"/>
        <w:snapToGrid w:val="0"/>
        <w:spacing w:line="600" w:lineRule="exact"/>
        <w:ind w:firstLine="640" w:firstLineChars="200"/>
        <w:rPr>
          <w:rFonts w:ascii="Times New Roman" w:hAnsi="方正仿宋_GBK" w:eastAsia="方正仿宋_GBK" w:cs="方正仿宋_GBK"/>
          <w:sz w:val="32"/>
          <w:szCs w:val="32"/>
          <w:lang w:val="zh-TW" w:eastAsia="zh-TW"/>
        </w:rPr>
      </w:pPr>
      <w:r>
        <w:rPr>
          <w:rFonts w:hint="eastAsia" w:ascii="Times New Roman" w:hAnsi="方正仿宋_GBK" w:eastAsia="方正仿宋_GBK" w:cs="方正仿宋_GBK"/>
          <w:sz w:val="32"/>
          <w:szCs w:val="32"/>
          <w:lang w:val="zh-TW" w:eastAsia="zh-TW"/>
        </w:rPr>
        <w:t>电子邮箱：723110688@qq.com</w:t>
      </w:r>
    </w:p>
    <w:p>
      <w:pPr>
        <w:adjustRightInd w:val="0"/>
        <w:snapToGrid w:val="0"/>
        <w:spacing w:line="600" w:lineRule="exact"/>
        <w:ind w:firstLine="640" w:firstLineChars="200"/>
        <w:jc w:val="left"/>
        <w:rPr>
          <w:rFonts w:ascii="方正仿宋_GBK" w:hAnsi="方正仿宋_GBK" w:eastAsia="方正仿宋_GBK" w:cs="方正仿宋_GBK"/>
          <w:sz w:val="32"/>
          <w:szCs w:val="32"/>
          <w:lang w:val="zh-TW" w:eastAsia="zh-TW"/>
        </w:rPr>
      </w:pPr>
    </w:p>
    <w:p>
      <w:pPr>
        <w:spacing w:line="560" w:lineRule="exact"/>
        <w:rPr>
          <w:lang w:eastAsia="zh-TW"/>
        </w:rPr>
      </w:pPr>
    </w:p>
    <w:sectPr>
      <w:pgSz w:w="11906" w:h="16838"/>
      <w:pgMar w:top="2098" w:right="1474" w:bottom="1984" w:left="1587" w:header="850" w:footer="1417"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ZWQ4YmI3MzZkZTA4ZjJlMzA1Nzk0OGUxMWVlNWIifQ=="/>
  </w:docVars>
  <w:rsids>
    <w:rsidRoot w:val="24C46BA7"/>
    <w:rsid w:val="001A6702"/>
    <w:rsid w:val="002F1E5B"/>
    <w:rsid w:val="0037247F"/>
    <w:rsid w:val="00395FEE"/>
    <w:rsid w:val="005468E4"/>
    <w:rsid w:val="006A4250"/>
    <w:rsid w:val="00C857F3"/>
    <w:rsid w:val="00CE6D8E"/>
    <w:rsid w:val="00DD0491"/>
    <w:rsid w:val="00EF6A16"/>
    <w:rsid w:val="019D15C0"/>
    <w:rsid w:val="035D7E14"/>
    <w:rsid w:val="038134CC"/>
    <w:rsid w:val="061C1F17"/>
    <w:rsid w:val="065F35CC"/>
    <w:rsid w:val="07122AB5"/>
    <w:rsid w:val="07537A15"/>
    <w:rsid w:val="08B97C1D"/>
    <w:rsid w:val="08E04C1D"/>
    <w:rsid w:val="08E2545C"/>
    <w:rsid w:val="095C403B"/>
    <w:rsid w:val="09B174F4"/>
    <w:rsid w:val="0A841392"/>
    <w:rsid w:val="0AB77927"/>
    <w:rsid w:val="0C1B3801"/>
    <w:rsid w:val="0CCE1990"/>
    <w:rsid w:val="0D4B0060"/>
    <w:rsid w:val="0D5A2D1F"/>
    <w:rsid w:val="0E486C7E"/>
    <w:rsid w:val="0F073182"/>
    <w:rsid w:val="0F5D2BC8"/>
    <w:rsid w:val="0F6A0886"/>
    <w:rsid w:val="0FC72972"/>
    <w:rsid w:val="0FD34206"/>
    <w:rsid w:val="106F4084"/>
    <w:rsid w:val="116D6526"/>
    <w:rsid w:val="12280E57"/>
    <w:rsid w:val="136504E5"/>
    <w:rsid w:val="13E833B7"/>
    <w:rsid w:val="14347C33"/>
    <w:rsid w:val="14A20267"/>
    <w:rsid w:val="155733E8"/>
    <w:rsid w:val="160D281D"/>
    <w:rsid w:val="172C5712"/>
    <w:rsid w:val="174E753A"/>
    <w:rsid w:val="19376A6C"/>
    <w:rsid w:val="196C14C4"/>
    <w:rsid w:val="19D05965"/>
    <w:rsid w:val="1B7C6CA6"/>
    <w:rsid w:val="1E266884"/>
    <w:rsid w:val="1E314C15"/>
    <w:rsid w:val="210E463A"/>
    <w:rsid w:val="215705BB"/>
    <w:rsid w:val="22B41E7B"/>
    <w:rsid w:val="22C70E9C"/>
    <w:rsid w:val="237F5BEA"/>
    <w:rsid w:val="238A60CB"/>
    <w:rsid w:val="24C46BA7"/>
    <w:rsid w:val="25413B2E"/>
    <w:rsid w:val="271649AE"/>
    <w:rsid w:val="27D74A6C"/>
    <w:rsid w:val="27E3087F"/>
    <w:rsid w:val="28FE708E"/>
    <w:rsid w:val="29305894"/>
    <w:rsid w:val="2B6E0FFB"/>
    <w:rsid w:val="2BAE6336"/>
    <w:rsid w:val="2BDC5B80"/>
    <w:rsid w:val="2C7A0008"/>
    <w:rsid w:val="2DB77A10"/>
    <w:rsid w:val="2F137DF4"/>
    <w:rsid w:val="31740730"/>
    <w:rsid w:val="318870A7"/>
    <w:rsid w:val="319A5554"/>
    <w:rsid w:val="33F474CA"/>
    <w:rsid w:val="354322F5"/>
    <w:rsid w:val="35486E0B"/>
    <w:rsid w:val="36055FB1"/>
    <w:rsid w:val="365537B1"/>
    <w:rsid w:val="370F373B"/>
    <w:rsid w:val="39275228"/>
    <w:rsid w:val="3B261E1B"/>
    <w:rsid w:val="3BDA7340"/>
    <w:rsid w:val="3BEC455E"/>
    <w:rsid w:val="3C26613B"/>
    <w:rsid w:val="3C743206"/>
    <w:rsid w:val="3D670BAD"/>
    <w:rsid w:val="3D98639D"/>
    <w:rsid w:val="3E561C53"/>
    <w:rsid w:val="3F800DD6"/>
    <w:rsid w:val="40534C9E"/>
    <w:rsid w:val="41284CB9"/>
    <w:rsid w:val="423D1FE6"/>
    <w:rsid w:val="42BC209C"/>
    <w:rsid w:val="43C967C1"/>
    <w:rsid w:val="45AB7FDC"/>
    <w:rsid w:val="45C45302"/>
    <w:rsid w:val="45CD5153"/>
    <w:rsid w:val="45F22799"/>
    <w:rsid w:val="460C4D16"/>
    <w:rsid w:val="489D7FE5"/>
    <w:rsid w:val="48C10235"/>
    <w:rsid w:val="48CE1E02"/>
    <w:rsid w:val="48DA3819"/>
    <w:rsid w:val="49F772E6"/>
    <w:rsid w:val="4A0158BA"/>
    <w:rsid w:val="4B266C82"/>
    <w:rsid w:val="4CC1535C"/>
    <w:rsid w:val="4EF43425"/>
    <w:rsid w:val="505F6CEB"/>
    <w:rsid w:val="516F6B28"/>
    <w:rsid w:val="521D59C7"/>
    <w:rsid w:val="54791FA3"/>
    <w:rsid w:val="563801EB"/>
    <w:rsid w:val="57E0767D"/>
    <w:rsid w:val="57F86A62"/>
    <w:rsid w:val="58B16F5C"/>
    <w:rsid w:val="597936DB"/>
    <w:rsid w:val="5AB3215E"/>
    <w:rsid w:val="5B501C5C"/>
    <w:rsid w:val="5C1D392E"/>
    <w:rsid w:val="5CC03137"/>
    <w:rsid w:val="5DB239C4"/>
    <w:rsid w:val="5DE83E9E"/>
    <w:rsid w:val="5E502163"/>
    <w:rsid w:val="5F0F753D"/>
    <w:rsid w:val="5F5A62FF"/>
    <w:rsid w:val="619B20B1"/>
    <w:rsid w:val="62022A30"/>
    <w:rsid w:val="6270722B"/>
    <w:rsid w:val="63364050"/>
    <w:rsid w:val="64133AED"/>
    <w:rsid w:val="647479C5"/>
    <w:rsid w:val="64F81894"/>
    <w:rsid w:val="652B6A8A"/>
    <w:rsid w:val="66606A9C"/>
    <w:rsid w:val="66EC0C69"/>
    <w:rsid w:val="691050EB"/>
    <w:rsid w:val="69CF7AA8"/>
    <w:rsid w:val="6A9B5EF7"/>
    <w:rsid w:val="6AA56806"/>
    <w:rsid w:val="6B0E4BB1"/>
    <w:rsid w:val="6BDA557E"/>
    <w:rsid w:val="6C6311A9"/>
    <w:rsid w:val="6C640A23"/>
    <w:rsid w:val="6D796EAE"/>
    <w:rsid w:val="6F7A1A84"/>
    <w:rsid w:val="70365364"/>
    <w:rsid w:val="72287F03"/>
    <w:rsid w:val="72EF7F11"/>
    <w:rsid w:val="73161F27"/>
    <w:rsid w:val="74A024E4"/>
    <w:rsid w:val="74B01CC8"/>
    <w:rsid w:val="754D0FD2"/>
    <w:rsid w:val="78CA75F1"/>
    <w:rsid w:val="799376E3"/>
    <w:rsid w:val="79F80A27"/>
    <w:rsid w:val="7A080C96"/>
    <w:rsid w:val="7A3716B3"/>
    <w:rsid w:val="7AA8500B"/>
    <w:rsid w:val="7ABE73E7"/>
    <w:rsid w:val="7C564958"/>
    <w:rsid w:val="7C8F12AC"/>
    <w:rsid w:val="7D160944"/>
    <w:rsid w:val="7D276660"/>
    <w:rsid w:val="7D99569A"/>
    <w:rsid w:val="7DFA443A"/>
    <w:rsid w:val="7E347794"/>
    <w:rsid w:val="7EB46E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Indent"/>
    <w:basedOn w:val="1"/>
    <w:uiPriority w:val="0"/>
    <w:pPr>
      <w:spacing w:after="120"/>
      <w:ind w:left="420" w:leftChars="200"/>
    </w:pPr>
    <w:rPr>
      <w:rFonts w:ascii="Calibri" w:hAnsi="Calibri"/>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1">
    <w:name w:val="_Style 1"/>
    <w:basedOn w:val="1"/>
    <w:qFormat/>
    <w:uiPriority w:val="34"/>
    <w:pPr>
      <w:ind w:firstLine="420" w:firstLineChars="200"/>
    </w:pPr>
  </w:style>
  <w:style w:type="paragraph" w:customStyle="1" w:styleId="12">
    <w:name w:val="_Style 2"/>
    <w:basedOn w:val="1"/>
    <w:qFormat/>
    <w:uiPriority w:val="34"/>
    <w:pPr>
      <w:ind w:firstLine="420" w:firstLineChars="200"/>
    </w:pPr>
  </w:style>
  <w:style w:type="character" w:customStyle="1" w:styleId="13">
    <w:name w:val="页眉 Char"/>
    <w:basedOn w:val="7"/>
    <w:link w:val="5"/>
    <w:qFormat/>
    <w:uiPriority w:val="0"/>
    <w:rPr>
      <w:rFonts w:asciiTheme="minorHAnsi" w:hAnsiTheme="minorHAnsi" w:eastAsiaTheme="minorEastAsia" w:cstheme="minorBidi"/>
      <w:kern w:val="2"/>
      <w:sz w:val="18"/>
      <w:szCs w:val="18"/>
    </w:rPr>
  </w:style>
  <w:style w:type="character" w:customStyle="1" w:styleId="14">
    <w:name w:val="页脚 Char"/>
    <w:basedOn w:val="7"/>
    <w:link w:val="4"/>
    <w:qFormat/>
    <w:uiPriority w:val="0"/>
    <w:rPr>
      <w:rFonts w:asciiTheme="minorHAnsi" w:hAnsiTheme="minorHAnsi" w:eastAsiaTheme="minorEastAsia" w:cstheme="minorBidi"/>
      <w:kern w:val="2"/>
      <w:sz w:val="18"/>
      <w:szCs w:val="18"/>
    </w:rPr>
  </w:style>
  <w:style w:type="paragraph" w:customStyle="1" w:styleId="15">
    <w:name w:val="List Paragraph"/>
    <w:basedOn w:val="1"/>
    <w:qFormat/>
    <w:uiPriority w:val="34"/>
    <w:pPr>
      <w:ind w:firstLine="420" w:firstLineChars="200"/>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1094</Words>
  <Characters>6242</Characters>
  <Lines>52</Lines>
  <Paragraphs>14</Paragraphs>
  <TotalTime>22</TotalTime>
  <ScaleCrop>false</ScaleCrop>
  <LinksUpToDate>false</LinksUpToDate>
  <CharactersWithSpaces>7322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2022-08-16T03:04:00Z</dcterms:created>
  <dc:creator>Administrator</dc:creator>
  <cp:lastModifiedBy>USER</cp:lastModifiedBy>
  <dcterms:modified xsi:type="dcterms:W3CDTF">2024-02-28T06:36:51Z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62C2F2E5F2A14CACAB2D3E1311001F0E_12</vt:lpwstr>
  </property>
</Properties>
</file>