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100" w:firstLineChars="25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重庆市渝北区水土保持管理站</w:t>
      </w:r>
    </w:p>
    <w:p>
      <w:pPr>
        <w:spacing w:line="560" w:lineRule="exact"/>
        <w:ind w:firstLine="1100" w:firstLineChars="25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2022年度部门决算情况说明</w:t>
      </w:r>
    </w:p>
    <w:p>
      <w:pPr>
        <w:spacing w:line="560" w:lineRule="exact"/>
        <w:ind w:firstLine="1100" w:firstLineChars="250"/>
        <w:jc w:val="center"/>
        <w:rPr>
          <w:rFonts w:ascii="Times New Roman" w:hAnsi="Times New Roman" w:eastAsia="方正小标宋_GBK" w:cs="Times New Roman"/>
          <w:sz w:val="44"/>
          <w:szCs w:val="44"/>
        </w:rPr>
      </w:pP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一、部门基本情况</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根据《重庆市渝北区机构编制委员会办公室关于印发区水利局所属事业单位宗旨和职责任务的通知》（渝北编办〔2015〕391号）精神，我站主要宗旨为预防和治理水土流失，改善生态环境。具体如下：</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1.主要职责任务</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水土保持规划编制及实施；水土流失预防和治理管理；水土保持监测和监督管理；水土保持科技推广和法制宣传。</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2.具体职责任务</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受区水利局委托，承担以下具体职责任务：</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（1）水土保持规划编制及实施。主要包括依据水土流失调查结果，划定重点预防区和重点治理区，编制本区水土保持总体规划和年度计划，并组织实施。</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水土流失预防和治理管理。主要包括督促生产建设单位水土保持方案编制，监管生产建设单位对三同时制度的执行情况。组织生产建设项目水土保持设施的竣工验收工作。组织重点水土保持建设项目的实施，鼓励社会参与治理水土流失，加强对水土保持工程的建设管理，建立和完善运行管护制度。</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3）水土保持监测和监督管理。主要包括合理布局水土流失监测站点，建立水土保持监测网络，开展水土流失监测工作，掌握全区水土流失动态，为上级部门及领导提供决策依据。对水土保持情况进行监督检查，协助查处水土保持违法案件，协调处理水土流失防治纠纷。</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（4）水土保持科技推广和法制宣传。主要包括水土保持科技推广工作，指导水土保持服务体系建设，加强水土保持宣传和教育工作，普及水土保持科学知识，增强公众的水土保持意识。</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（5）内部运行管理工作。主要包括了日常运营、维护（基础设施维护、安全保卫、物业管理等），单位内部人事、财务等管理工作。</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spacing w:line="560" w:lineRule="exact"/>
        <w:ind w:firstLine="640"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我站是渝北区水利局所属二级预算单位，没有内设机构。</w:t>
      </w: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二、部门决算情况说明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spacing w:line="560" w:lineRule="exact"/>
        <w:ind w:firstLine="643"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1.总体情况。</w:t>
      </w:r>
      <w:r>
        <w:rPr>
          <w:rFonts w:hint="eastAsia" w:ascii="Times New Roman" w:hAnsi="方正仿宋_GBK" w:eastAsia="方正仿宋_GBK" w:cs="方正仿宋_GBK"/>
          <w:sz w:val="32"/>
          <w:szCs w:val="32"/>
        </w:rPr>
        <w:t>2022年度收入总计719.25万元，支出总计719.25万元。收支较上年决算数减少49.72万元,下降6.5%，主要原因是小流域综合站建设已于去年完成，今年不再继续投入建设。</w:t>
      </w:r>
    </w:p>
    <w:p>
      <w:pPr>
        <w:spacing w:line="560" w:lineRule="exact"/>
        <w:ind w:firstLine="643"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2.收入情况。</w:t>
      </w:r>
      <w:r>
        <w:rPr>
          <w:rFonts w:hint="eastAsia" w:ascii="Times New Roman" w:hAnsi="方正仿宋_GBK" w:eastAsia="方正仿宋_GBK" w:cs="方正仿宋_GBK"/>
          <w:sz w:val="32"/>
          <w:szCs w:val="32"/>
        </w:rPr>
        <w:t>2022年度收入合计719.25万元，较上年决算数减少49.72万元,下降6.5%，主要原因是小流域综合站建设已于去年完成，今年不再继续投入建设。其中：财政拨款收入719.25万元，占100.0%。</w:t>
      </w:r>
    </w:p>
    <w:p>
      <w:pPr>
        <w:spacing w:line="560" w:lineRule="exact"/>
        <w:ind w:firstLine="643" w:firstLineChars="200"/>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3.支出情况。</w:t>
      </w:r>
      <w:r>
        <w:rPr>
          <w:rFonts w:hint="eastAsia" w:ascii="Times New Roman" w:hAnsi="方正仿宋_GBK" w:eastAsia="方正仿宋_GBK" w:cs="方正仿宋_GBK"/>
          <w:sz w:val="32"/>
          <w:szCs w:val="32"/>
        </w:rPr>
        <w:t>2022年度支出合计719.25万元，较上年决算数减少49.72万元,下降6.5%，主要原因是小流域综合站建设已于去年完成，今年不再继续投入建设。其中：基本支出321.58万元，占44.7%；项目支出397.67万元，占55.3%。</w:t>
      </w:r>
    </w:p>
    <w:p>
      <w:pPr>
        <w:spacing w:line="560" w:lineRule="exact"/>
        <w:ind w:firstLine="643" w:firstLineChars="200"/>
        <w:rPr>
          <w:rFonts w:ascii="方正仿宋_GBK" w:hAnsi="仿宋_GB2312" w:eastAsia="方正仿宋_GBK" w:cs="仿宋_GB2312"/>
          <w:sz w:val="32"/>
        </w:rPr>
      </w:pPr>
      <w:r>
        <w:rPr>
          <w:rFonts w:hint="eastAsia" w:ascii="Times New Roman" w:hAnsi="方正仿宋_GBK" w:eastAsia="方正仿宋_GBK" w:cs="方正仿宋_GBK"/>
          <w:b/>
          <w:bCs/>
          <w:sz w:val="32"/>
          <w:szCs w:val="32"/>
        </w:rPr>
        <w:t>4.结转结余情况。</w:t>
      </w:r>
      <w:r>
        <w:rPr>
          <w:rFonts w:hint="eastAsia" w:ascii="Times New Roman" w:hAnsi="方正仿宋_GBK" w:eastAsia="方正仿宋_GBK" w:cs="方正仿宋_GBK"/>
          <w:sz w:val="32"/>
          <w:szCs w:val="32"/>
        </w:rPr>
        <w:t>2022年度年末结转和结余0.00万元，较上年决算数增加0.00万元，增长0.0%，主要原因是上年和本年我站均无结转结余情况。</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widowControl/>
        <w:shd w:val="clear" w:color="auto" w:fill="FFFFFF"/>
        <w:ind w:firstLine="640" w:firstLineChars="200"/>
        <w:jc w:val="left"/>
        <w:rPr>
          <w:rFonts w:ascii="方正仿宋_GBK" w:hAnsi="仿宋_GB2312" w:eastAsia="方正仿宋_GBK" w:cs="仿宋_GB2312"/>
          <w:sz w:val="32"/>
        </w:rPr>
      </w:pPr>
      <w:r>
        <w:rPr>
          <w:rFonts w:hint="eastAsia" w:ascii="Times New Roman" w:hAnsi="方正仿宋_GBK" w:eastAsia="方正仿宋_GBK" w:cs="方正仿宋_GBK"/>
          <w:sz w:val="32"/>
          <w:szCs w:val="32"/>
        </w:rPr>
        <w:t>2022年度财政拨款收、支总计719.25万元。与2021年相比，财政拨款收、支总计各减少49.72万元，下降6.5%。主要原因是小流域综合站建设已于去年完成，今年不再继续投入建设。</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widowControl/>
        <w:shd w:val="clear" w:color="auto" w:fill="FFFFFF"/>
        <w:ind w:firstLine="643"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1.收入情况。</w:t>
      </w:r>
      <w:r>
        <w:rPr>
          <w:rFonts w:hint="eastAsia" w:ascii="Times New Roman" w:hAnsi="方正仿宋_GBK" w:eastAsia="方正仿宋_GBK" w:cs="方正仿宋_GBK"/>
          <w:sz w:val="32"/>
          <w:szCs w:val="32"/>
        </w:rPr>
        <w:t>2022年度一般公共预算财政拨款收入488.33万元，较上年决算数减少97.88万元，下降16.7%。主要原因是小流域综合站建设已于去年完成，今年不再继续投入建设。较年初预算数减少11.99万元，下降2.4%。主要原因也是小流域综合站建设已于去年完成，今年不再继续投入建设。此外，年初财政拨款结转和结余0.00万元。</w:t>
      </w:r>
    </w:p>
    <w:p>
      <w:pPr>
        <w:widowControl/>
        <w:shd w:val="clear" w:color="auto" w:fill="FFFFFF"/>
        <w:ind w:firstLine="643"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2.支出情况。</w:t>
      </w:r>
      <w:r>
        <w:rPr>
          <w:rFonts w:hint="eastAsia" w:ascii="Times New Roman" w:hAnsi="方正仿宋_GBK" w:eastAsia="方正仿宋_GBK" w:cs="方正仿宋_GBK"/>
          <w:sz w:val="32"/>
          <w:szCs w:val="32"/>
        </w:rPr>
        <w:t>2022年度一般公共预算财政拨款支出488.33万元，较上年决算数减少97.88万元，下降16.7%。主要原因是小流域综合站建设已于去年完成，今年不再继续投入建设。较年初预算数减少11.99万元，下降2.4%。主要原因也是小流域综合站建设已于去年完成，今年不再继续投入建设。</w:t>
      </w:r>
    </w:p>
    <w:p>
      <w:pPr>
        <w:widowControl/>
        <w:shd w:val="clear" w:color="auto" w:fill="FFFFFF"/>
        <w:ind w:firstLine="643"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3.结转结余情况。</w:t>
      </w:r>
      <w:r>
        <w:rPr>
          <w:rFonts w:hint="eastAsia" w:ascii="Times New Roman" w:hAnsi="方正仿宋_GBK" w:eastAsia="方正仿宋_GBK" w:cs="方正仿宋_GBK"/>
          <w:sz w:val="32"/>
          <w:szCs w:val="32"/>
        </w:rPr>
        <w:t>2022年度年末一般公共预算财政拨款结转和结余0.00万元，较上年决算数增加0.00万元，增长0.0%，主要原因是上年和本年我站均无结转结余情况。</w:t>
      </w:r>
    </w:p>
    <w:p>
      <w:pPr>
        <w:widowControl/>
        <w:shd w:val="clear" w:color="auto" w:fill="FFFFFF"/>
        <w:ind w:firstLine="643"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b/>
          <w:bCs/>
          <w:sz w:val="32"/>
          <w:szCs w:val="32"/>
        </w:rPr>
        <w:t>4.比较情况。</w:t>
      </w:r>
      <w:r>
        <w:rPr>
          <w:rFonts w:hint="eastAsia" w:ascii="Times New Roman" w:hAnsi="方正仿宋_GBK" w:eastAsia="方正仿宋_GBK" w:cs="方正仿宋_GBK"/>
          <w:sz w:val="32"/>
          <w:szCs w:val="32"/>
        </w:rPr>
        <w:t>本部门2022年度一般公共预算财政拨款支出主要用于以下几个方面：</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（1）社会保障与就业支出44.31万元，占9.1%，较年初预算数增加8.44万元，增长23.5%，主要原因是社会保险基数调整增加。</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（2）卫生健康支出13.87万元，占2.8%，较年初预算数增加2.02万元，增长17%，主要原因是工资参数约有变化 。</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（3）农林水支出417.6</w:t>
      </w:r>
      <w:r>
        <w:rPr>
          <w:rFonts w:hint="eastAsia" w:ascii="Times New Roman" w:hAnsi="方正仿宋_GBK" w:eastAsia="方正仿宋_GBK" w:cs="方正仿宋_GBK"/>
          <w:sz w:val="32"/>
          <w:szCs w:val="32"/>
          <w:lang w:val="en-US" w:eastAsia="zh-CN"/>
        </w:rPr>
        <w:t>9</w:t>
      </w:r>
      <w:r>
        <w:rPr>
          <w:rFonts w:hint="eastAsia" w:ascii="Times New Roman" w:hAnsi="方正仿宋_GBK" w:eastAsia="方正仿宋_GBK" w:cs="方正仿宋_GBK"/>
          <w:sz w:val="32"/>
          <w:szCs w:val="32"/>
        </w:rPr>
        <w:t>万元，占85.5%，较年初预算数减少24.48万元，下降5.5%，主要原因是小流域综合站建设已于去年完成，今年不再继续投入建设。</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（4）住房保障支出12.46万元，占2.6%，较年初预算数增加2.03万元，增长19.5%，主要原因是年中追加了住房补贴。</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一般公共财政拨款基本支出321.58万元。其中：人员经费229.39万元，较上年决算数增加36.22万元，增长18.8%，主要原因是上年度内预发了下年度的在职人员年终目标考核和退休人员健康休养费，本年度内未预发。人员经费用途主要包括基本工资、津贴补贴、奖金、绩效工资、机关事业单位基本养老保险缴费、职业年金缴费、职工基本医疗保险缴费、公务员医疗补助缴费、其他社会保障缴费、住房公积金、医疗费、生活补助、其他工资福利支出。公用经费92.19万元，较上年决算数增加14.24万元，增长18.3%，主要原因是今年出现多年不遇的连晴干旱天气，作为水利部门必须经常深入基层了解情况、处理问题，保障人民生活生产用水需要，因此增加了公用经费开支。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政府性基金预算财政拨款年初结转结余0.00万元，年末结转结余0.00万元。本年收入230.93万元，较上年决算数增加48.17万元，增长26.4%，主要原因是今年增加了基建项目拨款，如三峡后续工作（渝北区御临河东河小流域水土保持监测系统治理项目）项目拨款；</w:t>
      </w:r>
      <w:r>
        <w:rPr>
          <w:rFonts w:ascii="Times New Roman" w:hAnsi="方正仿宋_GBK" w:eastAsia="方正仿宋_GBK" w:cs="方正仿宋_GBK"/>
          <w:sz w:val="32"/>
          <w:szCs w:val="32"/>
        </w:rPr>
        <w:t>较年初预算数下降286.32万元，下降55.4%，主要原因是</w:t>
      </w:r>
      <w:r>
        <w:rPr>
          <w:rFonts w:hint="eastAsia" w:ascii="Times New Roman" w:hAnsi="方正仿宋_GBK" w:eastAsia="方正仿宋_GBK" w:cs="方正仿宋_GBK"/>
          <w:sz w:val="32"/>
          <w:szCs w:val="32"/>
        </w:rPr>
        <w:t>财政年中追减了基建项目拨款，如三峡后续工作（渝北区御临河东河小流域水土保持监测系统治理项目）项目。本年支出230.93万元，较上年决算数增加48.17万元，增长26.4%，主要原因是今年增加了基建项目拨款，如三峡后续工作（渝北区御临河东河小流域水土保持监测系统治理项目）项目拨款；</w:t>
      </w:r>
      <w:r>
        <w:rPr>
          <w:rFonts w:ascii="Times New Roman" w:hAnsi="方正仿宋_GBK" w:eastAsia="方正仿宋_GBK" w:cs="方正仿宋_GBK"/>
          <w:sz w:val="32"/>
          <w:szCs w:val="32"/>
        </w:rPr>
        <w:t>较预算</w:t>
      </w:r>
      <w:r>
        <w:rPr>
          <w:rFonts w:hint="eastAsia" w:ascii="Times New Roman" w:hAnsi="方正仿宋_GBK" w:eastAsia="方正仿宋_GBK" w:cs="方正仿宋_GBK"/>
          <w:sz w:val="32"/>
          <w:szCs w:val="32"/>
        </w:rPr>
        <w:t>支出</w:t>
      </w:r>
      <w:r>
        <w:rPr>
          <w:rFonts w:ascii="Times New Roman" w:hAnsi="方正仿宋_GBK" w:eastAsia="方正仿宋_GBK" w:cs="方正仿宋_GBK"/>
          <w:sz w:val="32"/>
          <w:szCs w:val="32"/>
        </w:rPr>
        <w:t>数下降286.32万元，下降55.4%，主要原因是</w:t>
      </w:r>
      <w:r>
        <w:rPr>
          <w:rFonts w:hint="eastAsia" w:ascii="Times New Roman" w:hAnsi="方正仿宋_GBK" w:eastAsia="方正仿宋_GBK" w:cs="方正仿宋_GBK"/>
          <w:sz w:val="32"/>
          <w:szCs w:val="32"/>
        </w:rPr>
        <w:t>财政年中追减了基建项目拨款，如三峡后续工作（渝北区御临河东河小流域水土保持监测系统治理项目）项目。</w:t>
      </w:r>
    </w:p>
    <w:p>
      <w:pPr>
        <w:widowControl/>
        <w:shd w:val="clear" w:color="auto" w:fill="FFFFFF"/>
        <w:ind w:firstLine="640" w:firstLineChars="200"/>
        <w:jc w:val="center"/>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我站2022年度无国有资本经营预算财政拨款支出。</w:t>
      </w: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三、“三公”经费情况说明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三公”经费支出共计0.90万元，与年初预算持平，主要原因是我站严格执行预算，坚持预算刚性约束。较上年支出数增加0.06万元，增长7.1%，主要原因是今年上级加大了对水利事业的检查督查力度，在此情况下，我单位仍严格按预算控制支出，虽比上年略有增加，但未超年初预算数。</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本部门因公出国（境）费用0.00万元，主要是用于主要是用于因公出国（境）支出。费用支出较年初预算数增加0.00万元，增长0.0%，较上年支出数增加0.00万元，增长0.0%，主要原因是上年及本年我站均未安排也未支出因公出国（境）费用。</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公务车购置费0.00万元，主要用于公务用车的购置。费用支出较年初预算数增加0.00万元，增长0.0%，较上年支出数增加0.00万元，增长0.0%，主要原因是上年及本年我站均未安排也未支出公务车购置费。</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公务车运行维护费0.00万元，主要用于公务用车的运行维护。费用支出较年初预算数增加0.00万元，增长0.0%，较上年支出数增加0.00万元，增长0.0%，主要原因是上年及本年我站没有公务用车，均未安排也未支出公务车运行维护费。</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公务接待费0.90万元，主要用于接待其他区县水利部门到我区交流学习，接受相关部门检查指导工作发生的接待支出。费用支出较年初预算数持平，主要原因是我局严格执行预算，坚持预算刚性约束。较上年支出数增加0.06万元，增长7.1%，主要原因是今年上级加大了对水利事业的检查督查力度，在此情况下，我单位仍严格按预算控制支出，虽比上年略有增加，但未超年初预算数。</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本部门因公出国（境）共计0个团组，0人；公务用车购置0辆，公务车保有量为0辆；国内公务接待23批次225人，其中：国内外事接待0批次，0人；国（境）外公务接待0批次，0人。2022年本部门人均接待费40.00元，车均购置费0.00万元，车均维护费0.00万元。</w:t>
      </w: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四、其他需要说明的事项</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本年度会议费支出0.00万元，较上年决算数增加0.00万元，增长0.0%，主要原因是今年没有安排会议。本年度培训费支出0.67万元，较上年决算数增加0.67万元，增长0.0%，主要原因是这是职工教育经费，今年对职工进行了必要的培训，上年没有开展。</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本部门机关运行经费支出92.19万元，机关运行经费主要用于开支办公费、印刷费、咨询费、手续费、水费、电费、邮电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机关运行经费较上年决算数增加14.24万元，增长18.3%，主要原因是今年出现多年不遇的连晴干旱天气，作为水利部门必须经常深入基层了解情况、处理问题，保障人民生活生产用水需要，因此开支了较多的机关运行经费。</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2022年度本部门政府采购支出总额146.90万元，其中：政府采购货物支出146.90万元、政府采购工程支出0.00万元、政府采购服务支出0.00万元。授予中小企业合同金额146.90万元，占政府采购支出总额的100%，其中：授予小微企业合同金额146.90万元，占政府采购支出总额的100%。主要用于采购渝北区御临河东河小流域水土保持监测设备。</w:t>
      </w: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五、预算绩效管理情况说明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根据预算绩效管理要求，我站对</w:t>
      </w:r>
      <w:bookmarkStart w:id="0" w:name="_GoBack"/>
      <w:bookmarkEnd w:id="0"/>
      <w:r>
        <w:rPr>
          <w:rFonts w:hint="eastAsia" w:ascii="Times New Roman" w:hAnsi="方正仿宋_GBK" w:eastAsia="方正仿宋_GBK" w:cs="方正仿宋_GBK"/>
          <w:sz w:val="32"/>
          <w:szCs w:val="32"/>
        </w:rPr>
        <w:t>8个项目开展了绩效自评，其中，以填报目标自评表形式开展自评8项，涉及资金397.67万元；以委托第三方形式开展绩效自评0项，涉及资金0.00万元，从评价情况来看，我站这些项目均达到了预期绩效目标。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widowControl/>
        <w:shd w:val="clear" w:color="auto" w:fill="FFFFFF"/>
        <w:ind w:firstLine="640" w:firstLineChars="200"/>
        <w:jc w:val="left"/>
        <w:rPr>
          <w:rFonts w:ascii="方正仿宋_GBK" w:hAnsi="仿宋_GB2312" w:eastAsia="方正仿宋_GBK" w:cs="仿宋_GB2312"/>
          <w:color w:val="000000" w:themeColor="text1"/>
          <w:sz w:val="32"/>
        </w:rPr>
      </w:pPr>
      <w:r>
        <w:rPr>
          <w:rFonts w:hint="eastAsia" w:ascii="方正仿宋_GBK" w:hAnsi="仿宋_GB2312" w:eastAsia="方正仿宋_GBK" w:cs="仿宋_GB2312"/>
          <w:sz w:val="32"/>
        </w:rPr>
        <w:t>1.绩效目标自评表</w:t>
      </w:r>
    </w:p>
    <w:p>
      <w:pPr>
        <w:widowControl/>
        <w:shd w:val="clear" w:color="auto" w:fill="FFFFFF"/>
        <w:ind w:firstLine="640" w:firstLineChars="200"/>
        <w:jc w:val="left"/>
        <w:rPr>
          <w:rFonts w:ascii="方正仿宋_GBK" w:hAnsi="仿宋_GB2312" w:eastAsia="方正仿宋_GBK" w:cs="仿宋_GB2312"/>
          <w:sz w:val="32"/>
        </w:rPr>
      </w:pPr>
    </w:p>
    <w:p>
      <w:pPr>
        <w:widowControl/>
        <w:shd w:val="clear" w:color="auto" w:fill="FFFFFF"/>
        <w:ind w:firstLine="640" w:firstLineChars="200"/>
        <w:jc w:val="left"/>
        <w:rPr>
          <w:rFonts w:ascii="方正仿宋_GBK" w:hAnsi="仿宋_GB2312" w:eastAsia="方正仿宋_GBK" w:cs="仿宋_GB2312"/>
          <w:sz w:val="32"/>
        </w:rPr>
      </w:pPr>
    </w:p>
    <w:p>
      <w:pPr>
        <w:widowControl/>
        <w:shd w:val="clear" w:color="auto" w:fill="FFFFFF"/>
        <w:ind w:firstLine="640" w:firstLineChars="200"/>
        <w:jc w:val="left"/>
        <w:rPr>
          <w:rFonts w:ascii="方正仿宋_GBK" w:hAnsi="仿宋_GB2312" w:eastAsia="方正仿宋_GBK" w:cs="仿宋_GB2312"/>
          <w:sz w:val="32"/>
        </w:rPr>
      </w:pPr>
    </w:p>
    <w:p>
      <w:pPr>
        <w:widowControl/>
        <w:shd w:val="clear" w:color="auto" w:fill="FFFFFF"/>
        <w:ind w:firstLine="640" w:firstLineChars="200"/>
        <w:jc w:val="left"/>
        <w:rPr>
          <w:rFonts w:ascii="方正仿宋_GBK" w:hAnsi="仿宋_GB2312" w:eastAsia="方正仿宋_GBK" w:cs="仿宋_GB2312"/>
          <w:sz w:val="32"/>
        </w:rPr>
      </w:pPr>
    </w:p>
    <w:tbl>
      <w:tblPr>
        <w:tblStyle w:val="10"/>
        <w:tblW w:w="9041" w:type="dxa"/>
        <w:tblInd w:w="0" w:type="dxa"/>
        <w:tblLayout w:type="fixed"/>
        <w:tblCellMar>
          <w:top w:w="15" w:type="dxa"/>
          <w:left w:w="15" w:type="dxa"/>
          <w:bottom w:w="15" w:type="dxa"/>
          <w:right w:w="15" w:type="dxa"/>
        </w:tblCellMar>
      </w:tblPr>
      <w:tblGrid>
        <w:gridCol w:w="988"/>
        <w:gridCol w:w="88"/>
        <w:gridCol w:w="310"/>
        <w:gridCol w:w="430"/>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15" w:type="dxa"/>
            <w:left w:w="15" w:type="dxa"/>
            <w:bottom w:w="15" w:type="dxa"/>
            <w:right w:w="15" w:type="dxa"/>
          </w:tblCellMar>
        </w:tblPrEx>
        <w:trPr>
          <w:trHeight w:val="795"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水土保持监测站点运行维护</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50011221T000000037938</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color w:val="000000"/>
                <w:sz w:val="15"/>
                <w:szCs w:val="15"/>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项目主管部门：</w:t>
            </w:r>
          </w:p>
          <w:p>
            <w:pPr>
              <w:jc w:val="right"/>
              <w:rPr>
                <w:rFonts w:asciiTheme="minorEastAsia" w:hAnsiTheme="minorEastAsia"/>
                <w:b/>
                <w:bCs/>
                <w:color w:val="000000"/>
                <w:sz w:val="15"/>
                <w:szCs w:val="15"/>
              </w:rPr>
            </w:pP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p>
            <w:pPr>
              <w:ind w:firstLine="150" w:firstLineChars="100"/>
              <w:rPr>
                <w:rFonts w:asciiTheme="minorEastAsia" w:hAnsiTheme="minorEastAsia"/>
                <w:color w:val="000000"/>
                <w:sz w:val="15"/>
                <w:szCs w:val="15"/>
              </w:rPr>
            </w:pP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86016409</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15" w:type="dxa"/>
            <w:left w:w="15" w:type="dxa"/>
            <w:bottom w:w="15" w:type="dxa"/>
            <w:right w:w="15" w:type="dxa"/>
          </w:tblCellMar>
        </w:tblPrEx>
        <w:trPr>
          <w:trHeight w:val="495"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15" w:type="dxa"/>
            <w:left w:w="15" w:type="dxa"/>
            <w:bottom w:w="15" w:type="dxa"/>
            <w:right w:w="15" w:type="dxa"/>
          </w:tblCellMar>
        </w:tblPrEx>
        <w:trPr>
          <w:trHeight w:val="392"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187,200.00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187,200.00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187,200.00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15" w:type="dxa"/>
            <w:left w:w="15" w:type="dxa"/>
            <w:bottom w:w="15" w:type="dxa"/>
            <w:right w:w="15" w:type="dxa"/>
          </w:tblCellMar>
        </w:tblPrEx>
        <w:trPr>
          <w:trHeight w:val="426"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187,200.00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187,200.00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187,200.00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15" w:type="dxa"/>
            <w:left w:w="15" w:type="dxa"/>
            <w:bottom w:w="15" w:type="dxa"/>
            <w:right w:w="15" w:type="dxa"/>
          </w:tblCellMar>
        </w:tblPrEx>
        <w:trPr>
          <w:trHeight w:val="495" w:hRule="atLeast"/>
        </w:trPr>
        <w:tc>
          <w:tcPr>
            <w:tcW w:w="2443"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color w:val="000000"/>
                <w:sz w:val="15"/>
                <w:szCs w:val="15"/>
              </w:rPr>
            </w:pPr>
            <w:r>
              <w:rPr>
                <w:rFonts w:hint="eastAsia" w:cs="宋体" w:asciiTheme="minorEastAsia" w:hAnsiTheme="minorEastAsia"/>
                <w:b/>
                <w:color w:val="000000"/>
                <w:kern w:val="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color w:val="000000"/>
                <w:sz w:val="15"/>
                <w:szCs w:val="15"/>
              </w:rPr>
            </w:pPr>
            <w:r>
              <w:rPr>
                <w:rFonts w:hint="eastAsia" w:cs="宋体" w:asciiTheme="minorEastAsia" w:hAnsiTheme="minorEastAsia"/>
                <w:b/>
                <w:color w:val="000000"/>
                <w:kern w:val="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color w:val="000000"/>
                <w:sz w:val="15"/>
                <w:szCs w:val="15"/>
              </w:rPr>
            </w:pPr>
            <w:r>
              <w:rPr>
                <w:rFonts w:hint="eastAsia" w:cs="宋体" w:asciiTheme="minorEastAsia" w:hAnsiTheme="minorEastAsia"/>
                <w:b/>
                <w:color w:val="000000"/>
                <w:kern w:val="0"/>
                <w:sz w:val="15"/>
                <w:szCs w:val="15"/>
              </w:rPr>
              <w:t>全年目标实际完成情况</w:t>
            </w:r>
          </w:p>
        </w:tc>
      </w:tr>
      <w:tr>
        <w:tblPrEx>
          <w:tblLayout w:type="fixed"/>
          <w:tblCellMar>
            <w:top w:w="15" w:type="dxa"/>
            <w:left w:w="15" w:type="dxa"/>
            <w:bottom w:w="15" w:type="dxa"/>
            <w:right w:w="15" w:type="dxa"/>
          </w:tblCellMar>
        </w:tblPrEx>
        <w:trPr>
          <w:trHeight w:val="671" w:hRule="atLeast"/>
        </w:trPr>
        <w:tc>
          <w:tcPr>
            <w:tcW w:w="2443" w:type="dxa"/>
            <w:gridSpan w:val="7"/>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确保各监测站点正常运行，做水土保持好监测工作，定期向长江委和市水利局上报监测成果；按期、保质完成水土保持监测任务。</w:t>
            </w:r>
          </w:p>
        </w:tc>
        <w:tc>
          <w:tcPr>
            <w:tcW w:w="1777" w:type="dxa"/>
            <w:gridSpan w:val="5"/>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完成监测240次。完成长江委和市水土保持总站监测成果验收。</w:t>
            </w:r>
          </w:p>
        </w:tc>
      </w:tr>
      <w:tr>
        <w:tblPrEx>
          <w:tblLayout w:type="fixed"/>
          <w:tblCellMar>
            <w:top w:w="15" w:type="dxa"/>
            <w:left w:w="15" w:type="dxa"/>
            <w:bottom w:w="15" w:type="dxa"/>
            <w:right w:w="15" w:type="dxa"/>
          </w:tblCellMar>
        </w:tblPrEx>
        <w:trPr>
          <w:trHeight w:val="521"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color w:val="000000"/>
                <w:sz w:val="15"/>
                <w:szCs w:val="15"/>
              </w:rPr>
            </w:pPr>
            <w:r>
              <w:rPr>
                <w:rFonts w:hint="eastAsia" w:cs="宋体" w:asciiTheme="minorEastAsia" w:hAnsiTheme="minorEastAsia"/>
                <w:b/>
                <w:color w:val="000000"/>
                <w:kern w:val="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color w:val="000000"/>
                <w:sz w:val="15"/>
                <w:szCs w:val="15"/>
              </w:rPr>
            </w:pPr>
            <w:r>
              <w:rPr>
                <w:rFonts w:hint="eastAsia" w:cs="宋体" w:asciiTheme="minorEastAsia" w:hAnsiTheme="minorEastAsia"/>
                <w:b/>
                <w:color w:val="000000"/>
                <w:kern w:val="0"/>
                <w:sz w:val="15"/>
                <w:szCs w:val="15"/>
              </w:rPr>
              <w:t>说明</w:t>
            </w:r>
          </w:p>
        </w:tc>
        <w:tc>
          <w:tcPr>
            <w:tcW w:w="5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宋体" w:asciiTheme="minorEastAsia" w:hAnsiTheme="minorEastAsia"/>
                <w:b/>
                <w:color w:val="000000"/>
                <w:sz w:val="15"/>
                <w:szCs w:val="15"/>
              </w:rPr>
            </w:pPr>
          </w:p>
        </w:tc>
      </w:tr>
      <w:tr>
        <w:tblPrEx>
          <w:tblLayout w:type="fixed"/>
          <w:tblCellMar>
            <w:top w:w="15" w:type="dxa"/>
            <w:left w:w="15" w:type="dxa"/>
            <w:bottom w:w="15" w:type="dxa"/>
            <w:right w:w="15" w:type="dxa"/>
          </w:tblCellMar>
        </w:tblPrEx>
        <w:trPr>
          <w:trHeight w:val="38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监测次数</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次</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240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36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监测质量</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37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监测完成时间</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37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为政府决策、社会经济发展和社会公众服务</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654"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监测水土流失，更好地保护生态环境</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持续影响周期</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群众满意度</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c>
          <w:tcPr>
            <w:tcW w:w="552" w:type="dxa"/>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r>
              <w:rPr>
                <w:rFonts w:hint="eastAsia" w:ascii="宋体" w:hAnsi="宋体" w:eastAsia="宋体" w:cs="宋体"/>
                <w:color w:val="000000"/>
                <w:kern w:val="0"/>
                <w:sz w:val="15"/>
                <w:szCs w:val="15"/>
              </w:rPr>
              <w:t>未完成绩效目标或偏离较多的原因、改进措施及其他说明</w:t>
            </w:r>
          </w:p>
        </w:tc>
        <w:tc>
          <w:tcPr>
            <w:tcW w:w="7655" w:type="dxa"/>
            <w:gridSpan w:val="21"/>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tbl>
      <w:tblPr>
        <w:tblStyle w:val="10"/>
        <w:tblW w:w="9041" w:type="dxa"/>
        <w:tblInd w:w="0" w:type="dxa"/>
        <w:tblLayout w:type="fixed"/>
        <w:tblCellMar>
          <w:top w:w="15" w:type="dxa"/>
          <w:left w:w="15" w:type="dxa"/>
          <w:bottom w:w="15" w:type="dxa"/>
          <w:right w:w="15" w:type="dxa"/>
        </w:tblCellMar>
      </w:tblPr>
      <w:tblGrid>
        <w:gridCol w:w="988"/>
        <w:gridCol w:w="88"/>
        <w:gridCol w:w="310"/>
        <w:gridCol w:w="430"/>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15" w:type="dxa"/>
            <w:left w:w="15" w:type="dxa"/>
            <w:bottom w:w="15" w:type="dxa"/>
            <w:right w:w="15" w:type="dxa"/>
          </w:tblCellMar>
        </w:tblPrEx>
        <w:trPr>
          <w:trHeight w:val="795"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生产建设项目水土保持方案技术审查费</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50011221T000000053571</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color w:val="000000"/>
                <w:sz w:val="15"/>
                <w:szCs w:val="15"/>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项目主管部门：</w:t>
            </w:r>
          </w:p>
          <w:p>
            <w:pPr>
              <w:jc w:val="right"/>
              <w:rPr>
                <w:rFonts w:asciiTheme="minorEastAsia" w:hAnsiTheme="minorEastAsia"/>
                <w:b/>
                <w:bCs/>
                <w:color w:val="000000"/>
                <w:sz w:val="15"/>
                <w:szCs w:val="15"/>
              </w:rPr>
            </w:pP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p>
            <w:pPr>
              <w:ind w:firstLine="150" w:firstLineChars="100"/>
              <w:rPr>
                <w:rFonts w:asciiTheme="minorEastAsia" w:hAnsiTheme="minorEastAsia"/>
                <w:color w:val="000000"/>
                <w:sz w:val="15"/>
                <w:szCs w:val="15"/>
              </w:rPr>
            </w:pP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86016409</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15" w:type="dxa"/>
            <w:left w:w="15" w:type="dxa"/>
            <w:bottom w:w="15" w:type="dxa"/>
            <w:right w:w="15" w:type="dxa"/>
          </w:tblCellMar>
        </w:tblPrEx>
        <w:trPr>
          <w:trHeight w:val="495"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15" w:type="dxa"/>
            <w:left w:w="15" w:type="dxa"/>
            <w:bottom w:w="15" w:type="dxa"/>
            <w:right w:w="15" w:type="dxa"/>
          </w:tblCellMar>
        </w:tblPrEx>
        <w:trPr>
          <w:trHeight w:val="392"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210,000.00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126,400.00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126,400.00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15" w:type="dxa"/>
            <w:left w:w="15" w:type="dxa"/>
            <w:bottom w:w="15" w:type="dxa"/>
            <w:right w:w="15" w:type="dxa"/>
          </w:tblCellMar>
        </w:tblPrEx>
        <w:trPr>
          <w:trHeight w:val="426"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210,000.00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126,400.00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126,400.00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15" w:type="dxa"/>
            <w:left w:w="15" w:type="dxa"/>
            <w:bottom w:w="15" w:type="dxa"/>
            <w:right w:w="15" w:type="dxa"/>
          </w:tblCellMar>
        </w:tblPrEx>
        <w:trPr>
          <w:trHeight w:val="495" w:hRule="atLeast"/>
        </w:trPr>
        <w:tc>
          <w:tcPr>
            <w:tcW w:w="244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15" w:type="dxa"/>
            <w:left w:w="15" w:type="dxa"/>
            <w:bottom w:w="15" w:type="dxa"/>
            <w:right w:w="15" w:type="dxa"/>
          </w:tblCellMar>
        </w:tblPrEx>
        <w:trPr>
          <w:trHeight w:val="671" w:hRule="atLeast"/>
        </w:trPr>
        <w:tc>
          <w:tcPr>
            <w:tcW w:w="2443" w:type="dxa"/>
            <w:gridSpan w:val="7"/>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确保我区生产建设项目水土保持技术审查工作顺利开展，计划2022年水土保持方案技术审查50个。</w:t>
            </w:r>
          </w:p>
        </w:tc>
        <w:tc>
          <w:tcPr>
            <w:tcW w:w="1777" w:type="dxa"/>
            <w:gridSpan w:val="5"/>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全部完成水土保持方案审查。</w:t>
            </w:r>
          </w:p>
        </w:tc>
      </w:tr>
      <w:tr>
        <w:tblPrEx>
          <w:tblLayout w:type="fixed"/>
          <w:tblCellMar>
            <w:top w:w="15" w:type="dxa"/>
            <w:left w:w="15" w:type="dxa"/>
            <w:bottom w:w="15" w:type="dxa"/>
            <w:right w:w="15" w:type="dxa"/>
          </w:tblCellMar>
        </w:tblPrEx>
        <w:trPr>
          <w:trHeight w:val="521"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15" w:type="dxa"/>
            <w:left w:w="15" w:type="dxa"/>
            <w:bottom w:w="15" w:type="dxa"/>
            <w:right w:w="15" w:type="dxa"/>
          </w:tblCellMar>
        </w:tblPrEx>
        <w:trPr>
          <w:trHeight w:val="38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水土保持方案技术审查数</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35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35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6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技术审查质量</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完成时间</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改善生产生活条件</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654"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保护生态环境</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持续影响周期</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服务对象满意度</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r>
              <w:rPr>
                <w:rFonts w:hint="eastAsia" w:ascii="宋体" w:hAnsi="宋体" w:eastAsia="宋体" w:cs="宋体"/>
                <w:color w:val="000000"/>
                <w:kern w:val="0"/>
                <w:sz w:val="15"/>
                <w:szCs w:val="15"/>
              </w:rPr>
              <w:t>未完成绩效目标或偏离较多的原因、改进措施及其他说明</w:t>
            </w:r>
          </w:p>
        </w:tc>
        <w:tc>
          <w:tcPr>
            <w:tcW w:w="7655" w:type="dxa"/>
            <w:gridSpan w:val="21"/>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p>
        </w:tc>
      </w:tr>
    </w:tbl>
    <w:p>
      <w:pPr>
        <w:rPr>
          <w:rFonts w:asciiTheme="minorEastAsia" w:hAnsiTheme="minorEastAsia"/>
          <w:sz w:val="15"/>
          <w:szCs w:val="15"/>
        </w:rPr>
      </w:pPr>
    </w:p>
    <w:p>
      <w:pPr>
        <w:widowControl/>
        <w:shd w:val="clear" w:color="auto" w:fill="FFFFFF"/>
        <w:jc w:val="left"/>
        <w:rPr>
          <w:rFonts w:ascii="宋体" w:hAnsi="宋体" w:eastAsia="宋体" w:cs="宋体"/>
          <w:kern w:val="0"/>
          <w:sz w:val="18"/>
          <w:szCs w:val="18"/>
        </w:rPr>
      </w:pPr>
    </w:p>
    <w:tbl>
      <w:tblPr>
        <w:tblStyle w:val="10"/>
        <w:tblW w:w="9041" w:type="dxa"/>
        <w:tblInd w:w="0" w:type="dxa"/>
        <w:tblLayout w:type="fixed"/>
        <w:tblCellMar>
          <w:top w:w="15" w:type="dxa"/>
          <w:left w:w="15" w:type="dxa"/>
          <w:bottom w:w="15" w:type="dxa"/>
          <w:right w:w="15" w:type="dxa"/>
        </w:tblCellMar>
      </w:tblPr>
      <w:tblGrid>
        <w:gridCol w:w="988"/>
        <w:gridCol w:w="88"/>
        <w:gridCol w:w="310"/>
        <w:gridCol w:w="430"/>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15" w:type="dxa"/>
            <w:left w:w="15" w:type="dxa"/>
            <w:bottom w:w="15" w:type="dxa"/>
            <w:right w:w="15" w:type="dxa"/>
          </w:tblCellMar>
        </w:tblPrEx>
        <w:trPr>
          <w:trHeight w:val="795"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编外聘用人员经费</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50011222T000000068165</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color w:val="000000"/>
                <w:sz w:val="15"/>
                <w:szCs w:val="15"/>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项目主管部门：</w:t>
            </w:r>
          </w:p>
          <w:p>
            <w:pPr>
              <w:jc w:val="right"/>
              <w:rPr>
                <w:rFonts w:asciiTheme="minorEastAsia" w:hAnsiTheme="minorEastAsia"/>
                <w:b/>
                <w:bCs/>
                <w:color w:val="000000"/>
                <w:sz w:val="15"/>
                <w:szCs w:val="15"/>
              </w:rPr>
            </w:pP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p>
            <w:pPr>
              <w:ind w:firstLine="150" w:firstLineChars="100"/>
              <w:rPr>
                <w:rFonts w:asciiTheme="minorEastAsia" w:hAnsiTheme="minorEastAsia"/>
                <w:color w:val="000000"/>
                <w:sz w:val="15"/>
                <w:szCs w:val="15"/>
              </w:rPr>
            </w:pP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86016409</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15" w:type="dxa"/>
            <w:left w:w="15" w:type="dxa"/>
            <w:bottom w:w="15" w:type="dxa"/>
            <w:right w:w="15" w:type="dxa"/>
          </w:tblCellMar>
        </w:tblPrEx>
        <w:trPr>
          <w:trHeight w:val="495"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15" w:type="dxa"/>
            <w:left w:w="15" w:type="dxa"/>
            <w:bottom w:w="15" w:type="dxa"/>
            <w:right w:w="15" w:type="dxa"/>
          </w:tblCellMar>
        </w:tblPrEx>
        <w:trPr>
          <w:trHeight w:val="392"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200,000.00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200,000.00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200,000.00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15" w:type="dxa"/>
            <w:left w:w="15" w:type="dxa"/>
            <w:bottom w:w="15" w:type="dxa"/>
            <w:right w:w="15" w:type="dxa"/>
          </w:tblCellMar>
        </w:tblPrEx>
        <w:trPr>
          <w:trHeight w:val="426"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200,000.00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200,000.00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200,000.00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15" w:type="dxa"/>
            <w:left w:w="15" w:type="dxa"/>
            <w:bottom w:w="15" w:type="dxa"/>
            <w:right w:w="15" w:type="dxa"/>
          </w:tblCellMar>
        </w:tblPrEx>
        <w:trPr>
          <w:trHeight w:val="495" w:hRule="atLeast"/>
        </w:trPr>
        <w:tc>
          <w:tcPr>
            <w:tcW w:w="244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15" w:type="dxa"/>
            <w:left w:w="15" w:type="dxa"/>
            <w:bottom w:w="15" w:type="dxa"/>
            <w:right w:w="15" w:type="dxa"/>
          </w:tblCellMar>
        </w:tblPrEx>
        <w:trPr>
          <w:trHeight w:val="671" w:hRule="atLeast"/>
        </w:trPr>
        <w:tc>
          <w:tcPr>
            <w:tcW w:w="2443" w:type="dxa"/>
            <w:gridSpan w:val="7"/>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确保水土保持工作及各监测站点正常运行，做好水土保持监测工作，更好地服务群众，让人民群众有更多的获得感、幸福感。</w:t>
            </w:r>
          </w:p>
        </w:tc>
        <w:tc>
          <w:tcPr>
            <w:tcW w:w="1777" w:type="dxa"/>
            <w:gridSpan w:val="5"/>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完成全年绩效目标。</w:t>
            </w:r>
          </w:p>
        </w:tc>
      </w:tr>
      <w:tr>
        <w:tblPrEx>
          <w:tblLayout w:type="fixed"/>
          <w:tblCellMar>
            <w:top w:w="15" w:type="dxa"/>
            <w:left w:w="15" w:type="dxa"/>
            <w:bottom w:w="15" w:type="dxa"/>
            <w:right w:w="15" w:type="dxa"/>
          </w:tblCellMar>
        </w:tblPrEx>
        <w:trPr>
          <w:trHeight w:val="521"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15" w:type="dxa"/>
            <w:left w:w="15" w:type="dxa"/>
            <w:bottom w:w="15" w:type="dxa"/>
            <w:right w:w="15" w:type="dxa"/>
          </w:tblCellMar>
        </w:tblPrEx>
        <w:trPr>
          <w:trHeight w:val="38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聘用人数</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30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30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6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水土保持监测规范</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监测完成时间</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更好为群众提供服务</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654"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协助项目管理，影响整个项目周期</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服务对象满意度</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r>
              <w:rPr>
                <w:rFonts w:hint="eastAsia" w:ascii="宋体" w:hAnsi="宋体" w:eastAsia="宋体" w:cs="宋体"/>
                <w:color w:val="000000"/>
                <w:kern w:val="0"/>
                <w:sz w:val="15"/>
                <w:szCs w:val="15"/>
              </w:rPr>
              <w:t>未完成绩效目标或偏离较多的原因、改进措施及其他说明</w:t>
            </w:r>
          </w:p>
        </w:tc>
        <w:tc>
          <w:tcPr>
            <w:tcW w:w="7655" w:type="dxa"/>
            <w:gridSpan w:val="21"/>
            <w:tcBorders>
              <w:top w:val="single" w:color="000000" w:sz="4" w:space="0"/>
              <w:left w:val="single" w:color="000000" w:sz="4" w:space="0"/>
              <w:bottom w:val="single" w:color="000000" w:sz="4" w:space="0"/>
            </w:tcBorders>
            <w:vAlign w:val="center"/>
          </w:tcPr>
          <w:p>
            <w:pPr>
              <w:ind w:firstLine="150" w:firstLineChars="100"/>
              <w:rPr>
                <w:rFonts w:asciiTheme="minorEastAsia" w:hAnsiTheme="minorEastAsia"/>
                <w:color w:val="000000"/>
                <w:sz w:val="15"/>
                <w:szCs w:val="15"/>
              </w:rPr>
            </w:pPr>
          </w:p>
        </w:tc>
      </w:tr>
    </w:tbl>
    <w:p>
      <w:pPr>
        <w:rPr>
          <w:rFonts w:asciiTheme="minorEastAsia" w:hAnsiTheme="minorEastAsia"/>
          <w:sz w:val="15"/>
          <w:szCs w:val="15"/>
        </w:rPr>
      </w:pPr>
    </w:p>
    <w:p>
      <w:pPr>
        <w:rPr>
          <w:rFonts w:asciiTheme="minorEastAsia" w:hAnsiTheme="minorEastAsia"/>
          <w:sz w:val="15"/>
          <w:szCs w:val="15"/>
        </w:rPr>
      </w:pPr>
    </w:p>
    <w:p>
      <w:pPr>
        <w:rPr>
          <w:rFonts w:asciiTheme="minorEastAsia" w:hAnsiTheme="minorEastAsia"/>
          <w:sz w:val="15"/>
          <w:szCs w:val="15"/>
        </w:rPr>
      </w:pPr>
    </w:p>
    <w:tbl>
      <w:tblPr>
        <w:tblStyle w:val="10"/>
        <w:tblW w:w="9041" w:type="dxa"/>
        <w:tblInd w:w="0" w:type="dxa"/>
        <w:tblLayout w:type="fixed"/>
        <w:tblCellMar>
          <w:top w:w="15" w:type="dxa"/>
          <w:left w:w="15" w:type="dxa"/>
          <w:bottom w:w="15" w:type="dxa"/>
          <w:right w:w="15" w:type="dxa"/>
        </w:tblCellMar>
      </w:tblPr>
      <w:tblGrid>
        <w:gridCol w:w="988"/>
        <w:gridCol w:w="88"/>
        <w:gridCol w:w="310"/>
        <w:gridCol w:w="430"/>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15" w:type="dxa"/>
            <w:left w:w="15" w:type="dxa"/>
            <w:bottom w:w="15" w:type="dxa"/>
            <w:right w:w="15" w:type="dxa"/>
          </w:tblCellMar>
        </w:tblPrEx>
        <w:trPr>
          <w:trHeight w:val="795"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行政许可与水保费征收管理</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50011222T000000068317</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color w:val="000000"/>
                <w:sz w:val="15"/>
                <w:szCs w:val="15"/>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项目主管部门：</w:t>
            </w:r>
          </w:p>
          <w:p>
            <w:pPr>
              <w:jc w:val="right"/>
              <w:rPr>
                <w:rFonts w:asciiTheme="minorEastAsia" w:hAnsiTheme="minorEastAsia"/>
                <w:b/>
                <w:bCs/>
                <w:color w:val="000000"/>
                <w:sz w:val="15"/>
                <w:szCs w:val="15"/>
              </w:rPr>
            </w:pP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p>
            <w:pPr>
              <w:ind w:firstLine="150" w:firstLineChars="100"/>
              <w:rPr>
                <w:rFonts w:asciiTheme="minorEastAsia" w:hAnsiTheme="minorEastAsia"/>
                <w:color w:val="000000"/>
                <w:sz w:val="15"/>
                <w:szCs w:val="15"/>
              </w:rPr>
            </w:pP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86016409</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15" w:type="dxa"/>
            <w:left w:w="15" w:type="dxa"/>
            <w:bottom w:w="15" w:type="dxa"/>
            <w:right w:w="15" w:type="dxa"/>
          </w:tblCellMar>
        </w:tblPrEx>
        <w:trPr>
          <w:trHeight w:val="495"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15" w:type="dxa"/>
            <w:left w:w="15" w:type="dxa"/>
            <w:bottom w:w="15" w:type="dxa"/>
            <w:right w:w="15" w:type="dxa"/>
          </w:tblCellMar>
        </w:tblPrEx>
        <w:trPr>
          <w:trHeight w:val="392"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310,000.00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310,000.00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15" w:type="dxa"/>
            <w:left w:w="15" w:type="dxa"/>
            <w:bottom w:w="15" w:type="dxa"/>
            <w:right w:w="15" w:type="dxa"/>
          </w:tblCellMar>
        </w:tblPrEx>
        <w:trPr>
          <w:trHeight w:val="426"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310,000.00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310,000.00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15" w:type="dxa"/>
            <w:left w:w="15" w:type="dxa"/>
            <w:bottom w:w="15" w:type="dxa"/>
            <w:right w:w="15" w:type="dxa"/>
          </w:tblCellMar>
        </w:tblPrEx>
        <w:trPr>
          <w:trHeight w:val="495" w:hRule="atLeast"/>
        </w:trPr>
        <w:tc>
          <w:tcPr>
            <w:tcW w:w="244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15" w:type="dxa"/>
            <w:left w:w="15" w:type="dxa"/>
            <w:bottom w:w="15" w:type="dxa"/>
            <w:right w:w="15" w:type="dxa"/>
          </w:tblCellMar>
        </w:tblPrEx>
        <w:trPr>
          <w:trHeight w:val="671" w:hRule="atLeast"/>
        </w:trPr>
        <w:tc>
          <w:tcPr>
            <w:tcW w:w="2443" w:type="dxa"/>
            <w:gridSpan w:val="7"/>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水土保持补偿费做到应收尽收，行政许可水土保持方案60个、现场复核60次。</w:t>
            </w:r>
          </w:p>
        </w:tc>
        <w:tc>
          <w:tcPr>
            <w:tcW w:w="1777" w:type="dxa"/>
            <w:gridSpan w:val="5"/>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完成生产建设项目监督检查220次，水土保持行政许可60个，现场复核60次，征收水土保持补偿费388万元。</w:t>
            </w:r>
          </w:p>
        </w:tc>
      </w:tr>
      <w:tr>
        <w:tblPrEx>
          <w:tblLayout w:type="fixed"/>
          <w:tblCellMar>
            <w:top w:w="15" w:type="dxa"/>
            <w:left w:w="15" w:type="dxa"/>
            <w:bottom w:w="15" w:type="dxa"/>
            <w:right w:w="15" w:type="dxa"/>
          </w:tblCellMar>
        </w:tblPrEx>
        <w:trPr>
          <w:trHeight w:val="521"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15" w:type="dxa"/>
            <w:left w:w="15" w:type="dxa"/>
            <w:bottom w:w="15" w:type="dxa"/>
            <w:right w:w="15" w:type="dxa"/>
          </w:tblCellMar>
        </w:tblPrEx>
        <w:trPr>
          <w:trHeight w:val="38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生产建设项目监督检查</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次</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220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220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6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水土保持行政许可</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现场复核</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次</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60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征收水土保持补偿费</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万元</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300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388</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654"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改善生产生活条件</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保护生态环境</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持续影响周期</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优</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服务对象满意度</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r>
              <w:rPr>
                <w:rFonts w:hint="eastAsia" w:ascii="宋体" w:hAnsi="宋体" w:eastAsia="宋体" w:cs="宋体"/>
                <w:color w:val="000000"/>
                <w:kern w:val="0"/>
                <w:sz w:val="15"/>
                <w:szCs w:val="15"/>
              </w:rPr>
              <w:t>未完成绩效目标或偏离较多的原因、改进措施及其他说明</w:t>
            </w:r>
          </w:p>
        </w:tc>
        <w:tc>
          <w:tcPr>
            <w:tcW w:w="7655" w:type="dxa"/>
            <w:gridSpan w:val="21"/>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ascii="宋体" w:hAnsi="宋体" w:eastAsia="宋体" w:cs="宋体"/>
          <w:kern w:val="0"/>
          <w:sz w:val="18"/>
          <w:szCs w:val="18"/>
        </w:rPr>
      </w:pPr>
    </w:p>
    <w:tbl>
      <w:tblPr>
        <w:tblStyle w:val="10"/>
        <w:tblW w:w="9041" w:type="dxa"/>
        <w:tblInd w:w="0" w:type="dxa"/>
        <w:tblLayout w:type="fixed"/>
        <w:tblCellMar>
          <w:top w:w="15" w:type="dxa"/>
          <w:left w:w="15" w:type="dxa"/>
          <w:bottom w:w="15" w:type="dxa"/>
          <w:right w:w="15" w:type="dxa"/>
        </w:tblCellMar>
      </w:tblPr>
      <w:tblGrid>
        <w:gridCol w:w="988"/>
        <w:gridCol w:w="88"/>
        <w:gridCol w:w="310"/>
        <w:gridCol w:w="430"/>
        <w:gridCol w:w="220"/>
        <w:gridCol w:w="232"/>
        <w:gridCol w:w="175"/>
        <w:gridCol w:w="388"/>
        <w:gridCol w:w="220"/>
        <w:gridCol w:w="343"/>
        <w:gridCol w:w="528"/>
        <w:gridCol w:w="298"/>
        <w:gridCol w:w="99"/>
        <w:gridCol w:w="751"/>
        <w:gridCol w:w="341"/>
        <w:gridCol w:w="199"/>
        <w:gridCol w:w="177"/>
        <w:gridCol w:w="452"/>
        <w:gridCol w:w="430"/>
        <w:gridCol w:w="386"/>
        <w:gridCol w:w="188"/>
        <w:gridCol w:w="243"/>
        <w:gridCol w:w="1003"/>
        <w:gridCol w:w="552"/>
      </w:tblGrid>
      <w:tr>
        <w:tblPrEx>
          <w:tblLayout w:type="fixed"/>
          <w:tblCellMar>
            <w:top w:w="15" w:type="dxa"/>
            <w:left w:w="15" w:type="dxa"/>
            <w:bottom w:w="15" w:type="dxa"/>
            <w:right w:w="15" w:type="dxa"/>
          </w:tblCellMar>
        </w:tblPrEx>
        <w:trPr>
          <w:trHeight w:val="795"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32"/>
                <w:szCs w:val="32"/>
              </w:rPr>
              <w:t>2022年度二级项目绩效自评表</w:t>
            </w: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项目名称：</w:t>
            </w: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水保站点维修养护</w:t>
            </w: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项目编码：</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50011222T000002038734</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自评总分：</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100.00</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color w:val="000000"/>
                <w:sz w:val="15"/>
                <w:szCs w:val="15"/>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cs="宋体" w:asciiTheme="minorEastAsia" w:hAnsiTheme="minorEastAsia"/>
                <w:color w:val="000000"/>
                <w:sz w:val="15"/>
                <w:szCs w:val="15"/>
              </w:rPr>
            </w:pPr>
          </w:p>
        </w:tc>
      </w:tr>
      <w:tr>
        <w:tblPrEx>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项目主管部门：</w:t>
            </w:r>
          </w:p>
          <w:p>
            <w:pPr>
              <w:jc w:val="right"/>
              <w:rPr>
                <w:rFonts w:asciiTheme="minorEastAsia" w:hAnsiTheme="minorEastAsia"/>
                <w:b/>
                <w:bCs/>
                <w:color w:val="000000"/>
                <w:sz w:val="15"/>
                <w:szCs w:val="15"/>
              </w:rPr>
            </w:pPr>
          </w:p>
        </w:tc>
        <w:tc>
          <w:tcPr>
            <w:tcW w:w="104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405-重庆市渝北区水利局</w:t>
            </w:r>
          </w:p>
          <w:p>
            <w:pPr>
              <w:ind w:firstLine="150" w:firstLineChars="100"/>
              <w:rPr>
                <w:rFonts w:asciiTheme="minorEastAsia" w:hAnsiTheme="minorEastAsia"/>
                <w:color w:val="000000"/>
                <w:sz w:val="15"/>
                <w:szCs w:val="15"/>
              </w:rPr>
            </w:pPr>
          </w:p>
        </w:tc>
        <w:tc>
          <w:tcPr>
            <w:tcW w:w="1015"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财政归口处室：</w:t>
            </w:r>
          </w:p>
        </w:tc>
        <w:tc>
          <w:tcPr>
            <w:tcW w:w="1268"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007-农业农村科</w:t>
            </w:r>
          </w:p>
        </w:tc>
        <w:tc>
          <w:tcPr>
            <w:tcW w:w="109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部门联系人：</w:t>
            </w:r>
          </w:p>
        </w:tc>
        <w:tc>
          <w:tcPr>
            <w:tcW w:w="828"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陈开玲</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cs="宋体" w:asciiTheme="minorEastAsia" w:hAnsiTheme="minorEastAsia"/>
                <w:b/>
                <w:bCs/>
                <w:color w:val="000000"/>
                <w:sz w:val="15"/>
                <w:szCs w:val="15"/>
              </w:rPr>
            </w:pPr>
            <w:r>
              <w:rPr>
                <w:rFonts w:hint="eastAsia" w:asciiTheme="minorEastAsia" w:hAnsiTheme="minorEastAsia"/>
                <w:b/>
                <w:bCs/>
                <w:color w:val="000000"/>
                <w:sz w:val="15"/>
                <w:szCs w:val="15"/>
              </w:rPr>
              <w:t>联系电话：</w:t>
            </w: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86016409</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资金情况</w:t>
            </w:r>
          </w:p>
        </w:tc>
      </w:tr>
      <w:tr>
        <w:tblPrEx>
          <w:tblLayout w:type="fixed"/>
          <w:tblCellMar>
            <w:top w:w="15" w:type="dxa"/>
            <w:left w:w="15" w:type="dxa"/>
            <w:bottom w:w="15" w:type="dxa"/>
            <w:right w:w="15" w:type="dxa"/>
          </w:tblCellMar>
        </w:tblPrEx>
        <w:trPr>
          <w:trHeight w:val="495"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年初预算数</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全年（调整）预算数</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全年执行数</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执行率权重</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执行率得分</w:t>
            </w:r>
          </w:p>
        </w:tc>
      </w:tr>
      <w:tr>
        <w:tblPrEx>
          <w:tblLayout w:type="fixed"/>
          <w:tblCellMar>
            <w:top w:w="15" w:type="dxa"/>
            <w:left w:w="15" w:type="dxa"/>
            <w:bottom w:w="15" w:type="dxa"/>
            <w:right w:w="15" w:type="dxa"/>
          </w:tblCellMar>
        </w:tblPrEx>
        <w:trPr>
          <w:trHeight w:val="392"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年度总金额</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550,000.00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550,000.00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w:t>
            </w:r>
          </w:p>
        </w:tc>
      </w:tr>
      <w:tr>
        <w:tblPrEx>
          <w:tblLayout w:type="fixed"/>
          <w:tblCellMar>
            <w:top w:w="15" w:type="dxa"/>
            <w:left w:w="15" w:type="dxa"/>
            <w:bottom w:w="15" w:type="dxa"/>
            <w:right w:w="15" w:type="dxa"/>
          </w:tblCellMar>
        </w:tblPrEx>
        <w:trPr>
          <w:trHeight w:val="426" w:hRule="atLeast"/>
        </w:trPr>
        <w:tc>
          <w:tcPr>
            <w:tcW w:w="107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其中：财政拨款</w:t>
            </w:r>
          </w:p>
        </w:tc>
        <w:tc>
          <w:tcPr>
            <w:tcW w:w="1192" w:type="dxa"/>
            <w:gridSpan w:val="4"/>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550,000.00 </w:t>
            </w:r>
          </w:p>
        </w:tc>
        <w:tc>
          <w:tcPr>
            <w:tcW w:w="1654"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550,000.00 </w:t>
            </w:r>
          </w:p>
        </w:tc>
        <w:tc>
          <w:tcPr>
            <w:tcW w:w="1688" w:type="dxa"/>
            <w:gridSpan w:val="5"/>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 xml:space="preserve">550,000.00 </w:t>
            </w:r>
          </w:p>
        </w:tc>
        <w:tc>
          <w:tcPr>
            <w:tcW w:w="1059"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8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10.00</w:t>
            </w:r>
          </w:p>
        </w:tc>
        <w:tc>
          <w:tcPr>
            <w:tcW w:w="1555"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sz w:val="15"/>
                <w:szCs w:val="15"/>
              </w:rPr>
            </w:pPr>
            <w:r>
              <w:rPr>
                <w:rFonts w:hint="eastAsia" w:asciiTheme="minorEastAsia" w:hAnsiTheme="minorEastAsia"/>
                <w:sz w:val="15"/>
                <w:szCs w:val="15"/>
              </w:rPr>
              <w:t xml:space="preserve">10.00 </w:t>
            </w:r>
          </w:p>
        </w:tc>
      </w:tr>
      <w:tr>
        <w:tblPrEx>
          <w:tblLayout w:type="fixed"/>
          <w:tblCellMar>
            <w:top w:w="15" w:type="dxa"/>
            <w:left w:w="15" w:type="dxa"/>
            <w:bottom w:w="15" w:type="dxa"/>
            <w:right w:w="15" w:type="dxa"/>
          </w:tblCellMar>
        </w:tblPrEx>
        <w:trPr>
          <w:trHeight w:val="477"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绩效目标</w:t>
            </w:r>
          </w:p>
        </w:tc>
      </w:tr>
      <w:tr>
        <w:tblPrEx>
          <w:tblLayout w:type="fixed"/>
          <w:tblCellMar>
            <w:top w:w="15" w:type="dxa"/>
            <w:left w:w="15" w:type="dxa"/>
            <w:bottom w:w="15" w:type="dxa"/>
            <w:right w:w="15" w:type="dxa"/>
          </w:tblCellMar>
        </w:tblPrEx>
        <w:trPr>
          <w:trHeight w:val="495" w:hRule="atLeast"/>
        </w:trPr>
        <w:tc>
          <w:tcPr>
            <w:tcW w:w="2443"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年初绩效目标</w:t>
            </w:r>
          </w:p>
        </w:tc>
        <w:tc>
          <w:tcPr>
            <w:tcW w:w="177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全年（调整）绩效目标</w:t>
            </w:r>
          </w:p>
        </w:tc>
        <w:tc>
          <w:tcPr>
            <w:tcW w:w="4821"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全年目标实际完成情况</w:t>
            </w:r>
          </w:p>
        </w:tc>
      </w:tr>
      <w:tr>
        <w:tblPrEx>
          <w:tblLayout w:type="fixed"/>
          <w:tblCellMar>
            <w:top w:w="15" w:type="dxa"/>
            <w:left w:w="15" w:type="dxa"/>
            <w:bottom w:w="15" w:type="dxa"/>
            <w:right w:w="15" w:type="dxa"/>
          </w:tblCellMar>
        </w:tblPrEx>
        <w:trPr>
          <w:trHeight w:val="671" w:hRule="atLeast"/>
        </w:trPr>
        <w:tc>
          <w:tcPr>
            <w:tcW w:w="2443" w:type="dxa"/>
            <w:gridSpan w:val="7"/>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确保监测站点正常运行，做好监测工作，定期向长江委和市水利局上报监测成果；按期、保质完成水土保持监测年报。</w:t>
            </w:r>
          </w:p>
        </w:tc>
        <w:tc>
          <w:tcPr>
            <w:tcW w:w="1777" w:type="dxa"/>
            <w:gridSpan w:val="5"/>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821" w:type="dxa"/>
            <w:gridSpan w:val="12"/>
            <w:tcBorders>
              <w:top w:val="single" w:color="000000" w:sz="4" w:space="0"/>
              <w:left w:val="single" w:color="000000" w:sz="4" w:space="0"/>
              <w:bottom w:val="single" w:color="000000" w:sz="4" w:space="0"/>
              <w:right w:val="single" w:color="000000" w:sz="4" w:space="0"/>
            </w:tcBorders>
          </w:tcPr>
          <w:p>
            <w:pPr>
              <w:rPr>
                <w:rFonts w:cs="宋体" w:asciiTheme="minorEastAsia" w:hAnsiTheme="minorEastAsia"/>
                <w:color w:val="000000"/>
                <w:sz w:val="15"/>
                <w:szCs w:val="15"/>
              </w:rPr>
            </w:pPr>
            <w:r>
              <w:rPr>
                <w:rFonts w:hint="eastAsia" w:asciiTheme="minorEastAsia" w:hAnsiTheme="minorEastAsia"/>
                <w:color w:val="000000"/>
                <w:sz w:val="15"/>
                <w:szCs w:val="15"/>
              </w:rPr>
              <w:t>完成监测分站、监测综合站、坡面监测点的维护。完成长江委和市水土保持总站成果验收。</w:t>
            </w:r>
          </w:p>
        </w:tc>
      </w:tr>
      <w:tr>
        <w:tblPrEx>
          <w:tblLayout w:type="fixed"/>
          <w:tblCellMar>
            <w:top w:w="15" w:type="dxa"/>
            <w:left w:w="15" w:type="dxa"/>
            <w:bottom w:w="15" w:type="dxa"/>
            <w:right w:w="15" w:type="dxa"/>
          </w:tblCellMar>
        </w:tblPrEx>
        <w:trPr>
          <w:trHeight w:val="521" w:hRule="atLeast"/>
        </w:trPr>
        <w:tc>
          <w:tcPr>
            <w:tcW w:w="9041" w:type="dxa"/>
            <w:gridSpan w:val="2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微软雅黑" w:asciiTheme="minorEastAsia" w:hAnsiTheme="minorEastAsia"/>
                <w:b/>
                <w:color w:val="808080"/>
                <w:sz w:val="15"/>
                <w:szCs w:val="15"/>
              </w:rPr>
            </w:pPr>
            <w:r>
              <w:rPr>
                <w:rFonts w:hint="eastAsia" w:cs="微软雅黑" w:asciiTheme="minorEastAsia" w:hAnsiTheme="minorEastAsia"/>
                <w:b/>
                <w:color w:val="808080"/>
                <w:kern w:val="0"/>
                <w:sz w:val="15"/>
                <w:szCs w:val="15"/>
              </w:rPr>
              <w:t>绩效指标</w:t>
            </w:r>
          </w:p>
        </w:tc>
      </w:tr>
      <w:tr>
        <w:tblPrEx>
          <w:tblLayout w:type="fixed"/>
          <w:tblCellMar>
            <w:top w:w="15" w:type="dxa"/>
            <w:left w:w="15" w:type="dxa"/>
            <w:bottom w:w="15" w:type="dxa"/>
            <w:right w:w="15" w:type="dxa"/>
          </w:tblCellMar>
        </w:tblPrEx>
        <w:trPr>
          <w:trHeight w:val="495"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指标名称</w:t>
            </w:r>
          </w:p>
        </w:tc>
        <w:tc>
          <w:tcPr>
            <w:tcW w:w="43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计量单位</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指标性质</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指标值</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全年完成值</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偏离度（%）</w:t>
            </w:r>
          </w:p>
        </w:tc>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得分系数（%）</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指标权重</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指标得分</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是否核心指标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说明</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sz w:val="15"/>
                <w:szCs w:val="15"/>
              </w:rPr>
            </w:pPr>
            <w:r>
              <w:rPr>
                <w:rFonts w:hint="eastAsia" w:asciiTheme="minorEastAsia" w:hAnsiTheme="minorEastAsia"/>
                <w:b/>
                <w:bCs/>
                <w:color w:val="000000"/>
                <w:sz w:val="15"/>
                <w:szCs w:val="15"/>
              </w:rPr>
              <w:t>市财政局建议</w:t>
            </w:r>
          </w:p>
        </w:tc>
      </w:tr>
      <w:tr>
        <w:tblPrEx>
          <w:tblLayout w:type="fixed"/>
          <w:tblCellMar>
            <w:top w:w="15" w:type="dxa"/>
            <w:left w:w="15" w:type="dxa"/>
            <w:bottom w:w="15" w:type="dxa"/>
            <w:right w:w="15" w:type="dxa"/>
          </w:tblCellMar>
        </w:tblPrEx>
        <w:trPr>
          <w:trHeight w:val="38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维护监测分站</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6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维护监测综合站</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2"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维护坡面监测点</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个</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20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371"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监测数据成果质量</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定性</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好</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654"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完成监测工作时间</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年</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维修养护覆盖服务人口</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万人</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0.28</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0.28</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5</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受益群众满意度</w:t>
            </w:r>
          </w:p>
        </w:tc>
        <w:tc>
          <w:tcPr>
            <w:tcW w:w="430"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45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563"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90</w:t>
            </w:r>
          </w:p>
        </w:tc>
        <w:tc>
          <w:tcPr>
            <w:tcW w:w="925"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0</w:t>
            </w:r>
          </w:p>
        </w:tc>
        <w:tc>
          <w:tcPr>
            <w:tcW w:w="751" w:type="dxa"/>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100</w:t>
            </w:r>
          </w:p>
        </w:tc>
        <w:tc>
          <w:tcPr>
            <w:tcW w:w="717"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jc w:val="right"/>
              <w:rPr>
                <w:rFonts w:cs="宋体" w:asciiTheme="minorEastAsia" w:hAnsiTheme="minorEastAsia"/>
                <w:color w:val="000000"/>
                <w:sz w:val="15"/>
                <w:szCs w:val="15"/>
              </w:rPr>
            </w:pPr>
            <w:r>
              <w:rPr>
                <w:rFonts w:hint="eastAsia" w:asciiTheme="minorEastAsia" w:hAnsiTheme="minorEastAsia"/>
                <w:color w:val="000000"/>
                <w:sz w:val="15"/>
                <w:szCs w:val="15"/>
              </w:rPr>
              <w:t>10</w:t>
            </w:r>
          </w:p>
        </w:tc>
        <w:tc>
          <w:tcPr>
            <w:tcW w:w="574"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c>
          <w:tcPr>
            <w:tcW w:w="552" w:type="dxa"/>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cs="宋体" w:asciiTheme="minorEastAsia" w:hAnsiTheme="minorEastAsia"/>
                <w:color w:val="000000"/>
                <w:sz w:val="15"/>
                <w:szCs w:val="15"/>
              </w:rPr>
            </w:pPr>
            <w:r>
              <w:rPr>
                <w:rFonts w:hint="eastAsia" w:asciiTheme="minorEastAsia" w:hAnsiTheme="minorEastAsia"/>
                <w:color w:val="000000"/>
                <w:sz w:val="15"/>
                <w:szCs w:val="15"/>
              </w:rPr>
              <w:t>　</w:t>
            </w:r>
          </w:p>
        </w:tc>
      </w:tr>
      <w:tr>
        <w:tblPrEx>
          <w:tblLayout w:type="fixed"/>
          <w:tblCellMar>
            <w:top w:w="15" w:type="dxa"/>
            <w:left w:w="15" w:type="dxa"/>
            <w:bottom w:w="15" w:type="dxa"/>
            <w:right w:w="15" w:type="dxa"/>
          </w:tblCellMar>
        </w:tblPrEx>
        <w:trPr>
          <w:trHeight w:val="480" w:hRule="atLeast"/>
        </w:trPr>
        <w:tc>
          <w:tcPr>
            <w:tcW w:w="1386" w:type="dxa"/>
            <w:gridSpan w:val="3"/>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r>
              <w:rPr>
                <w:rFonts w:hint="eastAsia" w:ascii="宋体" w:hAnsi="宋体" w:eastAsia="宋体" w:cs="宋体"/>
                <w:color w:val="000000"/>
                <w:kern w:val="0"/>
                <w:sz w:val="15"/>
                <w:szCs w:val="15"/>
              </w:rPr>
              <w:t>未完成绩效目标或偏离较多的原因、改进措施及其他说明</w:t>
            </w:r>
          </w:p>
        </w:tc>
        <w:tc>
          <w:tcPr>
            <w:tcW w:w="7655" w:type="dxa"/>
            <w:gridSpan w:val="21"/>
            <w:tcBorders>
              <w:top w:val="single" w:color="000000" w:sz="4" w:space="0"/>
              <w:left w:val="single" w:color="000000" w:sz="4" w:space="0"/>
              <w:bottom w:val="single" w:color="000000" w:sz="4" w:space="0"/>
              <w:right w:val="single" w:color="000000" w:sz="4" w:space="0"/>
            </w:tcBorders>
            <w:vAlign w:val="center"/>
          </w:tcPr>
          <w:p>
            <w:pPr>
              <w:ind w:firstLine="150" w:firstLineChars="100"/>
              <w:rPr>
                <w:rFonts w:asciiTheme="minorEastAsia" w:hAnsiTheme="minorEastAsia"/>
                <w:color w:val="000000"/>
                <w:sz w:val="15"/>
                <w:szCs w:val="15"/>
              </w:rPr>
            </w:pPr>
          </w:p>
        </w:tc>
      </w:tr>
    </w:tbl>
    <w:p>
      <w:pPr>
        <w:widowControl/>
        <w:shd w:val="clear" w:color="auto" w:fill="FFFFFF"/>
        <w:jc w:val="left"/>
        <w:rPr>
          <w:rFonts w:cs="宋体" w:asciiTheme="minorEastAsia" w:hAnsiTheme="minorEastAsia"/>
          <w:kern w:val="0"/>
          <w:sz w:val="15"/>
          <w:szCs w:val="15"/>
        </w:rPr>
      </w:pPr>
    </w:p>
    <w:p>
      <w:pPr>
        <w:widowControl/>
        <w:shd w:val="clear" w:color="auto" w:fill="FFFFFF"/>
        <w:jc w:val="left"/>
        <w:rPr>
          <w:rFonts w:ascii="宋体" w:hAnsi="宋体" w:eastAsia="宋体" w:cs="宋体"/>
          <w:kern w:val="0"/>
          <w:sz w:val="18"/>
          <w:szCs w:val="18"/>
        </w:rPr>
      </w:pPr>
    </w:p>
    <w:p>
      <w:pPr>
        <w:widowControl/>
        <w:shd w:val="clear" w:color="auto" w:fill="FFFFFF"/>
        <w:jc w:val="left"/>
        <w:rPr>
          <w:rFonts w:ascii="宋体" w:hAnsi="宋体" w:eastAsia="宋体" w:cs="宋体"/>
          <w:kern w:val="0"/>
          <w:sz w:val="18"/>
          <w:szCs w:val="18"/>
        </w:rPr>
      </w:pP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2.绩效自评报告或案例</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我站是采用填报目标自评表形式开展绩效自评，没有绩效自评报告。</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3.关于绩效自评结果的说明</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经评价，各项目均达到了年度绩效目标。</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我站是采用填报目标自评表形式开展绩效自评，没有重点绩效自评项目。</w:t>
      </w: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六、专业名词解释</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（一）财政拨款收入：</w:t>
      </w:r>
      <w:r>
        <w:rPr>
          <w:rFonts w:hint="eastAsia" w:ascii="Times New Roman" w:hAnsi="方正仿宋_GBK" w:eastAsia="方正仿宋_GBK" w:cs="方正仿宋_GBK"/>
          <w:sz w:val="32"/>
          <w:szCs w:val="32"/>
        </w:rPr>
        <w:t>指本年度从本级财政部门取得的财政拨款，包括一般公共预算财政拨款和政府性基金预算财政拨款。</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（二）事业收入：</w:t>
      </w:r>
      <w:r>
        <w:rPr>
          <w:rFonts w:hint="eastAsia" w:ascii="方正仿宋_GBK" w:hAnsi="方正仿宋_GBK" w:eastAsia="方正仿宋_GBK" w:cs="方正仿宋_GBK"/>
          <w:kern w:val="0"/>
          <w:sz w:val="32"/>
          <w:szCs w:val="32"/>
        </w:rPr>
        <w:t>指</w:t>
      </w:r>
      <w:r>
        <w:rPr>
          <w:rFonts w:hint="eastAsia" w:ascii="Times New Roman" w:hAnsi="方正仿宋_GBK" w:eastAsia="方正仿宋_GBK" w:cs="方正仿宋_GBK"/>
          <w:sz w:val="32"/>
          <w:szCs w:val="32"/>
        </w:rPr>
        <w:t>事业单位开展专业业务活动及其辅助活动取得的现金流入；事业单位收到的财政专户实际核拨的教育收费等资金在此反映。</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（三）经营收入：</w:t>
      </w:r>
      <w:r>
        <w:rPr>
          <w:rFonts w:hint="eastAsia" w:ascii="Times New Roman" w:hAnsi="方正仿宋_GBK" w:eastAsia="方正仿宋_GBK" w:cs="方正仿宋_GBK"/>
          <w:sz w:val="32"/>
          <w:szCs w:val="32"/>
        </w:rPr>
        <w:t>指事业单位在专业业务活动及其辅助活动之外开展非独立核算经营活动取得的现金流入。</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（四）其他收入：</w:t>
      </w:r>
      <w:r>
        <w:rPr>
          <w:rFonts w:hint="eastAsia" w:ascii="Times New Roman"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（五）使用非财政拨款结余：</w:t>
      </w:r>
      <w:r>
        <w:rPr>
          <w:rFonts w:hint="eastAsia" w:ascii="Times New Roman"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（六）年初结转和结余：</w:t>
      </w:r>
      <w:r>
        <w:rPr>
          <w:rFonts w:hint="eastAsia" w:ascii="Times New Roman" w:hAnsi="方正仿宋_GBK" w:eastAsia="方正仿宋_GBK" w:cs="方正仿宋_GBK"/>
          <w:sz w:val="32"/>
          <w:szCs w:val="32"/>
        </w:rPr>
        <w:t>指单位上年结转本年使用的基本支出结转、项目支出结转和结余、经营结余。</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（七）结余分配：</w:t>
      </w:r>
      <w:r>
        <w:rPr>
          <w:rFonts w:hint="eastAsia" w:ascii="Times New Roman" w:hAnsi="方正仿宋_GBK" w:eastAsia="方正仿宋_GBK" w:cs="方正仿宋_GBK"/>
          <w:sz w:val="32"/>
          <w:szCs w:val="32"/>
        </w:rPr>
        <w:t>指单位按照国家有关规定，缴纳所得税、提取专用基金、转入非财政拨款结余等当年结余的分配情况。</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（八）年末结转和结余：</w:t>
      </w:r>
      <w:r>
        <w:rPr>
          <w:rFonts w:hint="eastAsia" w:ascii="Times New Roman" w:hAnsi="方正仿宋_GBK" w:eastAsia="方正仿宋_GBK" w:cs="方正仿宋_GBK"/>
          <w:sz w:val="32"/>
          <w:szCs w:val="32"/>
        </w:rPr>
        <w:t>指单位结转下年的基本支出结转、项目支出结转和结余、经营结余。</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（九）基本支出：</w:t>
      </w:r>
      <w:r>
        <w:rPr>
          <w:rFonts w:hint="eastAsia" w:ascii="Times New Roman"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（十）项目支出：</w:t>
      </w:r>
      <w:r>
        <w:rPr>
          <w:rFonts w:hint="eastAsia" w:ascii="Times New Roman" w:hAnsi="方正仿宋_GBK" w:eastAsia="方正仿宋_GBK" w:cs="方正仿宋_GBK"/>
          <w:sz w:val="32"/>
          <w:szCs w:val="32"/>
        </w:rPr>
        <w:t>指在基本支出之外为完成特定行政任务和事业发展目标所发生的支出。</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（十一）经营支出：</w:t>
      </w:r>
      <w:r>
        <w:rPr>
          <w:rFonts w:hint="eastAsia" w:ascii="Times New Roman" w:hAnsi="方正仿宋_GBK" w:eastAsia="方正仿宋_GBK" w:cs="方正仿宋_GBK"/>
          <w:sz w:val="32"/>
          <w:szCs w:val="32"/>
        </w:rPr>
        <w:t>指事业单位在专业业务活动及其辅助活动之外开展非独立核算经营活动发生的支出。</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（十二）“三公”经费：</w:t>
      </w:r>
      <w:r>
        <w:rPr>
          <w:rFonts w:hint="eastAsia" w:ascii="Times New Roman"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（十三）机关运行经费：</w:t>
      </w:r>
      <w:r>
        <w:rPr>
          <w:rFonts w:hint="eastAsia" w:ascii="Times New Roman"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napToGrid w:val="0"/>
        <w:spacing w:line="600" w:lineRule="exact"/>
        <w:ind w:firstLine="640" w:firstLineChars="200"/>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（十四）工资福利支出（支出经济分类科目类级）：</w:t>
      </w:r>
      <w:r>
        <w:rPr>
          <w:rFonts w:hint="eastAsia" w:ascii="Times New Roman" w:hAnsi="方正仿宋_GBK" w:eastAsia="方正仿宋_GBK" w:cs="方正仿宋_GBK"/>
          <w:sz w:val="32"/>
          <w:szCs w:val="32"/>
        </w:rPr>
        <w:t>反映单位开支的在职职工和编制外长期聘用人员的各类劳动报酬，以及为上述人员缴纳的各项社会保险费等。</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（十五）商品和服务支出（支出经济分类科目类级）：</w:t>
      </w:r>
      <w:r>
        <w:rPr>
          <w:rFonts w:hint="eastAsia" w:ascii="Times New Roman" w:hAnsi="方正仿宋_GBK" w:eastAsia="方正仿宋_GBK" w:cs="方正仿宋_GBK"/>
          <w:sz w:val="32"/>
          <w:szCs w:val="32"/>
        </w:rPr>
        <w:t>反映单位购买商品和服务的支出（不包括用于购置固定资产的支出、战略性和应急储备支出）。</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方正楷体_GBK" w:hAnsi="方正楷体_GBK" w:eastAsia="方正楷体_GBK" w:cs="方正楷体_GBK"/>
          <w:snapToGrid w:val="0"/>
          <w:kern w:val="32"/>
          <w:sz w:val="32"/>
          <w:szCs w:val="32"/>
        </w:rPr>
        <w:t>（十六）对个人和家庭的补助（支出经济分类科目类级）：</w:t>
      </w:r>
      <w:r>
        <w:rPr>
          <w:rFonts w:hint="eastAsia" w:ascii="Times New Roman" w:hAnsi="方正仿宋_GBK" w:eastAsia="方正仿宋_GBK" w:cs="方正仿宋_GBK"/>
          <w:sz w:val="32"/>
          <w:szCs w:val="32"/>
        </w:rPr>
        <w:t>反映用于对个人和家庭的补助支出。</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snapToGrid w:val="0"/>
          <w:kern w:val="32"/>
          <w:sz w:val="32"/>
          <w:szCs w:val="32"/>
        </w:rPr>
        <w:t>（十七）其他资本性支出（支出经济分类科目类级）：</w:t>
      </w:r>
      <w:r>
        <w:rPr>
          <w:rFonts w:hint="eastAsia" w:ascii="Times New Roman"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18"/>
        <w:tabs>
          <w:tab w:val="center" w:pos="4153"/>
          <w:tab w:val="left" w:pos="7275"/>
        </w:tabs>
        <w:spacing w:line="560" w:lineRule="exact"/>
        <w:ind w:firstLine="640"/>
        <w:rPr>
          <w:rFonts w:ascii="Calibri" w:hAnsi="Calibri" w:eastAsia="方正黑体_GBK" w:cs="Times New Roman"/>
          <w:sz w:val="32"/>
          <w:szCs w:val="32"/>
        </w:rPr>
      </w:pPr>
      <w:r>
        <w:rPr>
          <w:rFonts w:hint="eastAsia" w:ascii="Calibri" w:hAnsi="Calibri" w:eastAsia="方正黑体_GBK" w:cs="Times New Roman"/>
          <w:sz w:val="32"/>
          <w:szCs w:val="32"/>
        </w:rPr>
        <w:t>七、决算公开联系方式及信息反馈渠道</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部门决算公开联系人：盛劲</w:t>
      </w:r>
    </w:p>
    <w:p>
      <w:pPr>
        <w:widowControl/>
        <w:shd w:val="clear" w:color="auto" w:fill="FFFFFF"/>
        <w:ind w:firstLine="640" w:firstLineChars="200"/>
        <w:jc w:val="left"/>
        <w:rPr>
          <w:rFonts w:ascii="Times New Roman" w:hAnsi="方正仿宋_GBK" w:eastAsia="方正仿宋_GBK" w:cs="方正仿宋_GBK"/>
          <w:sz w:val="32"/>
          <w:szCs w:val="32"/>
        </w:rPr>
      </w:pPr>
      <w:r>
        <w:rPr>
          <w:rFonts w:hint="eastAsia" w:ascii="Times New Roman" w:hAnsi="方正仿宋_GBK" w:eastAsia="方正仿宋_GBK" w:cs="方正仿宋_GBK"/>
          <w:sz w:val="32"/>
          <w:szCs w:val="32"/>
        </w:rPr>
        <w:t>联系电话：023-67822476</w:t>
      </w:r>
    </w:p>
    <w:p>
      <w:pPr>
        <w:widowControl/>
        <w:shd w:val="clear" w:color="auto" w:fill="FFFFFF"/>
        <w:ind w:firstLine="640" w:firstLineChars="200"/>
        <w:jc w:val="left"/>
        <w:rPr>
          <w:rFonts w:ascii="方正仿宋_GBK" w:hAnsi="方正仿宋_GBK" w:eastAsia="方正仿宋_GBK" w:cs="方正仿宋_GBK"/>
          <w:kern w:val="0"/>
          <w:sz w:val="32"/>
          <w:szCs w:val="32"/>
        </w:rPr>
      </w:pPr>
      <w:r>
        <w:rPr>
          <w:rFonts w:hint="eastAsia" w:ascii="Times New Roman" w:hAnsi="方正仿宋_GBK" w:eastAsia="方正仿宋_GBK" w:cs="方正仿宋_GBK"/>
          <w:sz w:val="32"/>
          <w:szCs w:val="32"/>
        </w:rPr>
        <w:t>邮箱：342816184@QQ.COM</w:t>
      </w:r>
    </w:p>
    <w:p>
      <w:pPr>
        <w:widowControl/>
        <w:shd w:val="clear" w:color="auto" w:fill="FFFFFF"/>
        <w:ind w:firstLine="640" w:firstLineChars="200"/>
        <w:jc w:val="left"/>
        <w:rPr>
          <w:rFonts w:ascii="方正仿宋_GBK" w:hAnsi="方正仿宋_GBK" w:eastAsia="方正仿宋_GBK" w:cs="方正仿宋_GBK"/>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2AA"/>
    <w:rsid w:val="00002944"/>
    <w:rsid w:val="0001499D"/>
    <w:rsid w:val="000333D8"/>
    <w:rsid w:val="00053976"/>
    <w:rsid w:val="0007089D"/>
    <w:rsid w:val="000920BE"/>
    <w:rsid w:val="000F1EC7"/>
    <w:rsid w:val="00127003"/>
    <w:rsid w:val="00145A73"/>
    <w:rsid w:val="00155A48"/>
    <w:rsid w:val="00163751"/>
    <w:rsid w:val="00172ADF"/>
    <w:rsid w:val="001F08DA"/>
    <w:rsid w:val="001F2128"/>
    <w:rsid w:val="002447FE"/>
    <w:rsid w:val="002861F2"/>
    <w:rsid w:val="002A1FC0"/>
    <w:rsid w:val="002B4BCE"/>
    <w:rsid w:val="002E6127"/>
    <w:rsid w:val="002F305D"/>
    <w:rsid w:val="003451F2"/>
    <w:rsid w:val="00352D0D"/>
    <w:rsid w:val="0037429D"/>
    <w:rsid w:val="00386449"/>
    <w:rsid w:val="003A36A6"/>
    <w:rsid w:val="003A42D1"/>
    <w:rsid w:val="003E2531"/>
    <w:rsid w:val="003E768E"/>
    <w:rsid w:val="00401748"/>
    <w:rsid w:val="00402A63"/>
    <w:rsid w:val="004152AA"/>
    <w:rsid w:val="00415968"/>
    <w:rsid w:val="0042151B"/>
    <w:rsid w:val="0043726B"/>
    <w:rsid w:val="00437C0F"/>
    <w:rsid w:val="00483B5E"/>
    <w:rsid w:val="004976F4"/>
    <w:rsid w:val="004A038E"/>
    <w:rsid w:val="004C2090"/>
    <w:rsid w:val="004D798B"/>
    <w:rsid w:val="004F61E4"/>
    <w:rsid w:val="00524A02"/>
    <w:rsid w:val="0058293D"/>
    <w:rsid w:val="005F0C6E"/>
    <w:rsid w:val="005F4DDF"/>
    <w:rsid w:val="005F4F04"/>
    <w:rsid w:val="00605A06"/>
    <w:rsid w:val="00645733"/>
    <w:rsid w:val="00645D9F"/>
    <w:rsid w:val="00661FF0"/>
    <w:rsid w:val="00676A62"/>
    <w:rsid w:val="006C72D5"/>
    <w:rsid w:val="00701B8F"/>
    <w:rsid w:val="00770592"/>
    <w:rsid w:val="007E18BD"/>
    <w:rsid w:val="00854BE5"/>
    <w:rsid w:val="00867E0A"/>
    <w:rsid w:val="008A306E"/>
    <w:rsid w:val="008B34E4"/>
    <w:rsid w:val="008B6D3A"/>
    <w:rsid w:val="008C4B83"/>
    <w:rsid w:val="008E09D6"/>
    <w:rsid w:val="009010F3"/>
    <w:rsid w:val="009130E8"/>
    <w:rsid w:val="00922999"/>
    <w:rsid w:val="00923DDF"/>
    <w:rsid w:val="00936C8B"/>
    <w:rsid w:val="009A358B"/>
    <w:rsid w:val="009C4F23"/>
    <w:rsid w:val="009D2580"/>
    <w:rsid w:val="009D2ECC"/>
    <w:rsid w:val="00A40532"/>
    <w:rsid w:val="00A430CE"/>
    <w:rsid w:val="00A73F87"/>
    <w:rsid w:val="00A75DE2"/>
    <w:rsid w:val="00AA2D81"/>
    <w:rsid w:val="00AD7B51"/>
    <w:rsid w:val="00AE1A9E"/>
    <w:rsid w:val="00AF4A75"/>
    <w:rsid w:val="00C002A4"/>
    <w:rsid w:val="00C80167"/>
    <w:rsid w:val="00C842E7"/>
    <w:rsid w:val="00CC1201"/>
    <w:rsid w:val="00CE6555"/>
    <w:rsid w:val="00CF055C"/>
    <w:rsid w:val="00D464A3"/>
    <w:rsid w:val="00D4782F"/>
    <w:rsid w:val="00D571E8"/>
    <w:rsid w:val="00DB4166"/>
    <w:rsid w:val="00DD3D11"/>
    <w:rsid w:val="00E211D2"/>
    <w:rsid w:val="00E23574"/>
    <w:rsid w:val="00E23D80"/>
    <w:rsid w:val="00E52166"/>
    <w:rsid w:val="00E60E18"/>
    <w:rsid w:val="00EA7173"/>
    <w:rsid w:val="00F637DE"/>
    <w:rsid w:val="00F717F2"/>
    <w:rsid w:val="00F7617E"/>
    <w:rsid w:val="00F97B26"/>
    <w:rsid w:val="054A5DAB"/>
    <w:rsid w:val="078D3871"/>
    <w:rsid w:val="0C8046AE"/>
    <w:rsid w:val="0F5B56D0"/>
    <w:rsid w:val="187E6EDC"/>
    <w:rsid w:val="1E43532E"/>
    <w:rsid w:val="1F6313E9"/>
    <w:rsid w:val="2A3A4A55"/>
    <w:rsid w:val="36FE0F46"/>
    <w:rsid w:val="37181AAD"/>
    <w:rsid w:val="3BD50787"/>
    <w:rsid w:val="3C3B5FE1"/>
    <w:rsid w:val="484B2CF4"/>
    <w:rsid w:val="4ACC5ED2"/>
    <w:rsid w:val="4EA85146"/>
    <w:rsid w:val="504B3E26"/>
    <w:rsid w:val="54C411BE"/>
    <w:rsid w:val="5601493A"/>
    <w:rsid w:val="59CE02C6"/>
    <w:rsid w:val="5A9B408C"/>
    <w:rsid w:val="5C365367"/>
    <w:rsid w:val="62924EEA"/>
    <w:rsid w:val="68972704"/>
    <w:rsid w:val="78B56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title"/>
    <w:basedOn w:val="7"/>
    <w:qFormat/>
    <w:uiPriority w:val="0"/>
  </w:style>
  <w:style w:type="character" w:customStyle="1" w:styleId="14">
    <w:name w:val="批注框文本 Char"/>
    <w:basedOn w:val="7"/>
    <w:link w:val="3"/>
    <w:semiHidden/>
    <w:qFormat/>
    <w:uiPriority w:val="99"/>
    <w:rPr>
      <w:sz w:val="18"/>
      <w:szCs w:val="18"/>
    </w:rPr>
  </w:style>
  <w:style w:type="paragraph" w:customStyle="1" w:styleId="15">
    <w:name w:val="_Style 1"/>
    <w:basedOn w:val="1"/>
    <w:qFormat/>
    <w:uiPriority w:val="34"/>
    <w:pPr>
      <w:ind w:firstLine="420" w:firstLineChars="200"/>
    </w:pPr>
    <w:rPr>
      <w:rFonts w:ascii="Calibri" w:hAnsi="Calibri" w:eastAsia="宋体" w:cs="Times New Roman"/>
    </w:rPr>
  </w:style>
  <w:style w:type="paragraph" w:customStyle="1" w:styleId="16">
    <w:name w:val="列出段落1"/>
    <w:basedOn w:val="1"/>
    <w:qFormat/>
    <w:uiPriority w:val="34"/>
    <w:pPr>
      <w:ind w:firstLine="420" w:firstLineChars="200"/>
    </w:pPr>
    <w:rPr>
      <w:rFonts w:ascii="Calibri" w:hAnsi="Calibri" w:eastAsia="宋体" w:cs="Times New Roman"/>
    </w:rPr>
  </w:style>
  <w:style w:type="paragraph" w:customStyle="1" w:styleId="17">
    <w:name w:val="列出段落2"/>
    <w:basedOn w:val="1"/>
    <w:qFormat/>
    <w:uiPriority w:val="34"/>
    <w:pPr>
      <w:ind w:firstLine="420" w:firstLineChars="200"/>
    </w:pPr>
    <w:rPr>
      <w:rFonts w:ascii="Times New Roman" w:hAnsi="Times New Roman" w:eastAsia="宋体" w:cs="Times New Roman"/>
    </w:rPr>
  </w:style>
  <w:style w:type="paragraph" w:customStyle="1" w:styleId="18">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1536</Words>
  <Characters>8757</Characters>
  <Lines>72</Lines>
  <Paragraphs>20</Paragraphs>
  <TotalTime>74</TotalTime>
  <ScaleCrop>false</ScaleCrop>
  <LinksUpToDate>false</LinksUpToDate>
  <CharactersWithSpaces>10273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2022-08-16T03:10:00Z</dcterms:created>
  <dc:creator>AutoBVT</dc:creator>
  <cp:lastModifiedBy>USER</cp:lastModifiedBy>
  <dcterms:modified xsi:type="dcterms:W3CDTF">2024-02-28T06:35:00Z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