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w:t>
      </w:r>
    </w:p>
    <w:p>
      <w:pPr>
        <w:adjustRightInd w:val="0"/>
        <w:snapToGrid w:val="0"/>
        <w:spacing w:before="249" w:beforeLines="80" w:after="249" w:afterLines="80" w:line="560" w:lineRule="exact"/>
        <w:jc w:val="center"/>
        <w:rPr>
          <w:rFonts w:ascii="Times New Roman" w:hAnsi="Times New Roman" w:eastAsia="方正小标宋_GBK" w:cs="Times New Roman"/>
          <w:sz w:val="44"/>
          <w:szCs w:val="44"/>
        </w:rPr>
      </w:pPr>
      <w:bookmarkStart w:id="0" w:name="_GoBack"/>
      <w:r>
        <w:rPr>
          <w:rFonts w:hint="eastAsia" w:ascii="Times New Roman" w:hAnsi="Times New Roman" w:eastAsia="方正小标宋_GBK" w:cs="Times New Roman"/>
          <w:sz w:val="44"/>
          <w:szCs w:val="44"/>
        </w:rPr>
        <w:t>渝北区交通和</w:t>
      </w:r>
      <w:r>
        <w:rPr>
          <w:rFonts w:ascii="Times New Roman" w:hAnsi="Times New Roman" w:eastAsia="方正小标宋_GBK" w:cs="Times New Roman"/>
          <w:sz w:val="44"/>
          <w:szCs w:val="44"/>
        </w:rPr>
        <w:t>卫生健康领域地方性法规配套规定处置情况表</w:t>
      </w:r>
      <w:bookmarkEnd w:id="0"/>
    </w:p>
    <w:tbl>
      <w:tblPr>
        <w:tblStyle w:val="5"/>
        <w:tblW w:w="14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3933"/>
        <w:gridCol w:w="1411"/>
        <w:gridCol w:w="5191"/>
        <w:gridCol w:w="1559"/>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697" w:type="dxa"/>
            <w:vAlign w:val="center"/>
          </w:tcPr>
          <w:p>
            <w:pPr>
              <w:adjustRightInd w:val="0"/>
              <w:snapToGrid w:val="0"/>
              <w:spacing w:line="300" w:lineRule="exact"/>
              <w:jc w:val="center"/>
              <w:rPr>
                <w:rFonts w:ascii="Times New Roman" w:hAnsi="Times New Roman" w:eastAsia="方正黑体_GBK" w:cs="Times New Roman"/>
                <w:color w:val="000000"/>
                <w:sz w:val="28"/>
                <w:szCs w:val="28"/>
              </w:rPr>
            </w:pPr>
            <w:r>
              <w:rPr>
                <w:rFonts w:ascii="Times New Roman" w:hAnsi="Times New Roman" w:eastAsia="方正黑体_GBK" w:cs="Times New Roman"/>
                <w:color w:val="000000"/>
                <w:sz w:val="28"/>
                <w:szCs w:val="28"/>
              </w:rPr>
              <w:t>序号</w:t>
            </w:r>
          </w:p>
        </w:tc>
        <w:tc>
          <w:tcPr>
            <w:tcW w:w="3933" w:type="dxa"/>
            <w:vAlign w:val="center"/>
          </w:tcPr>
          <w:p>
            <w:pPr>
              <w:adjustRightInd w:val="0"/>
              <w:snapToGrid w:val="0"/>
              <w:spacing w:line="300" w:lineRule="exact"/>
              <w:jc w:val="center"/>
              <w:rPr>
                <w:rFonts w:ascii="Times New Roman" w:hAnsi="Times New Roman" w:eastAsia="方正黑体_GBK" w:cs="Times New Roman"/>
                <w:color w:val="000000"/>
                <w:sz w:val="28"/>
                <w:szCs w:val="28"/>
              </w:rPr>
            </w:pPr>
            <w:r>
              <w:rPr>
                <w:rFonts w:ascii="Times New Roman" w:hAnsi="Times New Roman" w:eastAsia="方正黑体_GBK" w:cs="Times New Roman"/>
                <w:color w:val="000000"/>
                <w:sz w:val="28"/>
                <w:szCs w:val="28"/>
              </w:rPr>
              <w:t>贯彻的地方性法规及条文</w:t>
            </w:r>
          </w:p>
        </w:tc>
        <w:tc>
          <w:tcPr>
            <w:tcW w:w="1411" w:type="dxa"/>
            <w:vAlign w:val="center"/>
          </w:tcPr>
          <w:p>
            <w:pPr>
              <w:adjustRightInd w:val="0"/>
              <w:snapToGrid w:val="0"/>
              <w:spacing w:line="300" w:lineRule="exact"/>
              <w:jc w:val="center"/>
              <w:rPr>
                <w:rFonts w:ascii="Times New Roman" w:hAnsi="Times New Roman" w:eastAsia="方正黑体_GBK" w:cs="Times New Roman"/>
                <w:color w:val="000000"/>
                <w:sz w:val="28"/>
                <w:szCs w:val="28"/>
              </w:rPr>
            </w:pPr>
            <w:r>
              <w:rPr>
                <w:rFonts w:ascii="Times New Roman" w:hAnsi="Times New Roman" w:eastAsia="方正黑体_GBK" w:cs="Times New Roman"/>
                <w:color w:val="000000"/>
                <w:sz w:val="28"/>
                <w:szCs w:val="28"/>
              </w:rPr>
              <w:t>责任机关</w:t>
            </w:r>
          </w:p>
        </w:tc>
        <w:tc>
          <w:tcPr>
            <w:tcW w:w="5191" w:type="dxa"/>
            <w:vAlign w:val="center"/>
          </w:tcPr>
          <w:p>
            <w:pPr>
              <w:adjustRightInd w:val="0"/>
              <w:snapToGrid w:val="0"/>
              <w:spacing w:line="300" w:lineRule="exact"/>
              <w:jc w:val="center"/>
              <w:rPr>
                <w:rFonts w:ascii="Times New Roman" w:hAnsi="Times New Roman" w:eastAsia="方正黑体_GBK" w:cs="Times New Roman"/>
                <w:color w:val="000000"/>
                <w:sz w:val="28"/>
                <w:szCs w:val="28"/>
              </w:rPr>
            </w:pPr>
            <w:r>
              <w:rPr>
                <w:rFonts w:ascii="Times New Roman" w:hAnsi="Times New Roman" w:eastAsia="方正黑体_GBK" w:cs="Times New Roman"/>
                <w:color w:val="000000"/>
                <w:sz w:val="28"/>
                <w:szCs w:val="28"/>
              </w:rPr>
              <w:t>未制定配套规定的原因</w:t>
            </w:r>
          </w:p>
        </w:tc>
        <w:tc>
          <w:tcPr>
            <w:tcW w:w="1559" w:type="dxa"/>
            <w:vAlign w:val="center"/>
          </w:tcPr>
          <w:p>
            <w:pPr>
              <w:adjustRightInd w:val="0"/>
              <w:snapToGrid w:val="0"/>
              <w:spacing w:line="300" w:lineRule="exact"/>
              <w:jc w:val="center"/>
              <w:rPr>
                <w:rFonts w:ascii="Times New Roman" w:hAnsi="Times New Roman" w:eastAsia="方正黑体_GBK" w:cs="Times New Roman"/>
                <w:color w:val="000000"/>
                <w:sz w:val="28"/>
                <w:szCs w:val="28"/>
              </w:rPr>
            </w:pPr>
            <w:r>
              <w:rPr>
                <w:rFonts w:ascii="Times New Roman" w:hAnsi="Times New Roman" w:eastAsia="方正黑体_GBK" w:cs="Times New Roman"/>
                <w:color w:val="000000"/>
                <w:sz w:val="28"/>
                <w:szCs w:val="28"/>
              </w:rPr>
              <w:t>处置建议</w:t>
            </w:r>
          </w:p>
        </w:tc>
        <w:tc>
          <w:tcPr>
            <w:tcW w:w="1442" w:type="dxa"/>
            <w:vAlign w:val="center"/>
          </w:tcPr>
          <w:p>
            <w:pPr>
              <w:adjustRightInd w:val="0"/>
              <w:snapToGrid w:val="0"/>
              <w:spacing w:line="300" w:lineRule="exact"/>
              <w:jc w:val="center"/>
              <w:rPr>
                <w:rFonts w:ascii="Times New Roman" w:hAnsi="Times New Roman" w:eastAsia="方正黑体_GBK" w:cs="Times New Roman"/>
                <w:color w:val="000000"/>
                <w:sz w:val="28"/>
                <w:szCs w:val="28"/>
              </w:rPr>
            </w:pPr>
            <w:r>
              <w:rPr>
                <w:rFonts w:ascii="Times New Roman" w:hAnsi="Times New Roman" w:eastAsia="方正黑体_GBK" w:cs="Times New Roman"/>
                <w:color w:val="000000"/>
                <w:sz w:val="28"/>
                <w:szCs w:val="28"/>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97" w:type="dxa"/>
            <w:vAlign w:val="center"/>
          </w:tcPr>
          <w:p>
            <w:pPr>
              <w:adjustRightInd w:val="0"/>
              <w:snapToGrid w:val="0"/>
              <w:spacing w:line="300" w:lineRule="exact"/>
              <w:jc w:val="center"/>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sz w:val="24"/>
              </w:rPr>
              <w:t>1</w:t>
            </w:r>
          </w:p>
        </w:tc>
        <w:tc>
          <w:tcPr>
            <w:tcW w:w="3933" w:type="dxa"/>
            <w:vAlign w:val="center"/>
          </w:tcPr>
          <w:p>
            <w:pPr>
              <w:adjustRightInd w:val="0"/>
              <w:snapToGrid w:val="0"/>
              <w:spacing w:line="300" w:lineRule="exact"/>
              <w:rPr>
                <w:rFonts w:hint="eastAsia"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w:t>
            </w:r>
            <w:r>
              <w:rPr>
                <w:rFonts w:ascii="Times New Roman" w:hAnsi="Times New Roman" w:eastAsia="方正仿宋_GBK" w:cs="Times New Roman"/>
                <w:color w:val="000000"/>
                <w:sz w:val="24"/>
              </w:rPr>
              <w:t>重庆市航道管理条例</w:t>
            </w:r>
            <w:r>
              <w:rPr>
                <w:rFonts w:hint="eastAsia" w:ascii="方正仿宋_GBK" w:hAnsi="Times New Roman" w:eastAsia="方正仿宋_GBK" w:cs="Times New Roman"/>
                <w:color w:val="000000"/>
                <w:sz w:val="24"/>
              </w:rPr>
              <w:t>》</w:t>
            </w:r>
            <w:r>
              <w:rPr>
                <w:rFonts w:hint="eastAsia" w:ascii="Times New Roman" w:hAnsi="Times New Roman" w:eastAsia="方正黑体_GBK" w:cs="Times New Roman"/>
                <w:color w:val="000000"/>
                <w:sz w:val="24"/>
              </w:rPr>
              <w:t xml:space="preserve">第三十条第一款  </w:t>
            </w:r>
            <w:r>
              <w:rPr>
                <w:rFonts w:hint="eastAsia" w:ascii="Times New Roman" w:hAnsi="Times New Roman" w:eastAsia="方正楷体_GBK" w:cs="Times New Roman"/>
                <w:b/>
                <w:color w:val="000000"/>
                <w:sz w:val="24"/>
              </w:rPr>
              <w:t>港航管理机构应当制定突发事件应急预案</w:t>
            </w:r>
            <w:r>
              <w:rPr>
                <w:rFonts w:hint="eastAsia" w:ascii="Times New Roman" w:hAnsi="Times New Roman" w:eastAsia="方正楷体_GBK" w:cs="Times New Roman"/>
                <w:color w:val="000000"/>
                <w:sz w:val="24"/>
              </w:rPr>
              <w:t>，定期开展应急演练。</w:t>
            </w:r>
          </w:p>
        </w:tc>
        <w:tc>
          <w:tcPr>
            <w:tcW w:w="1411" w:type="dxa"/>
            <w:vAlign w:val="center"/>
          </w:tcPr>
          <w:p>
            <w:pPr>
              <w:adjustRightInd w:val="0"/>
              <w:snapToGrid w:val="0"/>
              <w:spacing w:line="300" w:lineRule="exact"/>
              <w:jc w:val="center"/>
              <w:rPr>
                <w:rFonts w:hint="eastAsia"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渝北区</w:t>
            </w:r>
            <w:r>
              <w:rPr>
                <w:rFonts w:ascii="Times New Roman" w:hAnsi="Times New Roman" w:eastAsia="方正楷体_GBK" w:cs="Times New Roman"/>
                <w:color w:val="000000"/>
                <w:sz w:val="24"/>
              </w:rPr>
              <w:t>交通局</w:t>
            </w:r>
          </w:p>
        </w:tc>
        <w:tc>
          <w:tcPr>
            <w:tcW w:w="5191" w:type="dxa"/>
            <w:vAlign w:val="center"/>
          </w:tcPr>
          <w:p>
            <w:pPr>
              <w:adjustRightInd w:val="0"/>
              <w:snapToGrid w:val="0"/>
              <w:spacing w:line="300" w:lineRule="exact"/>
              <w:jc w:val="left"/>
              <w:rPr>
                <w:rFonts w:hint="eastAsia"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正在制定《渝北区</w:t>
            </w:r>
            <w:r>
              <w:rPr>
                <w:rFonts w:ascii="Times New Roman" w:hAnsi="Times New Roman" w:eastAsia="方正楷体_GBK" w:cs="Times New Roman"/>
                <w:color w:val="000000"/>
                <w:sz w:val="24"/>
              </w:rPr>
              <w:t>水上交通事故应急预案</w:t>
            </w:r>
            <w:r>
              <w:rPr>
                <w:rFonts w:hint="eastAsia" w:ascii="Times New Roman" w:hAnsi="Times New Roman" w:eastAsia="方正楷体_GBK" w:cs="Times New Roman"/>
                <w:color w:val="000000"/>
                <w:sz w:val="24"/>
              </w:rPr>
              <w:t>》，目前区政府正在审批之中</w:t>
            </w:r>
          </w:p>
        </w:tc>
        <w:tc>
          <w:tcPr>
            <w:tcW w:w="1559" w:type="dxa"/>
            <w:vAlign w:val="center"/>
          </w:tcPr>
          <w:p>
            <w:pPr>
              <w:adjustRightInd w:val="0"/>
              <w:snapToGrid w:val="0"/>
              <w:spacing w:line="300" w:lineRule="exact"/>
              <w:jc w:val="center"/>
              <w:rPr>
                <w:rFonts w:hint="eastAsia"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制定《渝北区</w:t>
            </w:r>
            <w:r>
              <w:rPr>
                <w:rFonts w:ascii="Times New Roman" w:hAnsi="Times New Roman" w:eastAsia="方正楷体_GBK" w:cs="Times New Roman"/>
                <w:color w:val="000000"/>
                <w:sz w:val="24"/>
              </w:rPr>
              <w:t>水上交通事故应急预案</w:t>
            </w:r>
            <w:r>
              <w:rPr>
                <w:rFonts w:hint="eastAsia" w:ascii="Times New Roman" w:hAnsi="Times New Roman" w:eastAsia="方正楷体_GBK" w:cs="Times New Roman"/>
                <w:color w:val="000000"/>
                <w:sz w:val="24"/>
              </w:rPr>
              <w:t>》</w:t>
            </w:r>
          </w:p>
        </w:tc>
        <w:tc>
          <w:tcPr>
            <w:tcW w:w="1442" w:type="dxa"/>
            <w:vAlign w:val="center"/>
          </w:tcPr>
          <w:p>
            <w:pPr>
              <w:adjustRightInd w:val="0"/>
              <w:snapToGrid w:val="0"/>
              <w:spacing w:line="300" w:lineRule="exact"/>
              <w:jc w:val="center"/>
              <w:rPr>
                <w:rFonts w:hint="eastAsia"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2020.04.30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97" w:type="dxa"/>
            <w:vAlign w:val="center"/>
          </w:tcPr>
          <w:p>
            <w:pPr>
              <w:adjustRightInd w:val="0"/>
              <w:snapToGrid w:val="0"/>
              <w:spacing w:line="300" w:lineRule="exact"/>
              <w:jc w:val="center"/>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sz w:val="24"/>
              </w:rPr>
              <w:t>2</w:t>
            </w:r>
          </w:p>
        </w:tc>
        <w:tc>
          <w:tcPr>
            <w:tcW w:w="3933" w:type="dxa"/>
            <w:vAlign w:val="center"/>
          </w:tcPr>
          <w:p>
            <w:pPr>
              <w:adjustRightInd w:val="0"/>
              <w:snapToGrid w:val="0"/>
              <w:spacing w:line="300" w:lineRule="exact"/>
              <w:rPr>
                <w:rFonts w:hint="eastAsia"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w:t>
            </w:r>
            <w:r>
              <w:rPr>
                <w:rFonts w:ascii="Times New Roman" w:hAnsi="Times New Roman" w:eastAsia="方正仿宋_GBK" w:cs="Times New Roman"/>
                <w:color w:val="000000"/>
                <w:sz w:val="24"/>
              </w:rPr>
              <w:t>重庆市公共汽车客运条例</w:t>
            </w:r>
            <w:r>
              <w:rPr>
                <w:rFonts w:hint="eastAsia" w:ascii="方正仿宋_GBK" w:hAnsi="Times New Roman" w:eastAsia="方正仿宋_GBK" w:cs="Times New Roman"/>
                <w:color w:val="000000"/>
                <w:sz w:val="24"/>
              </w:rPr>
              <w:t>》</w:t>
            </w:r>
            <w:r>
              <w:rPr>
                <w:rFonts w:hint="eastAsia" w:ascii="Times New Roman" w:hAnsi="Times New Roman" w:eastAsia="方正黑体_GBK" w:cs="Times New Roman"/>
                <w:color w:val="000000"/>
                <w:sz w:val="24"/>
              </w:rPr>
              <w:t>第五十一条第一款　</w:t>
            </w:r>
            <w:r>
              <w:rPr>
                <w:rFonts w:hint="eastAsia" w:ascii="Times New Roman" w:hAnsi="Times New Roman" w:eastAsia="方正楷体_GBK" w:cs="Times New Roman"/>
                <w:b/>
                <w:color w:val="000000"/>
                <w:sz w:val="24"/>
              </w:rPr>
              <w:t>交通主管部门和道路运输管理机构应当建立投诉、举报制度</w:t>
            </w:r>
            <w:r>
              <w:rPr>
                <w:rFonts w:hint="eastAsia" w:ascii="Times New Roman" w:hAnsi="Times New Roman" w:eastAsia="方正楷体_GBK" w:cs="Times New Roman"/>
                <w:color w:val="000000"/>
                <w:sz w:val="24"/>
              </w:rPr>
              <w:t>，公开举报电话、通信地址和电子邮箱，受理投诉、举报。</w:t>
            </w:r>
          </w:p>
        </w:tc>
        <w:tc>
          <w:tcPr>
            <w:tcW w:w="1411" w:type="dxa"/>
            <w:vAlign w:val="center"/>
          </w:tcPr>
          <w:p>
            <w:pPr>
              <w:spacing w:line="300" w:lineRule="exact"/>
              <w:jc w:val="center"/>
              <w:rPr>
                <w:rFonts w:ascii="Times New Roman" w:hAnsi="Times New Roman" w:eastAsia="宋体" w:cs="Times New Roman"/>
                <w:color w:val="000000"/>
                <w:sz w:val="24"/>
              </w:rPr>
            </w:pPr>
            <w:r>
              <w:rPr>
                <w:rFonts w:hint="eastAsia" w:ascii="Times New Roman" w:hAnsi="Times New Roman" w:eastAsia="方正楷体_GBK" w:cs="Times New Roman"/>
                <w:color w:val="000000"/>
                <w:sz w:val="24"/>
              </w:rPr>
              <w:t>渝北区</w:t>
            </w:r>
            <w:r>
              <w:rPr>
                <w:rFonts w:ascii="Times New Roman" w:hAnsi="Times New Roman" w:eastAsia="方正楷体_GBK" w:cs="Times New Roman"/>
                <w:color w:val="000000"/>
                <w:sz w:val="24"/>
              </w:rPr>
              <w:t>交通局</w:t>
            </w:r>
          </w:p>
        </w:tc>
        <w:tc>
          <w:tcPr>
            <w:tcW w:w="5191" w:type="dxa"/>
            <w:vAlign w:val="center"/>
          </w:tcPr>
          <w:p>
            <w:pPr>
              <w:adjustRightInd w:val="0"/>
              <w:snapToGrid w:val="0"/>
              <w:spacing w:line="300" w:lineRule="exact"/>
              <w:jc w:val="left"/>
              <w:rPr>
                <w:rFonts w:hint="eastAsia" w:ascii="Times New Roman" w:hAnsi="Times New Roman" w:eastAsia="方正楷体_GBK" w:cs="Times New Roman"/>
                <w:color w:val="000000"/>
                <w:sz w:val="24"/>
              </w:rPr>
            </w:pPr>
            <w:r>
              <w:rPr>
                <w:rFonts w:ascii="Times New Roman" w:hAnsi="Times New Roman" w:eastAsia="方正楷体_GBK" w:cs="Times New Roman"/>
                <w:color w:val="000000"/>
                <w:sz w:val="24"/>
              </w:rPr>
              <w:t>市交通局</w:t>
            </w:r>
            <w:r>
              <w:rPr>
                <w:rFonts w:hint="eastAsia" w:ascii="Times New Roman" w:hAnsi="Times New Roman" w:eastAsia="方正楷体_GBK" w:cs="Times New Roman"/>
                <w:color w:val="000000"/>
                <w:sz w:val="24"/>
              </w:rPr>
              <w:t>设立96096举报</w:t>
            </w:r>
            <w:r>
              <w:rPr>
                <w:rFonts w:ascii="Times New Roman" w:hAnsi="Times New Roman" w:eastAsia="方正楷体_GBK" w:cs="Times New Roman"/>
                <w:color w:val="000000"/>
                <w:sz w:val="24"/>
              </w:rPr>
              <w:t>电话，</w:t>
            </w:r>
            <w:r>
              <w:rPr>
                <w:rFonts w:hint="eastAsia" w:ascii="Times New Roman" w:hAnsi="Times New Roman" w:eastAsia="方正楷体_GBK" w:cs="Times New Roman"/>
                <w:color w:val="000000"/>
                <w:sz w:val="24"/>
              </w:rPr>
              <w:t>主城区公共</w:t>
            </w:r>
            <w:r>
              <w:rPr>
                <w:rFonts w:ascii="Times New Roman" w:hAnsi="Times New Roman" w:eastAsia="方正楷体_GBK" w:cs="Times New Roman"/>
                <w:color w:val="000000"/>
                <w:sz w:val="24"/>
              </w:rPr>
              <w:t>汽车</w:t>
            </w:r>
            <w:r>
              <w:rPr>
                <w:rFonts w:hint="eastAsia" w:ascii="Times New Roman" w:hAnsi="Times New Roman" w:eastAsia="方正楷体_GBK" w:cs="Times New Roman"/>
                <w:color w:val="000000"/>
                <w:sz w:val="24"/>
              </w:rPr>
              <w:t>客运</w:t>
            </w:r>
            <w:r>
              <w:rPr>
                <w:rFonts w:ascii="Times New Roman" w:hAnsi="Times New Roman" w:eastAsia="方正楷体_GBK" w:cs="Times New Roman"/>
                <w:color w:val="000000"/>
                <w:sz w:val="24"/>
              </w:rPr>
              <w:t>投诉、举报</w:t>
            </w:r>
            <w:r>
              <w:rPr>
                <w:rFonts w:hint="eastAsia" w:ascii="Times New Roman" w:hAnsi="Times New Roman" w:eastAsia="方正楷体_GBK" w:cs="Times New Roman"/>
                <w:color w:val="000000"/>
                <w:sz w:val="24"/>
              </w:rPr>
              <w:t>制度由</w:t>
            </w:r>
            <w:r>
              <w:rPr>
                <w:rFonts w:ascii="Times New Roman" w:hAnsi="Times New Roman" w:eastAsia="方正楷体_GBK" w:cs="Times New Roman"/>
                <w:color w:val="000000"/>
                <w:sz w:val="24"/>
              </w:rPr>
              <w:t>市</w:t>
            </w:r>
            <w:r>
              <w:rPr>
                <w:rFonts w:hint="eastAsia" w:ascii="Times New Roman" w:hAnsi="Times New Roman" w:eastAsia="方正楷体_GBK" w:cs="Times New Roman"/>
                <w:color w:val="000000"/>
                <w:sz w:val="24"/>
              </w:rPr>
              <w:t>道路运输管理机构建立</w:t>
            </w:r>
            <w:r>
              <w:rPr>
                <w:rFonts w:ascii="Times New Roman" w:hAnsi="Times New Roman" w:eastAsia="方正楷体_GBK" w:cs="Times New Roman"/>
                <w:color w:val="000000"/>
                <w:sz w:val="24"/>
              </w:rPr>
              <w:t>。</w:t>
            </w:r>
          </w:p>
        </w:tc>
        <w:tc>
          <w:tcPr>
            <w:tcW w:w="1559" w:type="dxa"/>
            <w:vAlign w:val="center"/>
          </w:tcPr>
          <w:p>
            <w:pPr>
              <w:adjustRightInd w:val="0"/>
              <w:snapToGrid w:val="0"/>
              <w:spacing w:line="300" w:lineRule="exact"/>
              <w:jc w:val="center"/>
              <w:rPr>
                <w:rFonts w:hint="eastAsia"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不建立</w:t>
            </w:r>
          </w:p>
        </w:tc>
        <w:tc>
          <w:tcPr>
            <w:tcW w:w="1442" w:type="dxa"/>
            <w:vAlign w:val="center"/>
          </w:tcPr>
          <w:p>
            <w:pPr>
              <w:adjustRightInd w:val="0"/>
              <w:snapToGrid w:val="0"/>
              <w:spacing w:line="300" w:lineRule="exact"/>
              <w:jc w:val="center"/>
              <w:rPr>
                <w:rFonts w:hint="eastAsia" w:ascii="Times New Roman" w:hAnsi="Times New Roman" w:eastAsia="方正楷体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97" w:type="dxa"/>
            <w:vAlign w:val="center"/>
          </w:tcPr>
          <w:p>
            <w:pPr>
              <w:adjustRightInd w:val="0"/>
              <w:snapToGrid w:val="0"/>
              <w:spacing w:line="300" w:lineRule="exact"/>
              <w:jc w:val="center"/>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sz w:val="24"/>
              </w:rPr>
              <w:t>3</w:t>
            </w:r>
          </w:p>
        </w:tc>
        <w:tc>
          <w:tcPr>
            <w:tcW w:w="3933" w:type="dxa"/>
            <w:vAlign w:val="center"/>
          </w:tcPr>
          <w:p>
            <w:pPr>
              <w:adjustRightInd w:val="0"/>
              <w:snapToGrid w:val="0"/>
              <w:spacing w:line="300" w:lineRule="exact"/>
              <w:rPr>
                <w:rFonts w:hint="eastAsia"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w:t>
            </w:r>
            <w:r>
              <w:rPr>
                <w:rFonts w:hint="eastAsia" w:ascii="Times New Roman" w:hAnsi="Times New Roman" w:eastAsia="方正仿宋_GBK" w:cs="Times New Roman"/>
                <w:color w:val="000000"/>
                <w:sz w:val="24"/>
              </w:rPr>
              <w:t>重庆市农村初级卫生保健条例</w:t>
            </w:r>
            <w:r>
              <w:rPr>
                <w:rFonts w:hint="eastAsia" w:ascii="方正仿宋_GBK" w:hAnsi="Times New Roman" w:eastAsia="方正仿宋_GBK" w:cs="Times New Roman"/>
                <w:color w:val="000000"/>
                <w:sz w:val="24"/>
              </w:rPr>
              <w:t>》</w:t>
            </w:r>
            <w:r>
              <w:rPr>
                <w:rFonts w:hint="eastAsia" w:ascii="Times New Roman" w:hAnsi="Times New Roman" w:eastAsia="方正黑体_GBK" w:cs="Times New Roman"/>
                <w:color w:val="000000"/>
                <w:sz w:val="24"/>
              </w:rPr>
              <w:t xml:space="preserve">第二十条 </w:t>
            </w:r>
            <w:r>
              <w:rPr>
                <w:rFonts w:hint="eastAsia" w:ascii="Times New Roman" w:hAnsi="Times New Roman" w:eastAsia="方正楷体_GBK" w:cs="Times New Roman"/>
                <w:color w:val="000000"/>
                <w:sz w:val="24"/>
              </w:rPr>
              <w:t xml:space="preserve"> 鼓励大学、中专医学院、校毕业生到农村边远、艰苦地区的乡（镇）卫生院工作，其工资待遇从优，</w:t>
            </w:r>
            <w:r>
              <w:rPr>
                <w:rFonts w:hint="eastAsia" w:ascii="Times New Roman" w:hAnsi="Times New Roman" w:eastAsia="方正楷体_GBK" w:cs="Times New Roman"/>
                <w:b/>
                <w:color w:val="000000"/>
                <w:sz w:val="24"/>
              </w:rPr>
              <w:t>具体办法由各区县（自治县）人民政府制定。</w:t>
            </w:r>
          </w:p>
        </w:tc>
        <w:tc>
          <w:tcPr>
            <w:tcW w:w="1411" w:type="dxa"/>
            <w:vAlign w:val="center"/>
          </w:tcPr>
          <w:p>
            <w:pPr>
              <w:adjustRightInd w:val="0"/>
              <w:snapToGrid w:val="0"/>
              <w:spacing w:line="300" w:lineRule="exact"/>
              <w:jc w:val="center"/>
              <w:rPr>
                <w:rFonts w:hint="eastAsia"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渝北区</w:t>
            </w:r>
            <w:r>
              <w:rPr>
                <w:rFonts w:ascii="Times New Roman" w:hAnsi="Times New Roman" w:eastAsia="方正楷体_GBK" w:cs="Times New Roman"/>
                <w:color w:val="000000"/>
                <w:sz w:val="24"/>
              </w:rPr>
              <w:t>卫生健康委</w:t>
            </w:r>
          </w:p>
        </w:tc>
        <w:tc>
          <w:tcPr>
            <w:tcW w:w="5191" w:type="dxa"/>
            <w:vAlign w:val="center"/>
          </w:tcPr>
          <w:p>
            <w:pPr>
              <w:adjustRightInd w:val="0"/>
              <w:snapToGrid w:val="0"/>
              <w:spacing w:line="360" w:lineRule="exac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渝北区卫健委只是执行市卫生健康委出台的相关政策，无制定政策的权限，因此渝北区无法制定该项政策的配套规定。</w:t>
            </w:r>
          </w:p>
        </w:tc>
        <w:tc>
          <w:tcPr>
            <w:tcW w:w="1559" w:type="dxa"/>
            <w:vAlign w:val="center"/>
          </w:tcPr>
          <w:p>
            <w:pPr>
              <w:adjustRightInd w:val="0"/>
              <w:snapToGrid w:val="0"/>
              <w:spacing w:line="360" w:lineRule="exact"/>
              <w:rPr>
                <w:rFonts w:ascii="Times New Roman" w:hAnsi="Times New Roman" w:eastAsia="方正楷体_GBK" w:cs="Times New Roman"/>
                <w:sz w:val="24"/>
              </w:rPr>
            </w:pPr>
            <w:r>
              <w:rPr>
                <w:rFonts w:hint="eastAsia" w:ascii="方正仿宋_GBK" w:hAnsi="方正仿宋_GBK" w:eastAsia="方正仿宋_GBK" w:cs="方正仿宋_GBK"/>
                <w:sz w:val="24"/>
              </w:rPr>
              <w:t>按市卫生健康委出台政策执行</w:t>
            </w:r>
          </w:p>
        </w:tc>
        <w:tc>
          <w:tcPr>
            <w:tcW w:w="1442" w:type="dxa"/>
            <w:vAlign w:val="center"/>
          </w:tcPr>
          <w:p>
            <w:pPr>
              <w:adjustRightInd w:val="0"/>
              <w:snapToGrid w:val="0"/>
              <w:spacing w:line="360" w:lineRule="exact"/>
              <w:jc w:val="center"/>
              <w:rPr>
                <w:rFonts w:ascii="Times New Roman" w:hAnsi="Times New Roman" w:eastAsia="方正楷体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97" w:type="dxa"/>
            <w:vAlign w:val="center"/>
          </w:tcPr>
          <w:p>
            <w:pPr>
              <w:adjustRightInd w:val="0"/>
              <w:snapToGrid w:val="0"/>
              <w:spacing w:line="300" w:lineRule="exact"/>
              <w:jc w:val="center"/>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sz w:val="24"/>
              </w:rPr>
              <w:t>4</w:t>
            </w:r>
          </w:p>
        </w:tc>
        <w:tc>
          <w:tcPr>
            <w:tcW w:w="3933" w:type="dxa"/>
            <w:vAlign w:val="center"/>
          </w:tcPr>
          <w:p>
            <w:pPr>
              <w:adjustRightInd w:val="0"/>
              <w:snapToGrid w:val="0"/>
              <w:spacing w:line="300" w:lineRule="exact"/>
              <w:rPr>
                <w:rFonts w:hint="eastAsia"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w:t>
            </w:r>
            <w:r>
              <w:rPr>
                <w:rFonts w:hint="eastAsia" w:ascii="Times New Roman" w:hAnsi="Times New Roman" w:eastAsia="方正仿宋_GBK" w:cs="Times New Roman"/>
                <w:color w:val="000000"/>
                <w:sz w:val="24"/>
              </w:rPr>
              <w:t>重庆市献血条例</w:t>
            </w:r>
            <w:r>
              <w:rPr>
                <w:rFonts w:hint="eastAsia" w:ascii="方正仿宋_GBK" w:hAnsi="Times New Roman" w:eastAsia="方正仿宋_GBK" w:cs="Times New Roman"/>
                <w:color w:val="000000"/>
                <w:sz w:val="24"/>
              </w:rPr>
              <w:t>》</w:t>
            </w:r>
            <w:r>
              <w:rPr>
                <w:rFonts w:hint="eastAsia" w:ascii="Times New Roman" w:hAnsi="Times New Roman" w:eastAsia="方正黑体_GBK" w:cs="Times New Roman"/>
                <w:color w:val="000000"/>
                <w:sz w:val="24"/>
              </w:rPr>
              <w:t xml:space="preserve">第十五条第一款  </w:t>
            </w:r>
            <w:r>
              <w:rPr>
                <w:rFonts w:hint="eastAsia" w:ascii="Times New Roman" w:hAnsi="Times New Roman" w:eastAsia="方正楷体_GBK" w:cs="Times New Roman"/>
                <w:color w:val="000000"/>
                <w:sz w:val="24"/>
              </w:rPr>
              <w:t>市、区县（自治县）人民政府应当建立临床用血应急保障机制，</w:t>
            </w:r>
            <w:r>
              <w:rPr>
                <w:rFonts w:hint="eastAsia" w:ascii="Times New Roman" w:hAnsi="Times New Roman" w:eastAsia="方正楷体_GBK" w:cs="Times New Roman"/>
                <w:b/>
                <w:color w:val="000000"/>
                <w:sz w:val="24"/>
              </w:rPr>
              <w:t>制定临床用血应急预案</w:t>
            </w:r>
            <w:r>
              <w:rPr>
                <w:rFonts w:hint="eastAsia" w:ascii="Times New Roman" w:hAnsi="Times New Roman" w:eastAsia="方正楷体_GBK" w:cs="Times New Roman"/>
                <w:color w:val="000000"/>
                <w:sz w:val="24"/>
              </w:rPr>
              <w:t>。</w:t>
            </w:r>
          </w:p>
        </w:tc>
        <w:tc>
          <w:tcPr>
            <w:tcW w:w="1411" w:type="dxa"/>
            <w:vAlign w:val="center"/>
          </w:tcPr>
          <w:p>
            <w:pPr>
              <w:adjustRightInd w:val="0"/>
              <w:snapToGrid w:val="0"/>
              <w:spacing w:line="300" w:lineRule="exact"/>
              <w:jc w:val="center"/>
              <w:rPr>
                <w:rFonts w:hint="eastAsia"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渝北区</w:t>
            </w:r>
            <w:r>
              <w:rPr>
                <w:rFonts w:ascii="Times New Roman" w:hAnsi="Times New Roman" w:eastAsia="方正楷体_GBK" w:cs="Times New Roman"/>
                <w:color w:val="000000"/>
                <w:sz w:val="24"/>
              </w:rPr>
              <w:t>卫生健康委</w:t>
            </w:r>
          </w:p>
        </w:tc>
        <w:tc>
          <w:tcPr>
            <w:tcW w:w="5191" w:type="dxa"/>
            <w:vAlign w:val="center"/>
          </w:tcPr>
          <w:p>
            <w:pPr>
              <w:adjustRightInd w:val="0"/>
              <w:snapToGrid w:val="0"/>
              <w:spacing w:line="360" w:lineRule="exac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一是经请示市血液中心，区县（自治县）人民政府指的是“设有采血站”的区县，渝北区无采血站；二是渝北区临床用血由市血液中心保障，制定临床用血应急预案由市血液中心制定。</w:t>
            </w:r>
          </w:p>
        </w:tc>
        <w:tc>
          <w:tcPr>
            <w:tcW w:w="1559" w:type="dxa"/>
            <w:vAlign w:val="center"/>
          </w:tcPr>
          <w:p>
            <w:pPr>
              <w:adjustRightInd w:val="0"/>
              <w:snapToGrid w:val="0"/>
              <w:spacing w:line="360" w:lineRule="exact"/>
              <w:rPr>
                <w:rFonts w:ascii="Times New Roman" w:hAnsi="Times New Roman" w:eastAsia="方正黑体_GBK" w:cs="Times New Roman"/>
                <w:sz w:val="24"/>
              </w:rPr>
            </w:pPr>
            <w:r>
              <w:rPr>
                <w:rFonts w:hint="eastAsia" w:ascii="方正仿宋_GBK" w:hAnsi="方正仿宋_GBK" w:eastAsia="方正仿宋_GBK" w:cs="方正仿宋_GBK"/>
                <w:sz w:val="24"/>
              </w:rPr>
              <w:t>按市血液中心相关制度执行</w:t>
            </w:r>
          </w:p>
        </w:tc>
        <w:tc>
          <w:tcPr>
            <w:tcW w:w="1442" w:type="dxa"/>
            <w:vAlign w:val="center"/>
          </w:tcPr>
          <w:p>
            <w:pPr>
              <w:adjustRightInd w:val="0"/>
              <w:snapToGrid w:val="0"/>
              <w:spacing w:line="360" w:lineRule="exact"/>
              <w:ind w:firstLine="480" w:firstLineChars="200"/>
              <w:jc w:val="center"/>
              <w:rPr>
                <w:rFonts w:ascii="Times New Roman" w:hAnsi="Times New Roman" w:eastAsia="方正黑体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97" w:type="dxa"/>
            <w:vAlign w:val="center"/>
          </w:tcPr>
          <w:p>
            <w:pPr>
              <w:adjustRightInd w:val="0"/>
              <w:snapToGrid w:val="0"/>
              <w:spacing w:line="300" w:lineRule="exact"/>
              <w:jc w:val="center"/>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sz w:val="24"/>
              </w:rPr>
              <w:t>5</w:t>
            </w:r>
          </w:p>
        </w:tc>
        <w:tc>
          <w:tcPr>
            <w:tcW w:w="3933" w:type="dxa"/>
            <w:vAlign w:val="center"/>
          </w:tcPr>
          <w:p>
            <w:pPr>
              <w:adjustRightInd w:val="0"/>
              <w:snapToGrid w:val="0"/>
              <w:spacing w:line="300" w:lineRule="exact"/>
              <w:rPr>
                <w:rFonts w:hint="eastAsia"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w:t>
            </w:r>
            <w:r>
              <w:rPr>
                <w:rFonts w:hint="eastAsia" w:ascii="Times New Roman" w:hAnsi="Times New Roman" w:eastAsia="方正仿宋_GBK" w:cs="Times New Roman"/>
                <w:color w:val="000000"/>
                <w:sz w:val="24"/>
              </w:rPr>
              <w:t>重庆市野生</w:t>
            </w:r>
            <w:r>
              <w:rPr>
                <w:rFonts w:ascii="Times New Roman" w:hAnsi="Times New Roman" w:eastAsia="方正仿宋_GBK" w:cs="Times New Roman"/>
                <w:color w:val="000000"/>
                <w:sz w:val="24"/>
              </w:rPr>
              <w:t>动物保护规定</w:t>
            </w:r>
            <w:r>
              <w:rPr>
                <w:rFonts w:hint="eastAsia" w:ascii="方正仿宋_GBK" w:hAnsi="Times New Roman" w:eastAsia="方正仿宋_GBK" w:cs="Times New Roman"/>
                <w:color w:val="000000"/>
                <w:sz w:val="24"/>
              </w:rPr>
              <w:t>》</w:t>
            </w:r>
            <w:r>
              <w:rPr>
                <w:rFonts w:hint="eastAsia" w:ascii="Times New Roman" w:hAnsi="Times New Roman" w:eastAsia="方正黑体_GBK" w:cs="Times New Roman"/>
                <w:color w:val="000000"/>
                <w:sz w:val="24"/>
              </w:rPr>
              <w:t xml:space="preserve">第十条 </w:t>
            </w:r>
            <w:r>
              <w:rPr>
                <w:rFonts w:hint="eastAsia" w:ascii="Times New Roman" w:hAnsi="Times New Roman" w:eastAsia="方正楷体_GBK" w:cs="Times New Roman"/>
                <w:color w:val="000000"/>
                <w:sz w:val="24"/>
              </w:rPr>
              <w:t xml:space="preserve"> </w:t>
            </w:r>
            <w:r>
              <w:rPr>
                <w:rFonts w:hint="eastAsia" w:ascii="Times New Roman" w:hAnsi="Times New Roman" w:eastAsia="方正楷体_GBK" w:cs="Times New Roman"/>
                <w:b/>
                <w:color w:val="000000"/>
                <w:sz w:val="24"/>
              </w:rPr>
              <w:t>各级人民政府应当健全国家和市重点保护野生动物的重要栖息地管理制度</w:t>
            </w:r>
            <w:r>
              <w:rPr>
                <w:rFonts w:hint="eastAsia" w:ascii="Times New Roman" w:hAnsi="Times New Roman" w:eastAsia="方正楷体_GBK" w:cs="Times New Roman"/>
                <w:color w:val="000000"/>
                <w:sz w:val="24"/>
              </w:rPr>
              <w:t>，</w:t>
            </w:r>
            <w:r>
              <w:rPr>
                <w:rFonts w:hint="eastAsia" w:ascii="Times New Roman" w:hAnsi="Times New Roman" w:eastAsia="方正楷体_GBK" w:cs="Times New Roman"/>
                <w:b/>
                <w:color w:val="000000"/>
                <w:sz w:val="24"/>
              </w:rPr>
              <w:t>建立保护管理责任制。</w:t>
            </w:r>
          </w:p>
        </w:tc>
        <w:tc>
          <w:tcPr>
            <w:tcW w:w="1411" w:type="dxa"/>
            <w:vAlign w:val="center"/>
          </w:tcPr>
          <w:p>
            <w:pPr>
              <w:adjustRightInd w:val="0"/>
              <w:snapToGrid w:val="0"/>
              <w:spacing w:line="300" w:lineRule="exact"/>
              <w:jc w:val="center"/>
              <w:rPr>
                <w:rFonts w:hint="eastAsia"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渝北区</w:t>
            </w:r>
            <w:r>
              <w:rPr>
                <w:rFonts w:ascii="Times New Roman" w:hAnsi="Times New Roman" w:eastAsia="方正楷体_GBK" w:cs="Times New Roman"/>
                <w:color w:val="000000"/>
                <w:sz w:val="24"/>
              </w:rPr>
              <w:t>林业局</w:t>
            </w:r>
          </w:p>
        </w:tc>
        <w:tc>
          <w:tcPr>
            <w:tcW w:w="5191" w:type="dxa"/>
            <w:vAlign w:val="center"/>
          </w:tcPr>
          <w:p>
            <w:pPr>
              <w:adjustRightInd w:val="0"/>
              <w:snapToGrid w:val="0"/>
              <w:spacing w:line="300" w:lineRule="exac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正在进行全区野生动物调查，摸清家底后再行制定配套规定。</w:t>
            </w:r>
          </w:p>
        </w:tc>
        <w:tc>
          <w:tcPr>
            <w:tcW w:w="1559" w:type="dxa"/>
            <w:vAlign w:val="center"/>
          </w:tcPr>
          <w:p>
            <w:pPr>
              <w:adjustRightInd w:val="0"/>
              <w:snapToGrid w:val="0"/>
              <w:spacing w:line="300" w:lineRule="exac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根据调查结果制定配套规定</w:t>
            </w:r>
          </w:p>
        </w:tc>
        <w:tc>
          <w:tcPr>
            <w:tcW w:w="1442" w:type="dxa"/>
            <w:vAlign w:val="center"/>
          </w:tcPr>
          <w:p>
            <w:pPr>
              <w:adjustRightInd w:val="0"/>
              <w:snapToGrid w:val="0"/>
              <w:spacing w:line="300" w:lineRule="exac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2021年12月底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97" w:type="dxa"/>
            <w:vAlign w:val="center"/>
          </w:tcPr>
          <w:p>
            <w:pPr>
              <w:adjustRightInd w:val="0"/>
              <w:snapToGrid w:val="0"/>
              <w:spacing w:line="300" w:lineRule="exact"/>
              <w:jc w:val="center"/>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sz w:val="24"/>
              </w:rPr>
              <w:t>6</w:t>
            </w:r>
          </w:p>
        </w:tc>
        <w:tc>
          <w:tcPr>
            <w:tcW w:w="3933" w:type="dxa"/>
            <w:vAlign w:val="center"/>
          </w:tcPr>
          <w:p>
            <w:pPr>
              <w:adjustRightInd w:val="0"/>
              <w:snapToGrid w:val="0"/>
              <w:spacing w:line="300" w:lineRule="exact"/>
              <w:rPr>
                <w:rFonts w:hint="eastAsia"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w:t>
            </w:r>
            <w:r>
              <w:rPr>
                <w:rFonts w:hint="eastAsia" w:ascii="Times New Roman" w:hAnsi="Times New Roman" w:eastAsia="方正仿宋_GBK" w:cs="Times New Roman"/>
                <w:color w:val="000000"/>
                <w:sz w:val="24"/>
              </w:rPr>
              <w:t>重庆市动物</w:t>
            </w:r>
            <w:r>
              <w:rPr>
                <w:rFonts w:ascii="Times New Roman" w:hAnsi="Times New Roman" w:eastAsia="方正仿宋_GBK" w:cs="Times New Roman"/>
                <w:color w:val="000000"/>
                <w:sz w:val="24"/>
              </w:rPr>
              <w:t>防疫条例</w:t>
            </w:r>
            <w:r>
              <w:rPr>
                <w:rFonts w:hint="eastAsia" w:ascii="方正仿宋_GBK" w:hAnsi="Times New Roman" w:eastAsia="方正仿宋_GBK" w:cs="Times New Roman"/>
                <w:color w:val="000000"/>
                <w:sz w:val="24"/>
              </w:rPr>
              <w:t>》</w:t>
            </w:r>
            <w:r>
              <w:rPr>
                <w:rFonts w:hint="eastAsia" w:ascii="Times New Roman" w:hAnsi="Times New Roman" w:eastAsia="方正黑体_GBK" w:cs="Times New Roman"/>
                <w:color w:val="000000"/>
                <w:sz w:val="24"/>
              </w:rPr>
              <w:t xml:space="preserve">第九条第二款  </w:t>
            </w:r>
            <w:r>
              <w:rPr>
                <w:rFonts w:hint="eastAsia" w:ascii="Times New Roman" w:hAnsi="Times New Roman" w:eastAsia="方正楷体_GBK" w:cs="Times New Roman"/>
                <w:color w:val="000000"/>
                <w:sz w:val="24"/>
              </w:rPr>
              <w:t>区县（自治县）人民政府兽医主管部门应当按照市动物疫病防治规划和动物疫病强制免疫计划，结合本行政区域动物疫病流行</w:t>
            </w:r>
            <w:r>
              <w:rPr>
                <w:rFonts w:hint="eastAsia" w:ascii="Times New Roman" w:hAnsi="Times New Roman" w:eastAsia="方正楷体_GBK" w:cs="Times New Roman"/>
                <w:color w:val="000000"/>
                <w:spacing w:val="-4"/>
                <w:kern w:val="0"/>
                <w:sz w:val="24"/>
              </w:rPr>
              <w:t>情况，</w:t>
            </w:r>
            <w:r>
              <w:rPr>
                <w:rFonts w:hint="eastAsia" w:ascii="Times New Roman" w:hAnsi="Times New Roman" w:eastAsia="方正楷体_GBK" w:cs="Times New Roman"/>
                <w:b/>
                <w:color w:val="000000"/>
                <w:spacing w:val="-4"/>
                <w:kern w:val="0"/>
                <w:sz w:val="24"/>
              </w:rPr>
              <w:t>制定动物疫病强制免疫实施方案</w:t>
            </w:r>
            <w:r>
              <w:rPr>
                <w:rFonts w:hint="eastAsia" w:ascii="Times New Roman" w:hAnsi="Times New Roman" w:eastAsia="方正楷体_GBK" w:cs="Times New Roman"/>
                <w:color w:val="000000"/>
                <w:spacing w:val="-4"/>
                <w:kern w:val="0"/>
                <w:sz w:val="24"/>
              </w:rPr>
              <w:t>，并报本级人民政府批准后组织实施。</w:t>
            </w:r>
          </w:p>
        </w:tc>
        <w:tc>
          <w:tcPr>
            <w:tcW w:w="1411" w:type="dxa"/>
            <w:vAlign w:val="center"/>
          </w:tcPr>
          <w:p>
            <w:pPr>
              <w:adjustRightInd w:val="0"/>
              <w:snapToGrid w:val="0"/>
              <w:spacing w:line="300" w:lineRule="exact"/>
              <w:jc w:val="center"/>
              <w:rPr>
                <w:rFonts w:hint="eastAsia"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渝北区</w:t>
            </w:r>
            <w:r>
              <w:rPr>
                <w:rFonts w:ascii="Times New Roman" w:hAnsi="Times New Roman" w:eastAsia="方正楷体_GBK" w:cs="Times New Roman"/>
                <w:color w:val="000000"/>
                <w:sz w:val="24"/>
              </w:rPr>
              <w:t>农业农村委</w:t>
            </w:r>
          </w:p>
        </w:tc>
        <w:tc>
          <w:tcPr>
            <w:tcW w:w="5191" w:type="dxa"/>
            <w:vAlign w:val="center"/>
          </w:tcPr>
          <w:p>
            <w:pPr>
              <w:adjustRightInd w:val="0"/>
              <w:snapToGrid w:val="0"/>
              <w:spacing w:line="300" w:lineRule="exact"/>
              <w:rPr>
                <w:rFonts w:hint="eastAsia" w:ascii="方正楷体_GBK" w:hAnsi="Times New Roman" w:eastAsia="方正楷体_GBK" w:cs="Times New Roman"/>
                <w:sz w:val="24"/>
              </w:rPr>
            </w:pPr>
            <w:r>
              <w:rPr>
                <w:rFonts w:hint="eastAsia" w:ascii="方正楷体_GBK" w:hAnsi="Times New Roman" w:eastAsia="方正楷体_GBK" w:cs="Times New Roman"/>
                <w:sz w:val="24"/>
              </w:rPr>
              <w:t>我区未单独制定动物疫病强制免疫实施方案，主要是由于我区是主城区，畜牧业逐渐萎缩，并且在开展日常的流行病学调查中，未发现我区出现新的严重危害养殖业的畜禽病种；血清学和病原学监测中未发现重大动物疫病有变异的毒株。市农业农村委未制定动物疫病强制免疫实施方案报市政府批准后实施，而是以春秋季动物疫病行动方案替代，全市其他区县也未单独制定动物疫病强制免疫实施方案报区县政府批准后实施。我区在市农委的春秋季动物疫病行动方案的基础上制定了我区的春秋季行动方案，明确了动物疫病强制免疫病种和疫苗要求。</w:t>
            </w:r>
          </w:p>
        </w:tc>
        <w:tc>
          <w:tcPr>
            <w:tcW w:w="1559" w:type="dxa"/>
            <w:vAlign w:val="center"/>
          </w:tcPr>
          <w:p>
            <w:pPr>
              <w:adjustRightInd w:val="0"/>
              <w:snapToGrid w:val="0"/>
              <w:spacing w:line="300" w:lineRule="exact"/>
              <w:rPr>
                <w:rFonts w:ascii="Times New Roman" w:hAnsi="Times New Roman" w:eastAsia="方正楷体_GBK" w:cs="Times New Roman"/>
                <w:sz w:val="24"/>
              </w:rPr>
            </w:pPr>
            <w:r>
              <w:rPr>
                <w:rFonts w:hint="eastAsia" w:ascii="Times New Roman" w:hAnsi="Times New Roman" w:eastAsia="方正楷体_GBK" w:cs="Times New Roman"/>
                <w:sz w:val="24"/>
              </w:rPr>
              <w:t>按照市农业农村委制定实施方案的模式，以区级春秋季动物疫病行动方案替代动物疫病强制免疫实施方案，报区政府备案</w:t>
            </w:r>
          </w:p>
        </w:tc>
        <w:tc>
          <w:tcPr>
            <w:tcW w:w="1442" w:type="dxa"/>
            <w:vAlign w:val="center"/>
          </w:tcPr>
          <w:p>
            <w:pPr>
              <w:adjustRightInd w:val="0"/>
              <w:snapToGrid w:val="0"/>
              <w:spacing w:line="300" w:lineRule="exact"/>
              <w:rPr>
                <w:rFonts w:ascii="Times New Roman" w:hAnsi="Times New Roman" w:eastAsia="方正楷体_GBK" w:cs="Times New Roman"/>
                <w:sz w:val="24"/>
              </w:rPr>
            </w:pPr>
            <w:r>
              <w:rPr>
                <w:rFonts w:hint="eastAsia" w:ascii="Times New Roman" w:hAnsi="Times New Roman" w:eastAsia="方正楷体_GBK" w:cs="Times New Roman"/>
                <w:sz w:val="24"/>
              </w:rPr>
              <w:t>2020.</w:t>
            </w:r>
            <w:r>
              <w:rPr>
                <w:rFonts w:ascii="Times New Roman" w:hAnsi="Times New Roman" w:eastAsia="方正楷体_GBK" w:cs="Times New Roman"/>
                <w:sz w:val="24"/>
              </w:rPr>
              <w:t>0</w:t>
            </w:r>
            <w:r>
              <w:rPr>
                <w:rFonts w:hint="eastAsia" w:ascii="Times New Roman" w:hAnsi="Times New Roman" w:eastAsia="方正楷体_GBK" w:cs="Times New Roman"/>
                <w:sz w:val="24"/>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97" w:type="dxa"/>
            <w:vAlign w:val="center"/>
          </w:tcPr>
          <w:p>
            <w:pPr>
              <w:adjustRightInd w:val="0"/>
              <w:snapToGrid w:val="0"/>
              <w:spacing w:line="300" w:lineRule="exact"/>
              <w:jc w:val="center"/>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sz w:val="24"/>
              </w:rPr>
              <w:t>7</w:t>
            </w:r>
          </w:p>
        </w:tc>
        <w:tc>
          <w:tcPr>
            <w:tcW w:w="3933" w:type="dxa"/>
            <w:vAlign w:val="center"/>
          </w:tcPr>
          <w:p>
            <w:pPr>
              <w:adjustRightInd w:val="0"/>
              <w:snapToGrid w:val="0"/>
              <w:spacing w:line="300" w:lineRule="exact"/>
              <w:rPr>
                <w:rFonts w:ascii="Times New Roman" w:hAnsi="Times New Roman" w:eastAsia="方正仿宋_GBK" w:cs="Times New Roman"/>
                <w:color w:val="000000"/>
                <w:sz w:val="24"/>
              </w:rPr>
            </w:pPr>
            <w:r>
              <w:rPr>
                <w:rFonts w:hint="eastAsia" w:ascii="方正楷体_GBK" w:hAnsi="Times New Roman" w:eastAsia="方正楷体_GBK" w:cs="Times New Roman"/>
                <w:color w:val="000000"/>
                <w:sz w:val="24"/>
              </w:rPr>
              <w:t>《重庆市市容环境卫生管理条例》</w:t>
            </w:r>
            <w:r>
              <w:rPr>
                <w:rFonts w:hint="eastAsia" w:ascii="方正黑体_GBK" w:hAnsi="Times New Roman" w:eastAsia="方正黑体_GBK" w:cs="Times New Roman"/>
                <w:color w:val="000000"/>
                <w:sz w:val="24"/>
              </w:rPr>
              <w:t>第七条</w:t>
            </w:r>
            <w:r>
              <w:rPr>
                <w:rFonts w:hint="eastAsia" w:ascii="方正仿宋_GBK" w:hAnsi="Times New Roman" w:eastAsia="方正仿宋_GBK" w:cs="Times New Roman"/>
                <w:color w:val="000000"/>
                <w:sz w:val="24"/>
              </w:rPr>
              <w:t xml:space="preserve">  </w:t>
            </w:r>
            <w:r>
              <w:rPr>
                <w:rFonts w:hint="eastAsia" w:ascii="Times New Roman" w:hAnsi="Times New Roman" w:eastAsia="方正楷体_GBK" w:cs="Times New Roman"/>
                <w:color w:val="000000"/>
                <w:sz w:val="24"/>
              </w:rPr>
              <w:t>市、区县（自治县）市容环境卫生主管部门应当按照职责分工，根据城市总体规划和市容环境卫生管理工作需要，会同有关部门组织编制环境卫生设施、户外广告、洗车场等专业规划，</w:t>
            </w:r>
            <w:r>
              <w:rPr>
                <w:rFonts w:hint="eastAsia" w:ascii="Times New Roman" w:hAnsi="Times New Roman" w:eastAsia="方正楷体_GBK" w:cs="Times New Roman"/>
                <w:b/>
                <w:color w:val="000000"/>
                <w:sz w:val="24"/>
              </w:rPr>
              <w:t>制定市容环境卫生标准，报同级人民政府批准后实施。</w:t>
            </w:r>
          </w:p>
        </w:tc>
        <w:tc>
          <w:tcPr>
            <w:tcW w:w="1411" w:type="dxa"/>
            <w:vAlign w:val="center"/>
          </w:tcPr>
          <w:p>
            <w:pPr>
              <w:adjustRightInd w:val="0"/>
              <w:snapToGrid w:val="0"/>
              <w:spacing w:line="300" w:lineRule="exact"/>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渝北区城市管理局</w:t>
            </w:r>
          </w:p>
        </w:tc>
        <w:tc>
          <w:tcPr>
            <w:tcW w:w="5191" w:type="dxa"/>
            <w:vAlign w:val="center"/>
          </w:tcPr>
          <w:p>
            <w:pPr>
              <w:adjustRightInd w:val="0"/>
              <w:snapToGrid w:val="0"/>
              <w:spacing w:line="300" w:lineRule="exact"/>
              <w:jc w:val="left"/>
              <w:rPr>
                <w:rFonts w:ascii="Times New Roman" w:hAnsi="Times New Roman" w:eastAsia="方正楷体_GBK" w:cs="Times New Roman"/>
                <w:b/>
                <w:color w:val="000000"/>
                <w:sz w:val="24"/>
              </w:rPr>
            </w:pPr>
            <w:r>
              <w:rPr>
                <w:rFonts w:hint="eastAsia" w:ascii="Times New Roman" w:hAnsi="Times New Roman" w:eastAsia="方正楷体_GBK" w:cs="Times New Roman"/>
                <w:color w:val="000000"/>
                <w:sz w:val="24"/>
              </w:rPr>
              <w:t>市城市管理局已制定《重庆市主城区户外广告设置总体规划》《城市机动车辆清洗场所设置技术规范》《重庆</w:t>
            </w:r>
            <w:r>
              <w:rPr>
                <w:rFonts w:ascii="Times New Roman" w:hAnsi="Times New Roman" w:eastAsia="方正楷体_GBK" w:cs="Times New Roman"/>
                <w:color w:val="000000"/>
                <w:sz w:val="24"/>
              </w:rPr>
              <w:t>市</w:t>
            </w:r>
            <w:r>
              <w:rPr>
                <w:rFonts w:hint="eastAsia" w:ascii="Times New Roman" w:hAnsi="Times New Roman" w:eastAsia="方正楷体_GBK" w:cs="Times New Roman"/>
                <w:color w:val="000000"/>
                <w:sz w:val="24"/>
              </w:rPr>
              <w:t>城乡市容环境卫生管理作业规范</w:t>
            </w:r>
            <w:r>
              <w:rPr>
                <w:rFonts w:ascii="Times New Roman" w:hAnsi="Times New Roman" w:eastAsia="方正楷体_GBK" w:cs="Times New Roman"/>
                <w:color w:val="000000"/>
                <w:sz w:val="24"/>
              </w:rPr>
              <w:t>》</w:t>
            </w:r>
            <w:r>
              <w:rPr>
                <w:rFonts w:hint="eastAsia" w:ascii="Times New Roman" w:hAnsi="Times New Roman" w:eastAsia="方正楷体_GBK" w:cs="Times New Roman"/>
                <w:color w:val="000000"/>
                <w:sz w:val="24"/>
              </w:rPr>
              <w:t>；目前市城市管理局正在编制主城区环境卫生设施专业规划。</w:t>
            </w:r>
          </w:p>
        </w:tc>
        <w:tc>
          <w:tcPr>
            <w:tcW w:w="1559" w:type="dxa"/>
            <w:vAlign w:val="center"/>
          </w:tcPr>
          <w:p>
            <w:pPr>
              <w:adjustRightInd w:val="0"/>
              <w:snapToGrid w:val="0"/>
              <w:spacing w:line="300" w:lineRule="exact"/>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严格执行市级规划、标准</w:t>
            </w:r>
          </w:p>
        </w:tc>
        <w:tc>
          <w:tcPr>
            <w:tcW w:w="1442" w:type="dxa"/>
            <w:vAlign w:val="center"/>
          </w:tcPr>
          <w:p>
            <w:pPr>
              <w:adjustRightInd w:val="0"/>
              <w:snapToGrid w:val="0"/>
              <w:spacing w:line="300" w:lineRule="exact"/>
              <w:jc w:val="center"/>
              <w:rPr>
                <w:rFonts w:ascii="Times New Roman" w:hAnsi="Times New Roman" w:eastAsia="方正楷体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97" w:type="dxa"/>
            <w:vAlign w:val="center"/>
          </w:tcPr>
          <w:p>
            <w:pPr>
              <w:adjustRightInd w:val="0"/>
              <w:snapToGrid w:val="0"/>
              <w:spacing w:line="30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8</w:t>
            </w:r>
          </w:p>
        </w:tc>
        <w:tc>
          <w:tcPr>
            <w:tcW w:w="3933" w:type="dxa"/>
            <w:vAlign w:val="center"/>
          </w:tcPr>
          <w:p>
            <w:pPr>
              <w:adjustRightInd w:val="0"/>
              <w:snapToGrid w:val="0"/>
              <w:spacing w:line="300" w:lineRule="exact"/>
              <w:rPr>
                <w:rFonts w:ascii="Times New Roman" w:hAnsi="Times New Roman" w:eastAsia="方正仿宋_GBK" w:cs="Times New Roman"/>
                <w:color w:val="000000"/>
                <w:sz w:val="24"/>
              </w:rPr>
            </w:pPr>
            <w:r>
              <w:rPr>
                <w:rFonts w:hint="eastAsia" w:ascii="方正楷体_GBK" w:hAnsi="Times New Roman" w:eastAsia="方正楷体_GBK" w:cs="Times New Roman"/>
                <w:color w:val="000000"/>
                <w:sz w:val="24"/>
              </w:rPr>
              <w:t>《重庆市市容环境卫生管理条例》</w:t>
            </w:r>
            <w:r>
              <w:rPr>
                <w:rFonts w:hint="eastAsia" w:ascii="方正黑体_GBK" w:hAnsi="Times New Roman" w:eastAsia="方正黑体_GBK" w:cs="Times New Roman"/>
                <w:color w:val="000000"/>
                <w:sz w:val="24"/>
              </w:rPr>
              <w:t>第七十三条第一款</w:t>
            </w:r>
            <w:r>
              <w:rPr>
                <w:rFonts w:hint="eastAsia" w:ascii="方正仿宋_GBK" w:hAnsi="Times New Roman" w:eastAsia="方正仿宋_GBK" w:cs="Times New Roman"/>
                <w:color w:val="000000"/>
                <w:sz w:val="24"/>
              </w:rPr>
              <w:t xml:space="preserve">  </w:t>
            </w:r>
            <w:r>
              <w:rPr>
                <w:rFonts w:hint="eastAsia" w:ascii="方正楷体_GBK" w:hAnsi="Times New Roman" w:eastAsia="方正楷体_GBK" w:cs="Times New Roman"/>
                <w:b/>
                <w:color w:val="000000"/>
                <w:sz w:val="24"/>
              </w:rPr>
              <w:t>市和区县（自治县）市容环境卫生主管部门应当建立健全市容环境卫生投诉举报制度。</w:t>
            </w:r>
          </w:p>
        </w:tc>
        <w:tc>
          <w:tcPr>
            <w:tcW w:w="1411" w:type="dxa"/>
            <w:vAlign w:val="center"/>
          </w:tcPr>
          <w:p>
            <w:pPr>
              <w:adjustRightInd w:val="0"/>
              <w:snapToGrid w:val="0"/>
              <w:spacing w:line="300" w:lineRule="exact"/>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渝北区城市管理局</w:t>
            </w:r>
          </w:p>
        </w:tc>
        <w:tc>
          <w:tcPr>
            <w:tcW w:w="5191" w:type="dxa"/>
            <w:vAlign w:val="center"/>
          </w:tcPr>
          <w:p>
            <w:pPr>
              <w:adjustRightInd w:val="0"/>
              <w:snapToGrid w:val="0"/>
              <w:spacing w:line="300" w:lineRule="exact"/>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重庆市已设立12319城市管理服务热线，受理包括市容环境卫生投诉在内城市管理举报投诉。渝北区已设立专岗，落实专人负责12319城市服务热线相关工作。</w:t>
            </w:r>
          </w:p>
        </w:tc>
        <w:tc>
          <w:tcPr>
            <w:tcW w:w="1559" w:type="dxa"/>
            <w:vAlign w:val="center"/>
          </w:tcPr>
          <w:p>
            <w:pPr>
              <w:adjustRightInd w:val="0"/>
              <w:snapToGrid w:val="0"/>
              <w:spacing w:line="300" w:lineRule="exact"/>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全力做好12319城市管理服务热线相关工作</w:t>
            </w:r>
          </w:p>
        </w:tc>
        <w:tc>
          <w:tcPr>
            <w:tcW w:w="1442" w:type="dxa"/>
            <w:vAlign w:val="center"/>
          </w:tcPr>
          <w:p>
            <w:pPr>
              <w:adjustRightInd w:val="0"/>
              <w:snapToGrid w:val="0"/>
              <w:spacing w:line="300" w:lineRule="exact"/>
              <w:ind w:firstLine="480" w:firstLineChars="200"/>
              <w:rPr>
                <w:rFonts w:ascii="Times New Roman" w:hAnsi="Times New Roman" w:eastAsia="方正黑体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97" w:type="dxa"/>
            <w:vAlign w:val="center"/>
          </w:tcPr>
          <w:p>
            <w:pPr>
              <w:adjustRightInd w:val="0"/>
              <w:snapToGrid w:val="0"/>
              <w:spacing w:line="30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9</w:t>
            </w:r>
          </w:p>
        </w:tc>
        <w:tc>
          <w:tcPr>
            <w:tcW w:w="3933" w:type="dxa"/>
            <w:vAlign w:val="center"/>
          </w:tcPr>
          <w:p>
            <w:pPr>
              <w:adjustRightInd w:val="0"/>
              <w:snapToGrid w:val="0"/>
              <w:spacing w:line="300" w:lineRule="exac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《重庆市环境保护条例》</w:t>
            </w:r>
            <w:r>
              <w:rPr>
                <w:rFonts w:hint="eastAsia" w:ascii="Times New Roman" w:hAnsi="Times New Roman" w:eastAsia="方正黑体_GBK" w:cs="Times New Roman"/>
                <w:color w:val="000000"/>
                <w:sz w:val="24"/>
              </w:rPr>
              <w:t xml:space="preserve">第六条第二款  </w:t>
            </w:r>
            <w:r>
              <w:rPr>
                <w:rFonts w:hint="eastAsia" w:ascii="Times New Roman" w:hAnsi="Times New Roman" w:eastAsia="方正楷体_GBK" w:cs="Times New Roman"/>
                <w:b/>
                <w:color w:val="000000"/>
                <w:sz w:val="24"/>
              </w:rPr>
              <w:t>市、区县（自治县）人民政府应当建立环境保护工作督查制度和考核制度，</w:t>
            </w:r>
            <w:r>
              <w:rPr>
                <w:rFonts w:hint="eastAsia" w:ascii="Times New Roman" w:hAnsi="Times New Roman" w:eastAsia="方正楷体_GBK" w:cs="Times New Roman"/>
                <w:color w:val="000000"/>
                <w:sz w:val="24"/>
              </w:rPr>
              <w:t>将年度环境保护目标完成情况纳入对本级人民政府负有环境保护监督管理职责的部门及其负责人和下级人民政府及其负责人的督查和考核内容。考核结果应当向社会公开。</w:t>
            </w:r>
          </w:p>
          <w:p>
            <w:pPr>
              <w:spacing w:after="120" w:line="300" w:lineRule="exact"/>
              <w:rPr>
                <w:rFonts w:hint="eastAsia" w:ascii="Times New Roman" w:hAnsi="Times New Roman" w:eastAsia="方正仿宋_GBK" w:cs="Times New Roman"/>
                <w:sz w:val="32"/>
                <w:szCs w:val="32"/>
              </w:rPr>
            </w:pPr>
            <w:r>
              <w:rPr>
                <w:rFonts w:hint="eastAsia" w:ascii="方正黑体_GBK" w:hAnsi="Times New Roman" w:eastAsia="方正黑体_GBK" w:cs="Times New Roman"/>
                <w:color w:val="000000"/>
                <w:sz w:val="24"/>
              </w:rPr>
              <w:t>第六条第四款</w:t>
            </w:r>
            <w:r>
              <w:rPr>
                <w:rFonts w:hint="eastAsia" w:ascii="Times New Roman" w:hAnsi="Times New Roman" w:eastAsia="方正楷体_GBK" w:cs="Times New Roman"/>
                <w:color w:val="000000"/>
                <w:sz w:val="24"/>
              </w:rPr>
              <w:t xml:space="preserve">  </w:t>
            </w:r>
            <w:r>
              <w:rPr>
                <w:rFonts w:hint="eastAsia" w:ascii="Times New Roman" w:hAnsi="Times New Roman" w:eastAsia="方正楷体_GBK" w:cs="Times New Roman"/>
                <w:b/>
                <w:color w:val="000000"/>
                <w:sz w:val="24"/>
              </w:rPr>
              <w:t>市、区县（自治县）人民政府应当建立环境保护问责制度和生态环境损害责任终身追究制度，</w:t>
            </w:r>
            <w:r>
              <w:rPr>
                <w:rFonts w:hint="eastAsia" w:ascii="Times New Roman" w:hAnsi="Times New Roman" w:eastAsia="方正楷体_GBK" w:cs="Times New Roman"/>
                <w:color w:val="000000"/>
                <w:sz w:val="24"/>
              </w:rPr>
              <w:t>实施自然资源资产和生态环境保护责任审计。</w:t>
            </w:r>
          </w:p>
        </w:tc>
        <w:tc>
          <w:tcPr>
            <w:tcW w:w="1411" w:type="dxa"/>
            <w:vAlign w:val="center"/>
          </w:tcPr>
          <w:p>
            <w:pPr>
              <w:adjustRightInd w:val="0"/>
              <w:snapToGrid w:val="0"/>
              <w:spacing w:line="300" w:lineRule="exact"/>
              <w:jc w:val="center"/>
              <w:rPr>
                <w:rFonts w:hint="eastAsia"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渝北区</w:t>
            </w:r>
            <w:r>
              <w:rPr>
                <w:rFonts w:ascii="Times New Roman" w:hAnsi="Times New Roman" w:eastAsia="方正楷体_GBK" w:cs="Times New Roman"/>
                <w:color w:val="000000"/>
                <w:sz w:val="24"/>
              </w:rPr>
              <w:t>生态环境局</w:t>
            </w:r>
          </w:p>
        </w:tc>
        <w:tc>
          <w:tcPr>
            <w:tcW w:w="5191" w:type="dxa"/>
            <w:vAlign w:val="center"/>
          </w:tcPr>
          <w:p>
            <w:pPr>
              <w:adjustRightInd w:val="0"/>
              <w:snapToGrid w:val="0"/>
              <w:spacing w:line="300" w:lineRule="exac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我区是按照全市及区级考核主管部门统一部署执行落实相关工作。</w:t>
            </w:r>
          </w:p>
        </w:tc>
        <w:tc>
          <w:tcPr>
            <w:tcW w:w="1559" w:type="dxa"/>
            <w:vAlign w:val="center"/>
          </w:tcPr>
          <w:p>
            <w:pPr>
              <w:adjustRightInd w:val="0"/>
              <w:snapToGrid w:val="0"/>
              <w:spacing w:line="300" w:lineRule="exact"/>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不建立</w:t>
            </w:r>
          </w:p>
        </w:tc>
        <w:tc>
          <w:tcPr>
            <w:tcW w:w="1442" w:type="dxa"/>
            <w:vAlign w:val="center"/>
          </w:tcPr>
          <w:p>
            <w:pPr>
              <w:adjustRightInd w:val="0"/>
              <w:snapToGrid w:val="0"/>
              <w:spacing w:line="300" w:lineRule="exact"/>
              <w:ind w:firstLine="480" w:firstLineChars="200"/>
              <w:rPr>
                <w:rFonts w:hint="eastAsia" w:ascii="Times New Roman" w:hAnsi="Times New Roman" w:eastAsia="方正黑体_GBK" w:cs="Times New Roman"/>
                <w:color w:val="000000"/>
                <w:sz w:val="24"/>
              </w:rPr>
            </w:pPr>
          </w:p>
        </w:tc>
      </w:tr>
    </w:tbl>
    <w:p>
      <w:pPr>
        <w:pStyle w:val="2"/>
        <w:spacing w:line="560" w:lineRule="exact"/>
        <w:contextualSpacing/>
        <w:rPr>
          <w:rFonts w:hint="eastAsia" w:ascii="方正仿宋_GBK" w:hAnsi="方正仿宋_GBK" w:cs="方正仿宋_GBK"/>
          <w:sz w:val="32"/>
          <w:szCs w:val="32"/>
        </w:rPr>
      </w:pPr>
    </w:p>
    <w:sectPr>
      <w:footerReference r:id="rId3" w:type="default"/>
      <w:footerReference r:id="rId4" w:type="even"/>
      <w:pgSz w:w="16838" w:h="11906" w:orient="landscape"/>
      <w:pgMar w:top="1701" w:right="1531" w:bottom="1814" w:left="1531"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3232144"/>
      <w:docPartObj>
        <w:docPartGallery w:val="autotext"/>
      </w:docPartObj>
    </w:sdtPr>
    <w:sdtEndPr>
      <w:rPr>
        <w:rFonts w:asciiTheme="majorEastAsia" w:hAnsiTheme="majorEastAsia" w:eastAsiaTheme="majorEastAsia"/>
        <w:sz w:val="28"/>
        <w:szCs w:val="28"/>
      </w:rPr>
    </w:sdtEndPr>
    <w:sdtContent>
      <w:p>
        <w:pPr>
          <w:pStyle w:val="3"/>
          <w:wordWrap w:val="0"/>
          <w:jc w:val="right"/>
          <w:rPr>
            <w:rFonts w:asciiTheme="majorEastAsia" w:hAnsiTheme="majorEastAsia" w:eastAsiaTheme="majorEastAsia"/>
            <w:sz w:val="28"/>
            <w:szCs w:val="28"/>
          </w:rPr>
        </w:pPr>
        <w:r>
          <w:rPr>
            <w:rFonts w:asciiTheme="majorEastAsia" w:hAnsiTheme="majorEastAsia" w:eastAsiaTheme="majorEastAsia"/>
            <w:sz w:val="28"/>
            <w:szCs w:val="28"/>
          </w:rPr>
          <w:t xml:space="preserve">— </w:t>
        </w:r>
        <w:r>
          <w:rPr>
            <w:rFonts w:ascii="Times New Roman" w:hAnsi="Times New Roman" w:cs="Times New Roman" w:eastAsiaTheme="majorEastAsia"/>
            <w:sz w:val="28"/>
            <w:szCs w:val="28"/>
          </w:rPr>
          <w:fldChar w:fldCharType="begin"/>
        </w:r>
        <w:r>
          <w:rPr>
            <w:rFonts w:ascii="Times New Roman" w:hAnsi="Times New Roman" w:cs="Times New Roman" w:eastAsiaTheme="majorEastAsia"/>
            <w:sz w:val="28"/>
            <w:szCs w:val="28"/>
          </w:rPr>
          <w:instrText xml:space="preserve">PAGE   \* MERGEFORMAT</w:instrText>
        </w:r>
        <w:r>
          <w:rPr>
            <w:rFonts w:ascii="Times New Roman" w:hAnsi="Times New Roman" w:cs="Times New Roman" w:eastAsiaTheme="majorEastAsia"/>
            <w:sz w:val="28"/>
            <w:szCs w:val="28"/>
          </w:rPr>
          <w:fldChar w:fldCharType="separate"/>
        </w:r>
        <w:r>
          <w:rPr>
            <w:rFonts w:ascii="Times New Roman" w:hAnsi="Times New Roman" w:cs="Times New Roman" w:eastAsiaTheme="majorEastAsia"/>
            <w:sz w:val="28"/>
            <w:szCs w:val="28"/>
            <w:lang w:val="zh-CN"/>
          </w:rPr>
          <w:t>1</w:t>
        </w:r>
        <w:r>
          <w:rPr>
            <w:rFonts w:ascii="Times New Roman" w:hAnsi="Times New Roman" w:cs="Times New Roman" w:eastAsiaTheme="majorEastAsia"/>
            <w:sz w:val="28"/>
            <w:szCs w:val="28"/>
          </w:rPr>
          <w:fldChar w:fldCharType="end"/>
        </w: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9098649"/>
      <w:docPartObj>
        <w:docPartGallery w:val="autotext"/>
      </w:docPartObj>
    </w:sdtPr>
    <w:sdtContent>
      <w:p>
        <w:pPr>
          <w:pStyle w:val="3"/>
          <w:rPr>
            <w:rFonts w:hint="eastAsia"/>
          </w:rPr>
        </w:pPr>
        <w:r>
          <w:rPr>
            <w:rFonts w:ascii="宋体" w:hAnsi="宋体" w:eastAsia="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PAGE   \* MERGEFORMAT</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2</w:t>
        </w:r>
        <w:r>
          <w:rPr>
            <w:rFonts w:ascii="Times New Roman" w:hAnsi="Times New Roman" w:eastAsia="宋体" w:cs="Times New Roman"/>
            <w:sz w:val="28"/>
            <w:szCs w:val="28"/>
          </w:rPr>
          <w:fldChar w:fldCharType="end"/>
        </w:r>
        <w:r>
          <w:rPr>
            <w:rFonts w:ascii="宋体" w:hAnsi="宋体" w:eastAsia="宋体"/>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8CD"/>
    <w:rsid w:val="000454A8"/>
    <w:rsid w:val="00094E5E"/>
    <w:rsid w:val="00095296"/>
    <w:rsid w:val="000A6FDF"/>
    <w:rsid w:val="000B7BFE"/>
    <w:rsid w:val="000D3E9E"/>
    <w:rsid w:val="000E0E93"/>
    <w:rsid w:val="000E126C"/>
    <w:rsid w:val="001062D5"/>
    <w:rsid w:val="001148E2"/>
    <w:rsid w:val="00116473"/>
    <w:rsid w:val="00155D46"/>
    <w:rsid w:val="001A2473"/>
    <w:rsid w:val="002176BC"/>
    <w:rsid w:val="00223BB8"/>
    <w:rsid w:val="002252CA"/>
    <w:rsid w:val="002519F3"/>
    <w:rsid w:val="00274745"/>
    <w:rsid w:val="00275718"/>
    <w:rsid w:val="002E748A"/>
    <w:rsid w:val="0037147A"/>
    <w:rsid w:val="00384465"/>
    <w:rsid w:val="003A21C4"/>
    <w:rsid w:val="003B64CB"/>
    <w:rsid w:val="003B7FD1"/>
    <w:rsid w:val="00415D9F"/>
    <w:rsid w:val="00467927"/>
    <w:rsid w:val="00486070"/>
    <w:rsid w:val="004A4F0E"/>
    <w:rsid w:val="004E01C6"/>
    <w:rsid w:val="004E51EA"/>
    <w:rsid w:val="00517E08"/>
    <w:rsid w:val="0053332E"/>
    <w:rsid w:val="005453A9"/>
    <w:rsid w:val="006070DE"/>
    <w:rsid w:val="00633A20"/>
    <w:rsid w:val="00642CD0"/>
    <w:rsid w:val="00644C1B"/>
    <w:rsid w:val="006476EE"/>
    <w:rsid w:val="006515A5"/>
    <w:rsid w:val="00663584"/>
    <w:rsid w:val="00682AC2"/>
    <w:rsid w:val="00690B2B"/>
    <w:rsid w:val="006A0FA2"/>
    <w:rsid w:val="006C2535"/>
    <w:rsid w:val="006C3A89"/>
    <w:rsid w:val="00717B3E"/>
    <w:rsid w:val="00832DF8"/>
    <w:rsid w:val="008538D5"/>
    <w:rsid w:val="00877A1D"/>
    <w:rsid w:val="008B721B"/>
    <w:rsid w:val="008F586F"/>
    <w:rsid w:val="0096045A"/>
    <w:rsid w:val="009A0C0E"/>
    <w:rsid w:val="009E1A51"/>
    <w:rsid w:val="009F3EE9"/>
    <w:rsid w:val="00A0387F"/>
    <w:rsid w:val="00A21AAC"/>
    <w:rsid w:val="00A22779"/>
    <w:rsid w:val="00A30F3C"/>
    <w:rsid w:val="00A40D6B"/>
    <w:rsid w:val="00A54CC6"/>
    <w:rsid w:val="00A57B0B"/>
    <w:rsid w:val="00AA0207"/>
    <w:rsid w:val="00AF3012"/>
    <w:rsid w:val="00B255DE"/>
    <w:rsid w:val="00B5065A"/>
    <w:rsid w:val="00B63313"/>
    <w:rsid w:val="00B73055"/>
    <w:rsid w:val="00B76C0B"/>
    <w:rsid w:val="00B76DEE"/>
    <w:rsid w:val="00BB40B0"/>
    <w:rsid w:val="00BF368F"/>
    <w:rsid w:val="00BF56BD"/>
    <w:rsid w:val="00C1024D"/>
    <w:rsid w:val="00C168CD"/>
    <w:rsid w:val="00C20E6F"/>
    <w:rsid w:val="00C25382"/>
    <w:rsid w:val="00C258CE"/>
    <w:rsid w:val="00C815B2"/>
    <w:rsid w:val="00C92B6B"/>
    <w:rsid w:val="00CA7A65"/>
    <w:rsid w:val="00CC158E"/>
    <w:rsid w:val="00CD04C5"/>
    <w:rsid w:val="00CE226B"/>
    <w:rsid w:val="00CF6B02"/>
    <w:rsid w:val="00D16129"/>
    <w:rsid w:val="00D5769D"/>
    <w:rsid w:val="00D7636F"/>
    <w:rsid w:val="00DB3BFB"/>
    <w:rsid w:val="00DB4913"/>
    <w:rsid w:val="00DD7CBD"/>
    <w:rsid w:val="00DE42DA"/>
    <w:rsid w:val="00DF3C09"/>
    <w:rsid w:val="00DF51EC"/>
    <w:rsid w:val="00E218DC"/>
    <w:rsid w:val="00E2527B"/>
    <w:rsid w:val="00E27A6B"/>
    <w:rsid w:val="00E40E40"/>
    <w:rsid w:val="00E44F2F"/>
    <w:rsid w:val="00E92875"/>
    <w:rsid w:val="00EE0E1E"/>
    <w:rsid w:val="00F2013D"/>
    <w:rsid w:val="00FD1A30"/>
    <w:rsid w:val="01D955E2"/>
    <w:rsid w:val="03CB668B"/>
    <w:rsid w:val="04E55C25"/>
    <w:rsid w:val="070E3477"/>
    <w:rsid w:val="07E0554B"/>
    <w:rsid w:val="09671965"/>
    <w:rsid w:val="09D7089F"/>
    <w:rsid w:val="0C7C5009"/>
    <w:rsid w:val="1256002E"/>
    <w:rsid w:val="12AC4B93"/>
    <w:rsid w:val="130673F8"/>
    <w:rsid w:val="14C47EAE"/>
    <w:rsid w:val="16343C80"/>
    <w:rsid w:val="1E705D76"/>
    <w:rsid w:val="20267C49"/>
    <w:rsid w:val="251249D8"/>
    <w:rsid w:val="2A625629"/>
    <w:rsid w:val="2D5E0FBD"/>
    <w:rsid w:val="2EBE0598"/>
    <w:rsid w:val="2FA12A19"/>
    <w:rsid w:val="36EE1E3E"/>
    <w:rsid w:val="407341D7"/>
    <w:rsid w:val="40AA7BA5"/>
    <w:rsid w:val="456B06FC"/>
    <w:rsid w:val="482057D0"/>
    <w:rsid w:val="4A1254AC"/>
    <w:rsid w:val="4D1D05DF"/>
    <w:rsid w:val="4E512B94"/>
    <w:rsid w:val="52FD604B"/>
    <w:rsid w:val="55E64878"/>
    <w:rsid w:val="5647013A"/>
    <w:rsid w:val="582F33BB"/>
    <w:rsid w:val="5A381FE9"/>
    <w:rsid w:val="649D40E9"/>
    <w:rsid w:val="665C260F"/>
    <w:rsid w:val="684F1460"/>
    <w:rsid w:val="68876624"/>
    <w:rsid w:val="6CE718F0"/>
    <w:rsid w:val="6E2C64BA"/>
    <w:rsid w:val="6F1B30B2"/>
    <w:rsid w:val="71D2498A"/>
    <w:rsid w:val="75495B80"/>
    <w:rsid w:val="777D0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eastAsia="方正仿宋_GBK"/>
    </w:rPr>
  </w:style>
  <w:style w:type="paragraph" w:styleId="3">
    <w:name w:val="footer"/>
    <w:basedOn w:val="1"/>
    <w:link w:val="7"/>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qFormat/>
    <w:uiPriority w:val="0"/>
    <w:rPr>
      <w:sz w:val="18"/>
      <w:szCs w:val="18"/>
    </w:rPr>
  </w:style>
  <w:style w:type="character" w:customStyle="1" w:styleId="8">
    <w:name w:val="页脚 字符"/>
    <w:basedOn w:val="6"/>
    <w:qFormat/>
    <w:uiPriority w:val="99"/>
    <w:rPr>
      <w:kern w:val="2"/>
      <w:sz w:val="18"/>
      <w:szCs w:val="18"/>
    </w:rPr>
  </w:style>
  <w:style w:type="character" w:customStyle="1" w:styleId="9">
    <w:name w:val="页眉 字符"/>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CD527C-3846-4AB3-A0A2-32E3DA33B13E}">
  <ds:schemaRefs/>
</ds:datastoreItem>
</file>

<file path=docProps/app.xml><?xml version="1.0" encoding="utf-8"?>
<Properties xmlns="http://schemas.openxmlformats.org/officeDocument/2006/extended-properties" xmlns:vt="http://schemas.openxmlformats.org/officeDocument/2006/docPropsVTypes">
  <Template>Normal</Template>
  <Pages>6</Pages>
  <Words>503</Words>
  <Characters>2871</Characters>
  <Lines>23</Lines>
  <Paragraphs>6</Paragraphs>
  <TotalTime>78</TotalTime>
  <ScaleCrop>false</ScaleCrop>
  <LinksUpToDate>false</LinksUpToDate>
  <CharactersWithSpaces>3368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区司法局</cp:lastModifiedBy>
  <dcterms:modified xsi:type="dcterms:W3CDTF">2021-09-09T03:10:52Z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