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bCs/>
          <w:sz w:val="32"/>
          <w:szCs w:val="32"/>
        </w:rPr>
      </w:pPr>
      <w:r>
        <w:rPr>
          <w:rFonts w:hint="eastAsia" w:ascii="Times New Roman" w:hAnsi="Times New Roman" w:eastAsia="方正黑体_GBK"/>
          <w:bCs/>
          <w:sz w:val="32"/>
          <w:szCs w:val="32"/>
        </w:rPr>
        <w:t>附件</w:t>
      </w:r>
      <w:r>
        <w:rPr>
          <w:rFonts w:ascii="Times New Roman" w:hAnsi="Times New Roman" w:eastAsia="方正黑体_GBK"/>
          <w:bCs/>
          <w:sz w:val="32"/>
          <w:szCs w:val="32"/>
        </w:rPr>
        <w:t>1</w:t>
      </w:r>
    </w:p>
    <w:p>
      <w:pPr>
        <w:pStyle w:val="2"/>
        <w:ind w:left="210" w:right="210"/>
        <w:rPr>
          <w:rFonts w:ascii="Times New Roman" w:hAnsi="Times New Roman"/>
        </w:rPr>
      </w:pPr>
    </w:p>
    <w:p>
      <w:pPr>
        <w:adjustRightInd w:val="0"/>
        <w:snapToGrid w:val="0"/>
        <w:spacing w:line="594" w:lineRule="exact"/>
        <w:jc w:val="center"/>
        <w:rPr>
          <w:rFonts w:ascii="Times New Roman" w:hAnsi="Times New Roman" w:eastAsia="方正小标宋_GBK" w:cs="方正小标宋_GBK"/>
          <w:color w:val="000000"/>
          <w:sz w:val="36"/>
          <w:szCs w:val="36"/>
        </w:rPr>
      </w:pPr>
      <w:bookmarkStart w:id="0" w:name="_GoBack"/>
      <w:r>
        <w:rPr>
          <w:rFonts w:hint="eastAsia" w:ascii="Times New Roman" w:hAnsi="Times New Roman" w:eastAsia="方正小标宋_GBK" w:cs="方正小标宋_GBK"/>
          <w:color w:val="000000"/>
          <w:sz w:val="36"/>
          <w:szCs w:val="36"/>
        </w:rPr>
        <w:t>渝北区政府废止规范性文件目录</w:t>
      </w:r>
      <w:bookmarkEnd w:id="0"/>
    </w:p>
    <w:tbl>
      <w:tblPr>
        <w:tblStyle w:val="3"/>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1"/>
        <w:gridCol w:w="2225"/>
        <w:gridCol w:w="1284"/>
        <w:gridCol w:w="351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序号</w:t>
            </w:r>
          </w:p>
        </w:tc>
        <w:tc>
          <w:tcPr>
            <w:tcW w:w="2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文件名称</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文件号</w:t>
            </w:r>
          </w:p>
        </w:tc>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废止理由</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sz w:val="32"/>
              </w:rPr>
            </w:pPr>
            <w:r>
              <w:rPr>
                <w:rFonts w:hint="eastAsia" w:ascii="Times New Roman" w:hAnsi="Times New Roman" w:eastAsia="仿宋_GB2312"/>
                <w:sz w:val="32"/>
              </w:rPr>
              <w:t>1</w:t>
            </w:r>
          </w:p>
        </w:tc>
        <w:tc>
          <w:tcPr>
            <w:tcW w:w="222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rPr>
            </w:pPr>
            <w:r>
              <w:rPr>
                <w:rFonts w:hint="eastAsia" w:ascii="Times New Roman" w:hAnsi="Times New Roman" w:eastAsia="方正仿宋_GBK" w:cs="宋体"/>
                <w:kern w:val="0"/>
                <w:sz w:val="24"/>
              </w:rPr>
              <w:t>重庆市渝北区人民政府办公室关于印发重庆市渝北区地质灾害预警避险奖励暂行办法的通知</w:t>
            </w:r>
          </w:p>
        </w:tc>
        <w:tc>
          <w:tcPr>
            <w:tcW w:w="12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rPr>
            </w:pPr>
            <w:r>
              <w:rPr>
                <w:rFonts w:hint="eastAsia" w:ascii="Times New Roman" w:hAnsi="Times New Roman" w:eastAsia="方正仿宋_GBK"/>
                <w:kern w:val="0"/>
                <w:sz w:val="24"/>
              </w:rPr>
              <w:t>渝北府办发〔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56</w:t>
            </w:r>
            <w:r>
              <w:rPr>
                <w:rFonts w:hint="eastAsia" w:ascii="Times New Roman" w:hAnsi="Times New Roman" w:eastAsia="方正仿宋_GBK"/>
                <w:kern w:val="0"/>
                <w:sz w:val="24"/>
              </w:rPr>
              <w:t>号</w:t>
            </w:r>
          </w:p>
        </w:tc>
        <w:tc>
          <w:tcPr>
            <w:tcW w:w="351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rPr>
            </w:pPr>
            <w:r>
              <w:rPr>
                <w:rFonts w:hint="eastAsia" w:ascii="Times New Roman" w:hAnsi="Times New Roman" w:eastAsia="方正仿宋_GBK" w:cs="宋体"/>
                <w:kern w:val="0"/>
                <w:sz w:val="24"/>
              </w:rPr>
              <w:t>文件有效期</w:t>
            </w:r>
            <w:r>
              <w:rPr>
                <w:rFonts w:ascii="Times New Roman" w:hAnsi="Times New Roman" w:eastAsia="方正仿宋_GBK" w:cs="宋体"/>
                <w:kern w:val="0"/>
                <w:sz w:val="24"/>
              </w:rPr>
              <w:t>届满，对其进行了修改重新</w:t>
            </w:r>
            <w:r>
              <w:rPr>
                <w:rFonts w:hint="eastAsia" w:ascii="Times New Roman" w:hAnsi="Times New Roman" w:eastAsia="方正仿宋_GBK" w:cs="宋体"/>
                <w:kern w:val="0"/>
                <w:sz w:val="24"/>
              </w:rPr>
              <w:t>发文。</w:t>
            </w:r>
            <w:r>
              <w:rPr>
                <w:rFonts w:ascii="Times New Roman" w:hAnsi="Times New Roman" w:eastAsia="方正仿宋_GBK" w:cs="宋体"/>
                <w:kern w:val="0"/>
                <w:sz w:val="24"/>
              </w:rPr>
              <w:t>新文件</w:t>
            </w:r>
            <w:r>
              <w:rPr>
                <w:rFonts w:hint="eastAsia" w:ascii="Times New Roman" w:hAnsi="Times New Roman" w:eastAsia="方正仿宋_GBK" w:cs="宋体"/>
                <w:kern w:val="0"/>
                <w:sz w:val="24"/>
              </w:rPr>
              <w:t>已报备</w:t>
            </w:r>
            <w:r>
              <w:rPr>
                <w:rFonts w:ascii="Times New Roman" w:hAnsi="Times New Roman" w:eastAsia="方正仿宋_GBK" w:cs="宋体"/>
                <w:kern w:val="0"/>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rPr>
            </w:pPr>
            <w:r>
              <w:rPr>
                <w:rFonts w:hint="eastAsia" w:ascii="Times New Roman" w:hAnsi="Times New Roman" w:eastAsia="方正仿宋_GBK" w:cs="宋体"/>
                <w:kern w:val="0"/>
                <w:sz w:val="24"/>
              </w:rPr>
              <w:t>后期</w:t>
            </w:r>
            <w:r>
              <w:rPr>
                <w:rFonts w:ascii="Times New Roman" w:hAnsi="Times New Roman" w:eastAsia="方正仿宋_GBK" w:cs="宋体"/>
                <w:kern w:val="0"/>
                <w:sz w:val="24"/>
              </w:rPr>
              <w:t>会集中</w:t>
            </w:r>
            <w:r>
              <w:rPr>
                <w:rFonts w:hint="eastAsia" w:ascii="Times New Roman" w:hAnsi="Times New Roman" w:eastAsia="方正仿宋_GBK" w:cs="宋体"/>
                <w:kern w:val="0"/>
                <w:sz w:val="24"/>
              </w:rPr>
              <w:t>提请常务会</w:t>
            </w:r>
            <w:r>
              <w:rPr>
                <w:rFonts w:ascii="Times New Roman" w:hAnsi="Times New Roman" w:eastAsia="方正仿宋_GBK" w:cs="宋体"/>
                <w:kern w:val="0"/>
                <w:sz w:val="24"/>
              </w:rPr>
              <w:t>审议，并在</w:t>
            </w:r>
            <w:r>
              <w:rPr>
                <w:rFonts w:hint="eastAsia" w:ascii="Times New Roman" w:hAnsi="Times New Roman" w:eastAsia="方正仿宋_GBK" w:cs="宋体"/>
                <w:kern w:val="0"/>
                <w:sz w:val="24"/>
              </w:rPr>
              <w:t>《决定》中</w:t>
            </w:r>
            <w:r>
              <w:rPr>
                <w:rFonts w:ascii="Times New Roman" w:hAnsi="Times New Roman" w:eastAsia="方正仿宋_GBK" w:cs="宋体"/>
                <w:kern w:val="0"/>
                <w:sz w:val="24"/>
              </w:rPr>
              <w:t>公布。</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A540D"/>
    <w:rsid w:val="5BCA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2021-09-09T02:53:00Z</dcterms:created>
  <dc:creator>区司法局</dc:creator>
  <cp:lastModifiedBy>区司法局</cp:lastModifiedBy>
  <dcterms:modified xsi:type="dcterms:W3CDTF">2021-09-09T02:54:57Z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