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right="318"/>
        <w:jc w:val="center"/>
        <w:rPr>
          <w:rFonts w:ascii="Times New Roman" w:hAnsi="Times New Roman" w:eastAsia="方正楷体_GBK"/>
          <w:sz w:val="32"/>
        </w:rPr>
      </w:pPr>
    </w:p>
    <w:p>
      <w:pPr>
        <w:spacing w:line="560" w:lineRule="exact"/>
        <w:ind w:right="318"/>
        <w:jc w:val="center"/>
        <w:rPr>
          <w:rFonts w:ascii="Times New Roman" w:hAnsi="Times New Roman" w:eastAsia="方正楷体_GBK"/>
          <w:sz w:val="32"/>
        </w:rPr>
      </w:pPr>
    </w:p>
    <w:p>
      <w:pPr>
        <w:snapToGrid w:val="0"/>
        <w:spacing w:line="560" w:lineRule="exact"/>
        <w:jc w:val="center"/>
        <w:rPr>
          <w:rFonts w:ascii="Times New Roman" w:hAnsi="Times New Roman" w:eastAsia="方正小标宋_GBK"/>
          <w:sz w:val="44"/>
          <w:szCs w:val="44"/>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重庆市渝北区人力资源和社会保障局</w:t>
      </w:r>
    </w:p>
    <w:p>
      <w:pPr>
        <w:widowControl/>
        <w:shd w:val="clear" w:color="auto" w:fill="FFFFFF"/>
        <w:autoSpaceDN w:val="0"/>
        <w:jc w:val="center"/>
        <w:rPr>
          <w:rFonts w:ascii="Times New Roman" w:hAnsi="Times New Roman" w:eastAsia="方正小标宋_GBK"/>
          <w:kern w:val="0"/>
          <w:sz w:val="24"/>
        </w:rPr>
      </w:pPr>
      <w:r>
        <w:rPr>
          <w:rFonts w:hint="eastAsia" w:ascii="方正小标宋_GBK" w:hAnsi="方正小标宋_GBK" w:eastAsia="方正小标宋_GBK" w:cs="方正小标宋_GBK"/>
          <w:sz w:val="44"/>
          <w:szCs w:val="44"/>
        </w:rPr>
        <w:t>20</w:t>
      </w:r>
      <w:r>
        <w:rPr>
          <w:rFonts w:hint="eastAsia" w:ascii="方正小标宋_GBK" w:hAnsi="方正小标宋_GBK" w:eastAsia="方正小标宋_GBK" w:cs="方正小标宋_GBK"/>
          <w:sz w:val="44"/>
          <w:szCs w:val="44"/>
          <w:lang w:val="en-US" w:eastAsia="zh-CN"/>
        </w:rPr>
        <w:t>20</w:t>
      </w:r>
      <w:r>
        <w:rPr>
          <w:rFonts w:hint="eastAsia" w:ascii="方正小标宋_GBK" w:hAnsi="方正小标宋_GBK" w:eastAsia="方正小标宋_GBK" w:cs="方正小标宋_GBK"/>
          <w:sz w:val="44"/>
          <w:szCs w:val="44"/>
        </w:rPr>
        <w:t>年政府信息公开工作年度报告</w:t>
      </w:r>
    </w:p>
    <w:p>
      <w:pPr>
        <w:widowControl/>
        <w:shd w:val="clear" w:color="auto" w:fill="FFFFFF"/>
        <w:autoSpaceDN w:val="0"/>
        <w:ind w:firstLine="480"/>
        <w:rPr>
          <w:rFonts w:ascii="Times New Roman" w:hAnsi="Times New Roman" w:eastAsia="方正仿宋_GBK"/>
          <w:kern w:val="0"/>
          <w:sz w:val="32"/>
          <w:szCs w:val="32"/>
        </w:rPr>
      </w:pPr>
    </w:p>
    <w:p>
      <w:pPr>
        <w:spacing w:line="560" w:lineRule="exact"/>
        <w:ind w:firstLine="640" w:firstLineChars="200"/>
        <w:jc w:val="left"/>
        <w:rPr>
          <w:rFonts w:hint="eastAsia" w:ascii="Times New Roman" w:hAnsi="Times New Roman" w:eastAsia="方正仿宋_GBK"/>
          <w:sz w:val="32"/>
          <w:szCs w:val="32"/>
          <w:lang w:eastAsia="zh-CN"/>
        </w:rPr>
      </w:pPr>
      <w:r>
        <w:rPr>
          <w:rFonts w:hint="eastAsia" w:ascii="Times New Roman" w:hAnsi="Times New Roman" w:eastAsia="方正仿宋_GBK"/>
          <w:sz w:val="32"/>
          <w:szCs w:val="32"/>
          <w:lang w:eastAsia="zh-CN"/>
        </w:rPr>
        <w:t>按照《关于做好</w:t>
      </w:r>
      <w:r>
        <w:rPr>
          <w:rFonts w:hint="eastAsia" w:ascii="Times New Roman" w:hAnsi="Times New Roman" w:eastAsia="方正仿宋_GBK"/>
          <w:sz w:val="32"/>
          <w:szCs w:val="32"/>
          <w:lang w:val="en-US" w:eastAsia="zh-CN"/>
        </w:rPr>
        <w:t>2020年政府信息公开工作年度报告有关工作的通知</w:t>
      </w:r>
      <w:r>
        <w:rPr>
          <w:rFonts w:hint="eastAsia" w:ascii="Times New Roman" w:hAnsi="Times New Roman" w:eastAsia="方正仿宋_GBK"/>
          <w:sz w:val="32"/>
          <w:szCs w:val="32"/>
        </w:rPr>
        <w:t>》</w:t>
      </w:r>
      <w:r>
        <w:rPr>
          <w:rFonts w:hint="eastAsia" w:ascii="Times New Roman" w:hAnsi="Times New Roman" w:eastAsia="方正仿宋_GBK"/>
          <w:sz w:val="32"/>
          <w:szCs w:val="32"/>
          <w:lang w:eastAsia="zh-CN"/>
        </w:rPr>
        <w:t>文件要求</w:t>
      </w:r>
      <w:r>
        <w:rPr>
          <w:rFonts w:hint="eastAsia" w:ascii="Times New Roman" w:hAnsi="Times New Roman" w:eastAsia="方正仿宋_GBK"/>
          <w:sz w:val="32"/>
          <w:szCs w:val="32"/>
        </w:rPr>
        <w:t>，结合工作实际，现将我局政府信息公开有关情况报告如下</w:t>
      </w:r>
      <w:r>
        <w:rPr>
          <w:rFonts w:hint="eastAsia" w:ascii="Times New Roman" w:hAnsi="Times New Roman" w:eastAsia="方正仿宋_GBK"/>
          <w:sz w:val="32"/>
          <w:szCs w:val="32"/>
          <w:lang w:eastAsia="zh-CN"/>
        </w:rPr>
        <w:t>：</w:t>
      </w:r>
    </w:p>
    <w:p>
      <w:pPr>
        <w:numPr>
          <w:ilvl w:val="0"/>
          <w:numId w:val="1"/>
        </w:numPr>
        <w:ind w:left="640" w:leftChars="0" w:firstLine="0" w:firstLineChars="0"/>
        <w:rPr>
          <w:rFonts w:hint="eastAsia" w:ascii="方正黑体_GBK" w:hAnsi="宋体" w:eastAsia="方正黑体_GBK" w:cs="宋体"/>
          <w:bCs/>
          <w:kern w:val="0"/>
          <w:sz w:val="32"/>
          <w:szCs w:val="32"/>
          <w:lang w:eastAsia="zh-CN"/>
        </w:rPr>
      </w:pPr>
      <w:r>
        <w:rPr>
          <w:rFonts w:hint="eastAsia" w:ascii="方正黑体_GBK" w:hAnsi="宋体" w:eastAsia="方正黑体_GBK" w:cs="宋体"/>
          <w:bCs/>
          <w:kern w:val="0"/>
          <w:sz w:val="32"/>
          <w:szCs w:val="32"/>
        </w:rPr>
        <w:t>总体情况</w:t>
      </w:r>
    </w:p>
    <w:p>
      <w:pPr>
        <w:spacing w:line="560" w:lineRule="exact"/>
        <w:ind w:firstLine="640" w:firstLineChars="200"/>
        <w:jc w:val="left"/>
        <w:rPr>
          <w:rFonts w:hint="eastAsia" w:ascii="Times New Roman" w:hAnsi="Times New Roman" w:eastAsia="方正仿宋_GBK"/>
          <w:sz w:val="32"/>
          <w:szCs w:val="32"/>
          <w:lang w:eastAsia="zh-CN"/>
        </w:rPr>
      </w:pPr>
      <w:r>
        <w:rPr>
          <w:rFonts w:hint="eastAsia" w:ascii="Times New Roman" w:hAnsi="Times New Roman" w:eastAsia="方正仿宋_GBK"/>
          <w:sz w:val="32"/>
          <w:szCs w:val="32"/>
          <w:lang w:val="en-US" w:eastAsia="zh-CN"/>
        </w:rPr>
        <w:t>2020年</w:t>
      </w:r>
      <w:r>
        <w:rPr>
          <w:rFonts w:hint="eastAsia" w:ascii="Times New Roman" w:hAnsi="Times New Roman" w:eastAsia="方正仿宋_GBK"/>
          <w:sz w:val="32"/>
          <w:szCs w:val="32"/>
          <w:lang w:eastAsia="zh-CN"/>
        </w:rPr>
        <w:t>在区委、区政府的正确领导下，区人力社保局紧密围绕</w:t>
      </w:r>
      <w:r>
        <w:rPr>
          <w:rFonts w:hint="eastAsia" w:ascii="Times New Roman" w:hAnsi="Times New Roman" w:eastAsia="方正仿宋_GBK"/>
          <w:sz w:val="32"/>
          <w:szCs w:val="32"/>
          <w:lang w:val="en-US" w:eastAsia="zh-CN"/>
        </w:rPr>
        <w:t>中心</w:t>
      </w:r>
      <w:r>
        <w:rPr>
          <w:rFonts w:hint="eastAsia" w:ascii="Times New Roman" w:hAnsi="Times New Roman" w:eastAsia="方正仿宋_GBK"/>
          <w:sz w:val="32"/>
          <w:szCs w:val="32"/>
          <w:lang w:eastAsia="zh-CN"/>
        </w:rPr>
        <w:t>工作，认真贯彻落实《重庆市渝北区人民政府办公室关于进一步做好政府信息依申请公开工作的通知》</w:t>
      </w:r>
      <w:r>
        <w:rPr>
          <w:rFonts w:hint="eastAsia" w:ascii="Times New Roman" w:hAnsi="Times New Roman" w:eastAsia="方正仿宋_GBK"/>
          <w:sz w:val="32"/>
          <w:szCs w:val="32"/>
          <w:lang w:val="en-US" w:eastAsia="zh-CN"/>
        </w:rPr>
        <w:t>精神</w:t>
      </w:r>
      <w:r>
        <w:rPr>
          <w:rFonts w:hint="eastAsia" w:ascii="Times New Roman" w:hAnsi="Times New Roman" w:eastAsia="方正仿宋_GBK"/>
          <w:sz w:val="32"/>
          <w:szCs w:val="32"/>
          <w:lang w:eastAsia="zh-CN"/>
        </w:rPr>
        <w:t>，</w:t>
      </w:r>
      <w:r>
        <w:rPr>
          <w:rFonts w:hint="eastAsia" w:ascii="Times New Roman" w:hAnsi="Times New Roman" w:eastAsia="方正仿宋_GBK"/>
          <w:sz w:val="32"/>
          <w:szCs w:val="32"/>
          <w:lang w:val="en-US" w:eastAsia="zh-CN"/>
        </w:rPr>
        <w:t>坚持使用</w:t>
      </w:r>
      <w:r>
        <w:rPr>
          <w:rFonts w:hint="eastAsia" w:ascii="Times New Roman" w:hAnsi="Times New Roman" w:eastAsia="方正仿宋_GBK"/>
          <w:sz w:val="32"/>
          <w:szCs w:val="32"/>
          <w:lang w:eastAsia="zh-CN"/>
        </w:rPr>
        <w:t>渝北区政府信息依申请公开办理工作规范，坚持以公开为常态、不公开为例外，通过加强组织领导，明确责任分工，建立完善工作机制，配齐配强人员，拓宽公开渠道，丰富公开载体，强化重点民生领域信息公开，不断提高信息公开水平。</w:t>
      </w:r>
    </w:p>
    <w:p>
      <w:pPr>
        <w:spacing w:line="560" w:lineRule="exact"/>
        <w:ind w:firstLine="640" w:firstLineChars="200"/>
        <w:jc w:val="left"/>
        <w:rPr>
          <w:rFonts w:hint="eastAsia" w:ascii="Times New Roman" w:hAnsi="Times New Roman" w:eastAsia="方正仿宋_GBK"/>
          <w:sz w:val="32"/>
          <w:szCs w:val="32"/>
          <w:lang w:val="en-US" w:eastAsia="zh-CN"/>
        </w:rPr>
      </w:pPr>
      <w:r>
        <w:rPr>
          <w:rFonts w:hint="eastAsia" w:ascii="Times New Roman" w:hAnsi="Times New Roman" w:eastAsia="方正仿宋_GBK"/>
          <w:sz w:val="32"/>
          <w:szCs w:val="32"/>
          <w:lang w:val="en-US" w:eastAsia="zh-CN"/>
        </w:rPr>
        <w:t>（一）主动公开</w:t>
      </w:r>
    </w:p>
    <w:p>
      <w:pPr>
        <w:spacing w:line="560" w:lineRule="exact"/>
        <w:ind w:firstLine="640" w:firstLineChars="200"/>
        <w:jc w:val="left"/>
        <w:rPr>
          <w:rFonts w:hint="eastAsia" w:ascii="Times New Roman" w:hAnsi="Times New Roman" w:eastAsia="方正仿宋_GBK"/>
          <w:sz w:val="32"/>
          <w:szCs w:val="32"/>
          <w:lang w:val="en-US" w:eastAsia="zh-CN"/>
        </w:rPr>
      </w:pPr>
      <w:r>
        <w:rPr>
          <w:rFonts w:hint="eastAsia" w:ascii="Times New Roman" w:hAnsi="Times New Roman" w:eastAsia="方正仿宋_GBK"/>
          <w:sz w:val="32"/>
          <w:szCs w:val="32"/>
          <w:lang w:val="en-US" w:eastAsia="zh-CN"/>
        </w:rPr>
        <w:t>目前，我局政府信息主要通过重庆市渝北区人民政府网站进行公开，2020年12月按市局新调整后，我局公共服务事项116项，行政权力事项33项，发布履职依据相关文件5个，更新发布领导信息和机构职能7条，公示财务决算报告、预算情况及人力社保局相关文件3条，发布部门动态4条。</w:t>
      </w:r>
    </w:p>
    <w:p>
      <w:pPr>
        <w:spacing w:line="560" w:lineRule="exact"/>
        <w:ind w:firstLine="640" w:firstLineChars="200"/>
        <w:jc w:val="left"/>
        <w:rPr>
          <w:rFonts w:hint="eastAsia" w:ascii="Times New Roman" w:hAnsi="Times New Roman" w:eastAsia="方正仿宋_GBK"/>
          <w:sz w:val="32"/>
          <w:szCs w:val="32"/>
          <w:lang w:val="en-US" w:eastAsia="zh-CN"/>
        </w:rPr>
      </w:pPr>
      <w:r>
        <w:rPr>
          <w:rFonts w:hint="eastAsia" w:ascii="Times New Roman" w:hAnsi="Times New Roman" w:eastAsia="方正仿宋_GBK"/>
          <w:sz w:val="32"/>
          <w:szCs w:val="32"/>
          <w:lang w:val="en-US" w:eastAsia="zh-CN"/>
        </w:rPr>
        <w:t>（二）依申请公开</w:t>
      </w:r>
    </w:p>
    <w:p>
      <w:pPr>
        <w:spacing w:line="560" w:lineRule="exact"/>
        <w:ind w:firstLine="640" w:firstLineChars="200"/>
        <w:jc w:val="left"/>
        <w:rPr>
          <w:rFonts w:hint="eastAsia" w:ascii="Times New Roman" w:hAnsi="Times New Roman" w:eastAsia="方正仿宋_GBK"/>
          <w:sz w:val="32"/>
          <w:szCs w:val="32"/>
          <w:lang w:val="en-US" w:eastAsia="zh-CN"/>
        </w:rPr>
      </w:pPr>
      <w:r>
        <w:rPr>
          <w:rFonts w:hint="eastAsia" w:ascii="Times New Roman" w:hAnsi="Times New Roman" w:eastAsia="方正仿宋_GBK"/>
          <w:sz w:val="32"/>
          <w:szCs w:val="32"/>
          <w:lang w:val="en-US" w:eastAsia="zh-CN"/>
        </w:rPr>
        <w:t>在重庆市渝北区人力资源和社会保障局政府信息公开指南中，就依申请公开的申请流程、申请方式进行了编制更新，全年未收到公开申请。</w:t>
      </w:r>
    </w:p>
    <w:p>
      <w:pPr>
        <w:spacing w:line="560" w:lineRule="exact"/>
        <w:ind w:firstLine="640" w:firstLineChars="200"/>
        <w:jc w:val="left"/>
        <w:rPr>
          <w:rFonts w:hint="eastAsia" w:ascii="Times New Roman" w:hAnsi="Times New Roman" w:eastAsia="方正仿宋_GBK"/>
          <w:sz w:val="32"/>
          <w:szCs w:val="32"/>
          <w:lang w:val="en-US" w:eastAsia="zh-CN"/>
        </w:rPr>
      </w:pPr>
      <w:r>
        <w:rPr>
          <w:rFonts w:hint="eastAsia" w:ascii="Times New Roman" w:hAnsi="Times New Roman" w:eastAsia="方正仿宋_GBK"/>
          <w:sz w:val="32"/>
          <w:szCs w:val="32"/>
          <w:lang w:val="en-US" w:eastAsia="zh-CN"/>
        </w:rPr>
        <w:t>（三）政府信息管理</w:t>
      </w:r>
    </w:p>
    <w:p>
      <w:pPr>
        <w:spacing w:line="560" w:lineRule="exact"/>
        <w:ind w:firstLine="640" w:firstLineChars="200"/>
        <w:jc w:val="left"/>
        <w:rPr>
          <w:rFonts w:hint="eastAsia" w:ascii="Times New Roman" w:hAnsi="Times New Roman" w:eastAsia="方正仿宋_GBK"/>
          <w:sz w:val="32"/>
          <w:szCs w:val="32"/>
          <w:lang w:val="en-US" w:eastAsia="zh-CN"/>
        </w:rPr>
      </w:pPr>
      <w:r>
        <w:rPr>
          <w:rFonts w:hint="eastAsia" w:ascii="Times New Roman" w:hAnsi="Times New Roman" w:eastAsia="方正仿宋_GBK"/>
          <w:sz w:val="32"/>
          <w:szCs w:val="32"/>
          <w:lang w:val="en-US" w:eastAsia="zh-CN"/>
        </w:rPr>
        <w:t>为实现政务公开的科学化、制度化、规范化，着力建立和健全工作机制，切实将政务公开工作落到实处、取得实效，不断优化并加强落实。</w:t>
      </w:r>
      <w:r>
        <w:rPr>
          <w:rFonts w:hint="eastAsia" w:ascii="Times New Roman" w:hAnsi="Times New Roman" w:eastAsia="方正仿宋_GBK"/>
          <w:b/>
          <w:bCs/>
          <w:sz w:val="32"/>
          <w:szCs w:val="32"/>
          <w:lang w:val="en-US" w:eastAsia="zh-CN"/>
        </w:rPr>
        <w:t>一是落实审查制度。</w:t>
      </w:r>
      <w:r>
        <w:rPr>
          <w:rFonts w:hint="eastAsia" w:ascii="Times New Roman" w:hAnsi="Times New Roman" w:eastAsia="方正仿宋_GBK"/>
          <w:sz w:val="32"/>
          <w:szCs w:val="32"/>
          <w:lang w:val="en-US" w:eastAsia="zh-CN"/>
        </w:rPr>
        <w:t>凡是拟公开事项，均把能否公开、怎样公开、在什么范围公开作为审查内容，通过预先审查，经局领导审签后予以公开。严格限制不公开事项范围，准确把握局政府信息公开的内容、范围、形式和时限等。</w:t>
      </w:r>
      <w:r>
        <w:rPr>
          <w:rFonts w:hint="eastAsia" w:ascii="Times New Roman" w:hAnsi="Times New Roman" w:eastAsia="方正仿宋_GBK"/>
          <w:b/>
          <w:bCs/>
          <w:sz w:val="32"/>
          <w:szCs w:val="32"/>
          <w:lang w:val="en-US" w:eastAsia="zh-CN"/>
        </w:rPr>
        <w:t>二是落实主动公开制度。</w:t>
      </w:r>
      <w:r>
        <w:rPr>
          <w:rFonts w:hint="eastAsia" w:ascii="Times New Roman" w:hAnsi="Times New Roman" w:eastAsia="方正仿宋_GBK"/>
          <w:sz w:val="32"/>
          <w:szCs w:val="32"/>
          <w:lang w:val="en-US" w:eastAsia="zh-CN"/>
        </w:rPr>
        <w:t>原则上每月把人力社保工作中应当让社会公众广泛知晓和参与的事项，及时主动向社会公开。特殊情况、重要情况和重大事项，随时主动公开。</w:t>
      </w:r>
      <w:r>
        <w:rPr>
          <w:rFonts w:hint="eastAsia" w:ascii="Times New Roman" w:hAnsi="Times New Roman" w:eastAsia="方正仿宋_GBK"/>
          <w:b/>
          <w:bCs/>
          <w:sz w:val="32"/>
          <w:szCs w:val="32"/>
          <w:lang w:val="en-US" w:eastAsia="zh-CN"/>
        </w:rPr>
        <w:t>三是落实依法申请公开制度。</w:t>
      </w:r>
      <w:r>
        <w:rPr>
          <w:rFonts w:hint="eastAsia" w:ascii="Times New Roman" w:hAnsi="Times New Roman" w:eastAsia="方正仿宋_GBK"/>
          <w:sz w:val="32"/>
          <w:szCs w:val="32"/>
          <w:lang w:val="en-US" w:eastAsia="zh-CN"/>
        </w:rPr>
        <w:t>根据法律法规和有关规定，确定依申请公开的事项、公开对象和范围，明确受理申请的科室、方式和程序等，在规定时限内做出是否公开的答复。确实不能公开的，及时做好解释说明工作。</w:t>
      </w:r>
      <w:r>
        <w:rPr>
          <w:rFonts w:hint="eastAsia" w:ascii="Times New Roman" w:hAnsi="Times New Roman" w:eastAsia="方正仿宋_GBK"/>
          <w:b/>
          <w:bCs/>
          <w:sz w:val="32"/>
          <w:szCs w:val="32"/>
          <w:lang w:val="en-US" w:eastAsia="zh-CN"/>
        </w:rPr>
        <w:t>四是落实评议考核制度</w:t>
      </w:r>
      <w:r>
        <w:rPr>
          <w:rFonts w:hint="eastAsia" w:ascii="Times New Roman" w:hAnsi="Times New Roman" w:eastAsia="方正仿宋_GBK"/>
          <w:sz w:val="32"/>
          <w:szCs w:val="32"/>
          <w:lang w:val="en-US" w:eastAsia="zh-CN"/>
        </w:rPr>
        <w:t>。把政府信息公开工作作为年度考核的一项重要内容，考核结果作为干部评价、奖惩的重要依据。</w:t>
      </w:r>
      <w:r>
        <w:rPr>
          <w:rFonts w:hint="eastAsia" w:ascii="Times New Roman" w:hAnsi="Times New Roman" w:eastAsia="方正仿宋_GBK"/>
          <w:b/>
          <w:bCs/>
          <w:sz w:val="32"/>
          <w:szCs w:val="32"/>
          <w:lang w:val="en-US" w:eastAsia="zh-CN"/>
        </w:rPr>
        <w:t>五是落实责任追究制度。</w:t>
      </w:r>
      <w:r>
        <w:rPr>
          <w:rFonts w:hint="eastAsia" w:ascii="Times New Roman" w:hAnsi="Times New Roman" w:eastAsia="方正仿宋_GBK"/>
          <w:sz w:val="32"/>
          <w:szCs w:val="32"/>
          <w:lang w:val="en-US" w:eastAsia="zh-CN"/>
        </w:rPr>
        <w:t>对工作不力、搞形式主义的科室和人员，在局职工会上通报批评，限期整改；对弄虚作假、承诺不兑现、投诉处理不及时、侵犯群众民主权利造成恶劣影响的，严格按照有关规定严肃处理。</w:t>
      </w:r>
    </w:p>
    <w:p>
      <w:pPr>
        <w:spacing w:line="560" w:lineRule="exact"/>
        <w:ind w:firstLine="640" w:firstLineChars="200"/>
        <w:jc w:val="left"/>
        <w:rPr>
          <w:rFonts w:hint="eastAsia" w:ascii="Times New Roman" w:hAnsi="Times New Roman" w:eastAsia="方正仿宋_GBK"/>
          <w:sz w:val="32"/>
          <w:szCs w:val="32"/>
          <w:lang w:val="en-US" w:eastAsia="zh-CN"/>
        </w:rPr>
      </w:pPr>
      <w:r>
        <w:rPr>
          <w:rFonts w:hint="eastAsia" w:ascii="Times New Roman" w:hAnsi="Times New Roman" w:eastAsia="方正仿宋_GBK"/>
          <w:sz w:val="32"/>
          <w:szCs w:val="32"/>
          <w:lang w:val="en-US" w:eastAsia="zh-CN"/>
        </w:rPr>
        <w:t>（四）平台建设</w:t>
      </w:r>
    </w:p>
    <w:p>
      <w:pPr>
        <w:spacing w:line="560" w:lineRule="exact"/>
        <w:ind w:firstLine="640" w:firstLineChars="200"/>
        <w:jc w:val="left"/>
        <w:rPr>
          <w:rFonts w:hint="eastAsia" w:ascii="Times New Roman" w:hAnsi="Times New Roman" w:eastAsia="方正仿宋_GBK"/>
          <w:sz w:val="32"/>
          <w:szCs w:val="32"/>
          <w:lang w:val="en-US" w:eastAsia="zh-CN"/>
        </w:rPr>
      </w:pPr>
      <w:r>
        <w:rPr>
          <w:rFonts w:hint="eastAsia" w:ascii="Times New Roman" w:hAnsi="Times New Roman" w:eastAsia="方正仿宋_GBK"/>
          <w:sz w:val="32"/>
          <w:szCs w:val="32"/>
          <w:lang w:val="en-US" w:eastAsia="zh-CN"/>
        </w:rPr>
        <w:t>我局安排专人负责信息发布和平台的日常维护。截止2020年12月31日，我局关于政府信息公开共开设动态要闻、政务公开、渝快办、专题专栏4个一级目录，其中“政务公开”中设置领导信息、政府信息公开指南、法定主动公开内容、政府信息公开年报、建议提案办理、六稳六保、基层政务公开7个二级目录；坚持因地制宜、灵活多样、改革创新的原则，不断探索创新政府信息公开形式和公开渠道。通过设置办事指南、LED显示屏和服务投诉箱等主动公开信息并收集群众反馈不断优化工作方式。</w:t>
      </w:r>
    </w:p>
    <w:p>
      <w:pPr>
        <w:spacing w:line="560" w:lineRule="exact"/>
        <w:ind w:firstLine="640" w:firstLineChars="200"/>
        <w:jc w:val="left"/>
        <w:rPr>
          <w:rFonts w:hint="eastAsia" w:ascii="Times New Roman" w:hAnsi="Times New Roman" w:eastAsia="方正仿宋_GBK"/>
          <w:sz w:val="32"/>
          <w:szCs w:val="32"/>
          <w:lang w:val="en-US" w:eastAsia="zh-CN"/>
        </w:rPr>
      </w:pPr>
      <w:r>
        <w:rPr>
          <w:rFonts w:hint="eastAsia" w:ascii="Times New Roman" w:hAnsi="Times New Roman" w:eastAsia="方正仿宋_GBK"/>
          <w:sz w:val="32"/>
          <w:szCs w:val="32"/>
          <w:lang w:val="en-US" w:eastAsia="zh-CN"/>
        </w:rPr>
        <w:t>（五）监督保障</w:t>
      </w:r>
    </w:p>
    <w:p>
      <w:pPr>
        <w:spacing w:line="560" w:lineRule="exact"/>
        <w:ind w:firstLine="640" w:firstLineChars="200"/>
        <w:jc w:val="left"/>
        <w:rPr>
          <w:rFonts w:hint="eastAsia" w:ascii="Times New Roman" w:hAnsi="Times New Roman" w:eastAsia="方正仿宋_GBK"/>
          <w:sz w:val="32"/>
          <w:szCs w:val="32"/>
          <w:lang w:val="en-US" w:eastAsia="zh-CN"/>
        </w:rPr>
      </w:pPr>
      <w:r>
        <w:rPr>
          <w:rFonts w:hint="eastAsia" w:ascii="Times New Roman" w:hAnsi="Times New Roman" w:eastAsia="方正仿宋_GBK"/>
          <w:sz w:val="32"/>
          <w:szCs w:val="32"/>
          <w:lang w:val="en-US" w:eastAsia="zh-CN"/>
        </w:rPr>
        <w:t>我局高度重视政府信息公开工作，局主要领导多次对信息公开工作进行批示，通过专题会研究政府信息公开工作，做到与业务工作同部署同安排；同时，明确由办公室统筹，机关各科室、局属各单位配合办理，并安排了专人负责推进全局政务信息公开。</w:t>
      </w:r>
    </w:p>
    <w:p>
      <w:pPr>
        <w:spacing w:line="560" w:lineRule="exact"/>
        <w:ind w:firstLine="640" w:firstLineChars="200"/>
        <w:jc w:val="left"/>
        <w:rPr>
          <w:rFonts w:hint="eastAsia" w:ascii="Times New Roman" w:hAnsi="Times New Roman" w:eastAsia="方正仿宋_GBK"/>
          <w:sz w:val="32"/>
          <w:szCs w:val="32"/>
          <w:lang w:val="en-US" w:eastAsia="zh-CN"/>
        </w:rPr>
      </w:pPr>
      <w:r>
        <w:rPr>
          <w:rFonts w:hint="eastAsia" w:ascii="Times New Roman" w:hAnsi="Times New Roman" w:eastAsia="方正仿宋_GBK"/>
          <w:sz w:val="32"/>
          <w:szCs w:val="32"/>
          <w:lang w:val="en-US" w:eastAsia="zh-CN"/>
        </w:rPr>
        <w:t>为进一步强化社会监督，我局在《重庆市渝北区人力资源和社会保障局政府信息公开指南》中向公众告知侵权投诉举报途径和司法救济途径。并积极探索专家咨询、论证以及邀请人大代表、政协委员、群众代表等旁听有关会议等形式，对人社工作的决策过程和结果予以公开。</w:t>
      </w:r>
    </w:p>
    <w:p>
      <w:pPr>
        <w:widowControl/>
        <w:shd w:val="clear" w:color="auto" w:fill="FFFFFF"/>
        <w:autoSpaceDN w:val="0"/>
        <w:spacing w:after="240" w:afterLines="0"/>
        <w:ind w:firstLine="480"/>
        <w:rPr>
          <w:rFonts w:ascii="Times New Roman" w:hAnsi="Times New Roman" w:eastAsia="方正黑体_GBK"/>
          <w:kern w:val="0"/>
          <w:sz w:val="32"/>
          <w:szCs w:val="32"/>
        </w:rPr>
      </w:pPr>
      <w:r>
        <w:rPr>
          <w:rFonts w:ascii="Times New Roman" w:hAnsi="Times New Roman" w:eastAsia="方正黑体_GBK"/>
          <w:bCs/>
          <w:kern w:val="0"/>
          <w:sz w:val="32"/>
          <w:szCs w:val="32"/>
        </w:rPr>
        <w:t>二、主动公开政府信息情况</w:t>
      </w:r>
    </w:p>
    <w:tbl>
      <w:tblPr>
        <w:tblStyle w:val="4"/>
        <w:tblW w:w="0" w:type="auto"/>
        <w:jc w:val="center"/>
        <w:tblLayout w:type="fixed"/>
        <w:tblCellMar>
          <w:top w:w="0" w:type="dxa"/>
          <w:left w:w="0" w:type="dxa"/>
          <w:bottom w:w="0" w:type="dxa"/>
          <w:right w:w="0" w:type="dxa"/>
        </w:tblCellMar>
      </w:tblPr>
      <w:tblGrid>
        <w:gridCol w:w="3113"/>
        <w:gridCol w:w="1875"/>
        <w:gridCol w:w="1271"/>
        <w:gridCol w:w="1881"/>
      </w:tblGrid>
      <w:tr>
        <w:tblPrEx>
          <w:tblCellMar>
            <w:top w:w="0" w:type="dxa"/>
            <w:left w:w="0" w:type="dxa"/>
            <w:bottom w:w="0" w:type="dxa"/>
            <w:right w:w="0" w:type="dxa"/>
          </w:tblCellMar>
        </w:tblPrEx>
        <w:trPr>
          <w:trHeight w:val="495" w:hRule="atLeast"/>
          <w:jc w:val="center"/>
        </w:trPr>
        <w:tc>
          <w:tcPr>
            <w:tcW w:w="8140" w:type="dxa"/>
            <w:gridSpan w:val="4"/>
            <w:tcBorders>
              <w:top w:val="single" w:color="auto" w:sz="8" w:space="0"/>
              <w:left w:val="single" w:color="auto" w:sz="8" w:space="0"/>
              <w:bottom w:val="single" w:color="auto" w:sz="8" w:space="0"/>
              <w:right w:val="single" w:color="auto" w:sz="8" w:space="0"/>
            </w:tcBorders>
            <w:shd w:val="clear" w:color="auto" w:fill="C6D9F1"/>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第二十条第（一）项</w:t>
            </w:r>
          </w:p>
        </w:tc>
      </w:tr>
      <w:tr>
        <w:tblPrEx>
          <w:tblCellMar>
            <w:top w:w="0" w:type="dxa"/>
            <w:left w:w="0" w:type="dxa"/>
            <w:bottom w:w="0" w:type="dxa"/>
            <w:right w:w="0" w:type="dxa"/>
          </w:tblCellMar>
        </w:tblPrEx>
        <w:trPr>
          <w:trHeight w:val="60" w:hRule="atLeast"/>
          <w:jc w:val="center"/>
        </w:trPr>
        <w:tc>
          <w:tcPr>
            <w:tcW w:w="3113"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信息内容</w:t>
            </w:r>
          </w:p>
        </w:tc>
        <w:tc>
          <w:tcPr>
            <w:tcW w:w="1875"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本年新</w:t>
            </w:r>
            <w:r>
              <w:rPr>
                <w:rFonts w:hint="eastAsia" w:ascii="Times New Roman" w:hAnsi="Times New Roman" w:eastAsia="方正仿宋_GBK"/>
                <w:kern w:val="0"/>
                <w:sz w:val="20"/>
                <w:szCs w:val="20"/>
              </w:rPr>
              <w:br w:type="textWrapping" w:clear="all"/>
            </w:r>
            <w:r>
              <w:rPr>
                <w:rFonts w:hint="eastAsia" w:ascii="Times New Roman" w:hAnsi="Times New Roman" w:eastAsia="方正仿宋_GBK"/>
                <w:kern w:val="0"/>
                <w:sz w:val="20"/>
                <w:szCs w:val="20"/>
              </w:rPr>
              <w:t>制作数量</w:t>
            </w:r>
          </w:p>
        </w:tc>
        <w:tc>
          <w:tcPr>
            <w:tcW w:w="1271"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本年新</w:t>
            </w:r>
            <w:r>
              <w:rPr>
                <w:rFonts w:hint="eastAsia" w:ascii="Times New Roman" w:hAnsi="Times New Roman" w:eastAsia="方正仿宋_GBK"/>
                <w:kern w:val="0"/>
                <w:sz w:val="20"/>
                <w:szCs w:val="20"/>
              </w:rPr>
              <w:br w:type="textWrapping" w:clear="all"/>
            </w:r>
            <w:r>
              <w:rPr>
                <w:rFonts w:hint="eastAsia" w:ascii="Times New Roman" w:hAnsi="Times New Roman" w:eastAsia="方正仿宋_GBK"/>
                <w:kern w:val="0"/>
                <w:sz w:val="20"/>
                <w:szCs w:val="20"/>
              </w:rPr>
              <w:t>公开数量</w:t>
            </w:r>
          </w:p>
        </w:tc>
        <w:tc>
          <w:tcPr>
            <w:tcW w:w="188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对外公开总数量</w:t>
            </w:r>
          </w:p>
        </w:tc>
      </w:tr>
      <w:tr>
        <w:tblPrEx>
          <w:tblCellMar>
            <w:top w:w="0" w:type="dxa"/>
            <w:left w:w="0" w:type="dxa"/>
            <w:bottom w:w="0" w:type="dxa"/>
            <w:right w:w="0" w:type="dxa"/>
          </w:tblCellMar>
        </w:tblPrEx>
        <w:trPr>
          <w:trHeight w:val="523" w:hRule="atLeast"/>
          <w:jc w:val="center"/>
        </w:trPr>
        <w:tc>
          <w:tcPr>
            <w:tcW w:w="3113"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规章</w:t>
            </w:r>
          </w:p>
        </w:tc>
        <w:tc>
          <w:tcPr>
            <w:tcW w:w="1875"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127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lang w:val="en-US" w:eastAsia="zh-CN"/>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88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lang w:val="en-US" w:eastAsia="zh-CN"/>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r>
      <w:tr>
        <w:tblPrEx>
          <w:tblCellMar>
            <w:top w:w="0" w:type="dxa"/>
            <w:left w:w="0" w:type="dxa"/>
            <w:bottom w:w="0" w:type="dxa"/>
            <w:right w:w="0" w:type="dxa"/>
          </w:tblCellMar>
        </w:tblPrEx>
        <w:trPr>
          <w:trHeight w:val="471" w:hRule="atLeast"/>
          <w:jc w:val="center"/>
        </w:trPr>
        <w:tc>
          <w:tcPr>
            <w:tcW w:w="3113"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规范性文件</w:t>
            </w:r>
          </w:p>
        </w:tc>
        <w:tc>
          <w:tcPr>
            <w:tcW w:w="1875"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127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lang w:val="en-US" w:eastAsia="zh-CN"/>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88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trHeight w:val="480" w:hRule="atLeast"/>
          <w:jc w:val="center"/>
        </w:trPr>
        <w:tc>
          <w:tcPr>
            <w:tcW w:w="8140" w:type="dxa"/>
            <w:gridSpan w:val="4"/>
            <w:tcBorders>
              <w:top w:val="nil"/>
              <w:left w:val="single" w:color="auto" w:sz="8" w:space="0"/>
              <w:bottom w:val="single" w:color="auto" w:sz="8" w:space="0"/>
              <w:right w:val="single" w:color="auto" w:sz="8" w:space="0"/>
            </w:tcBorders>
            <w:shd w:val="clear" w:color="auto" w:fill="C6D9F1"/>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第二十条第（五）项</w:t>
            </w:r>
          </w:p>
        </w:tc>
      </w:tr>
      <w:tr>
        <w:tblPrEx>
          <w:tblCellMar>
            <w:top w:w="0" w:type="dxa"/>
            <w:left w:w="0" w:type="dxa"/>
            <w:bottom w:w="0" w:type="dxa"/>
            <w:right w:w="0" w:type="dxa"/>
          </w:tblCellMar>
        </w:tblPrEx>
        <w:trPr>
          <w:trHeight w:val="634" w:hRule="atLeast"/>
          <w:jc w:val="center"/>
        </w:trPr>
        <w:tc>
          <w:tcPr>
            <w:tcW w:w="3113"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0"/>
                <w:szCs w:val="20"/>
              </w:rPr>
            </w:pPr>
            <w:r>
              <w:rPr>
                <w:rFonts w:hint="eastAsia" w:ascii="Times New Roman" w:hAnsi="Times New Roman" w:eastAsia="方正仿宋_GBK"/>
                <w:kern w:val="0"/>
                <w:sz w:val="20"/>
                <w:szCs w:val="20"/>
              </w:rPr>
              <w:t>信息内容</w:t>
            </w:r>
          </w:p>
        </w:tc>
        <w:tc>
          <w:tcPr>
            <w:tcW w:w="1875"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0"/>
                <w:szCs w:val="20"/>
              </w:rPr>
            </w:pPr>
            <w:r>
              <w:rPr>
                <w:rFonts w:hint="eastAsia" w:ascii="Times New Roman" w:hAnsi="Times New Roman" w:eastAsia="方正仿宋_GBK"/>
                <w:kern w:val="0"/>
                <w:sz w:val="20"/>
                <w:szCs w:val="20"/>
              </w:rPr>
              <w:t>上一年项目数量</w:t>
            </w:r>
          </w:p>
        </w:tc>
        <w:tc>
          <w:tcPr>
            <w:tcW w:w="1271"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0"/>
                <w:szCs w:val="20"/>
              </w:rPr>
            </w:pPr>
            <w:r>
              <w:rPr>
                <w:rFonts w:hint="eastAsia" w:ascii="Times New Roman" w:hAnsi="Times New Roman" w:eastAsia="方正仿宋_GBK"/>
                <w:kern w:val="0"/>
                <w:sz w:val="20"/>
                <w:szCs w:val="20"/>
              </w:rPr>
              <w:t>本年增/减</w:t>
            </w:r>
          </w:p>
        </w:tc>
        <w:tc>
          <w:tcPr>
            <w:tcW w:w="188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0"/>
                <w:szCs w:val="20"/>
              </w:rPr>
            </w:pPr>
            <w:r>
              <w:rPr>
                <w:rFonts w:hint="eastAsia" w:ascii="Times New Roman" w:hAnsi="Times New Roman" w:eastAsia="方正仿宋_GBK"/>
                <w:kern w:val="0"/>
                <w:sz w:val="20"/>
                <w:szCs w:val="20"/>
              </w:rPr>
              <w:t>处理决定数量</w:t>
            </w:r>
          </w:p>
        </w:tc>
      </w:tr>
      <w:tr>
        <w:tblPrEx>
          <w:tblCellMar>
            <w:top w:w="0" w:type="dxa"/>
            <w:left w:w="0" w:type="dxa"/>
            <w:bottom w:w="0" w:type="dxa"/>
            <w:right w:w="0" w:type="dxa"/>
          </w:tblCellMar>
        </w:tblPrEx>
        <w:trPr>
          <w:trHeight w:val="528" w:hRule="atLeast"/>
          <w:jc w:val="center"/>
        </w:trPr>
        <w:tc>
          <w:tcPr>
            <w:tcW w:w="3113" w:type="dxa"/>
            <w:tcBorders>
              <w:top w:val="nil"/>
              <w:left w:val="single" w:color="auto" w:sz="8" w:space="0"/>
              <w:bottom w:val="single" w:color="auto" w:sz="8" w:space="0"/>
              <w:right w:val="single" w:color="auto" w:sz="8" w:space="0"/>
            </w:tcBorders>
            <w:noWrap w:val="0"/>
            <w:vAlign w:val="center"/>
          </w:tcPr>
          <w:p>
            <w:pPr>
              <w:widowControl/>
              <w:autoSpaceDN w:val="0"/>
              <w:jc w:val="center"/>
              <w:rPr>
                <w:rFonts w:hint="eastAsia" w:ascii="Times New Roman" w:hAnsi="Times New Roman" w:eastAsia="方正仿宋_GBK"/>
                <w:kern w:val="0"/>
                <w:sz w:val="20"/>
                <w:szCs w:val="20"/>
              </w:rPr>
            </w:pPr>
            <w:bookmarkStart w:id="0" w:name="_GoBack" w:colFirst="0" w:colLast="3"/>
            <w:r>
              <w:rPr>
                <w:rFonts w:hint="eastAsia" w:ascii="Times New Roman" w:hAnsi="Times New Roman" w:eastAsia="方正仿宋_GBK"/>
                <w:kern w:val="0"/>
                <w:sz w:val="20"/>
                <w:szCs w:val="20"/>
              </w:rPr>
              <w:t>行政许可</w:t>
            </w:r>
          </w:p>
        </w:tc>
        <w:tc>
          <w:tcPr>
            <w:tcW w:w="1875" w:type="dxa"/>
            <w:tcBorders>
              <w:top w:val="nil"/>
              <w:left w:val="nil"/>
              <w:bottom w:val="single" w:color="auto" w:sz="8" w:space="0"/>
              <w:right w:val="single" w:color="auto" w:sz="8" w:space="0"/>
            </w:tcBorders>
            <w:noWrap w:val="0"/>
            <w:vAlign w:val="center"/>
          </w:tcPr>
          <w:p>
            <w:pPr>
              <w:widowControl/>
              <w:autoSpaceDN w:val="0"/>
              <w:jc w:val="center"/>
              <w:rPr>
                <w:rFonts w:hint="eastAsia" w:ascii="Times New Roman" w:hAnsi="Times New Roman" w:eastAsia="方正仿宋_GBK"/>
                <w:kern w:val="0"/>
                <w:sz w:val="20"/>
                <w:szCs w:val="20"/>
              </w:rPr>
            </w:pPr>
            <w:r>
              <w:rPr>
                <w:rFonts w:hint="eastAsia" w:ascii="Times New Roman" w:hAnsi="Times New Roman" w:eastAsia="方正仿宋_GBK"/>
                <w:kern w:val="0"/>
                <w:sz w:val="20"/>
                <w:szCs w:val="20"/>
                <w:lang w:val="en-US" w:eastAsia="zh-CN"/>
              </w:rPr>
              <w:t>4</w:t>
            </w:r>
          </w:p>
        </w:tc>
        <w:tc>
          <w:tcPr>
            <w:tcW w:w="127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0"/>
                <w:szCs w:val="20"/>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188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0"/>
                <w:szCs w:val="20"/>
              </w:rPr>
            </w:pPr>
            <w:r>
              <w:rPr>
                <w:rFonts w:hint="eastAsia" w:ascii="Times New Roman" w:hAnsi="Times New Roman" w:eastAsia="方正仿宋_GBK"/>
                <w:kern w:val="0"/>
                <w:sz w:val="20"/>
                <w:szCs w:val="20"/>
                <w:lang w:val="en-US" w:eastAsia="zh-CN"/>
              </w:rPr>
              <w:t>782</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trHeight w:val="550" w:hRule="atLeast"/>
          <w:jc w:val="center"/>
        </w:trPr>
        <w:tc>
          <w:tcPr>
            <w:tcW w:w="3113" w:type="dxa"/>
            <w:tcBorders>
              <w:top w:val="nil"/>
              <w:left w:val="single" w:color="auto" w:sz="8" w:space="0"/>
              <w:bottom w:val="single" w:color="auto" w:sz="8" w:space="0"/>
              <w:right w:val="single" w:color="auto" w:sz="8" w:space="0"/>
            </w:tcBorders>
            <w:noWrap w:val="0"/>
            <w:vAlign w:val="center"/>
          </w:tcPr>
          <w:p>
            <w:pPr>
              <w:widowControl/>
              <w:autoSpaceDN w:val="0"/>
              <w:jc w:val="center"/>
              <w:rPr>
                <w:rFonts w:hint="eastAsia" w:ascii="Times New Roman" w:hAnsi="Times New Roman" w:eastAsia="方正仿宋_GBK"/>
                <w:kern w:val="0"/>
                <w:sz w:val="20"/>
                <w:szCs w:val="20"/>
              </w:rPr>
            </w:pPr>
            <w:r>
              <w:rPr>
                <w:rFonts w:hint="eastAsia" w:ascii="Times New Roman" w:hAnsi="Times New Roman" w:eastAsia="方正仿宋_GBK"/>
                <w:kern w:val="0"/>
                <w:sz w:val="20"/>
                <w:szCs w:val="20"/>
              </w:rPr>
              <w:t>其他对外管理服务事项</w:t>
            </w:r>
          </w:p>
        </w:tc>
        <w:tc>
          <w:tcPr>
            <w:tcW w:w="1875" w:type="dxa"/>
            <w:tcBorders>
              <w:top w:val="nil"/>
              <w:left w:val="nil"/>
              <w:bottom w:val="single" w:color="auto" w:sz="8" w:space="0"/>
              <w:right w:val="single" w:color="auto" w:sz="8" w:space="0"/>
            </w:tcBorders>
            <w:noWrap w:val="0"/>
            <w:vAlign w:val="center"/>
          </w:tcPr>
          <w:p>
            <w:pPr>
              <w:widowControl/>
              <w:autoSpaceDN w:val="0"/>
              <w:jc w:val="center"/>
              <w:rPr>
                <w:rFonts w:hint="eastAsia" w:ascii="Times New Roman" w:hAnsi="Times New Roman" w:eastAsia="方正仿宋_GBK"/>
                <w:kern w:val="0"/>
                <w:sz w:val="20"/>
                <w:szCs w:val="20"/>
              </w:rPr>
            </w:pPr>
            <w:r>
              <w:rPr>
                <w:rFonts w:hint="eastAsia" w:ascii="Times New Roman" w:hAnsi="Times New Roman" w:eastAsia="方正仿宋_GBK"/>
                <w:kern w:val="0"/>
                <w:sz w:val="20"/>
                <w:szCs w:val="20"/>
                <w:lang w:val="en-US" w:eastAsia="zh-CN"/>
              </w:rPr>
              <w:t>149</w:t>
            </w:r>
            <w:r>
              <w:rPr>
                <w:rFonts w:hint="eastAsia" w:ascii="Times New Roman" w:hAnsi="Times New Roman" w:eastAsia="方正仿宋_GBK"/>
                <w:kern w:val="0"/>
                <w:sz w:val="20"/>
                <w:szCs w:val="20"/>
              </w:rPr>
              <w:t>　</w:t>
            </w:r>
          </w:p>
        </w:tc>
        <w:tc>
          <w:tcPr>
            <w:tcW w:w="127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0"/>
                <w:szCs w:val="20"/>
                <w:lang w:val="en-US"/>
              </w:rPr>
            </w:pPr>
            <w:r>
              <w:rPr>
                <w:rFonts w:hint="eastAsia" w:ascii="Times New Roman" w:hAnsi="Times New Roman" w:eastAsia="方正仿宋_GBK"/>
                <w:kern w:val="0"/>
                <w:sz w:val="20"/>
                <w:szCs w:val="20"/>
                <w:lang w:val="en-US" w:eastAsia="zh-CN"/>
              </w:rPr>
              <w:t>-28</w:t>
            </w:r>
          </w:p>
        </w:tc>
        <w:tc>
          <w:tcPr>
            <w:tcW w:w="188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0"/>
                <w:szCs w:val="20"/>
              </w:rPr>
            </w:pPr>
            <w:r>
              <w:rPr>
                <w:rFonts w:hint="eastAsia" w:ascii="Times New Roman" w:hAnsi="Times New Roman" w:eastAsia="方正仿宋_GBK"/>
                <w:kern w:val="0"/>
                <w:sz w:val="20"/>
                <w:szCs w:val="20"/>
                <w:lang w:val="en-US" w:eastAsia="zh-CN"/>
              </w:rPr>
              <w:t>2053</w:t>
            </w:r>
          </w:p>
        </w:tc>
      </w:tr>
      <w:bookmarkEnd w:id="0"/>
      <w:tr>
        <w:tblPrEx>
          <w:tblCellMar>
            <w:top w:w="0" w:type="dxa"/>
            <w:left w:w="0" w:type="dxa"/>
            <w:bottom w:w="0" w:type="dxa"/>
            <w:right w:w="0" w:type="dxa"/>
          </w:tblCellMar>
        </w:tblPrEx>
        <w:trPr>
          <w:trHeight w:val="406" w:hRule="atLeast"/>
          <w:jc w:val="center"/>
        </w:trPr>
        <w:tc>
          <w:tcPr>
            <w:tcW w:w="8140" w:type="dxa"/>
            <w:gridSpan w:val="4"/>
            <w:tcBorders>
              <w:top w:val="nil"/>
              <w:left w:val="single" w:color="auto" w:sz="8" w:space="0"/>
              <w:bottom w:val="single" w:color="auto" w:sz="8" w:space="0"/>
              <w:right w:val="single" w:color="auto" w:sz="8" w:space="0"/>
            </w:tcBorders>
            <w:shd w:val="clear" w:color="auto" w:fill="C6D9F1"/>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0"/>
                <w:szCs w:val="20"/>
              </w:rPr>
            </w:pPr>
            <w:r>
              <w:rPr>
                <w:rFonts w:hint="eastAsia" w:ascii="Times New Roman" w:hAnsi="Times New Roman" w:eastAsia="方正仿宋_GBK"/>
                <w:kern w:val="0"/>
                <w:sz w:val="20"/>
                <w:szCs w:val="20"/>
              </w:rPr>
              <w:t>第二十条第（六）项</w:t>
            </w:r>
          </w:p>
        </w:tc>
      </w:tr>
      <w:tr>
        <w:tblPrEx>
          <w:tblCellMar>
            <w:top w:w="0" w:type="dxa"/>
            <w:left w:w="0" w:type="dxa"/>
            <w:bottom w:w="0" w:type="dxa"/>
            <w:right w:w="0" w:type="dxa"/>
          </w:tblCellMar>
        </w:tblPrEx>
        <w:trPr>
          <w:trHeight w:val="634" w:hRule="atLeast"/>
          <w:jc w:val="center"/>
        </w:trPr>
        <w:tc>
          <w:tcPr>
            <w:tcW w:w="3113"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信息内容</w:t>
            </w:r>
          </w:p>
        </w:tc>
        <w:tc>
          <w:tcPr>
            <w:tcW w:w="1875"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上一年项目数量</w:t>
            </w:r>
          </w:p>
        </w:tc>
        <w:tc>
          <w:tcPr>
            <w:tcW w:w="1271"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本年增/减</w:t>
            </w:r>
          </w:p>
        </w:tc>
        <w:tc>
          <w:tcPr>
            <w:tcW w:w="188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处理决定数量</w:t>
            </w:r>
          </w:p>
        </w:tc>
      </w:tr>
      <w:tr>
        <w:tblPrEx>
          <w:tblCellMar>
            <w:top w:w="0" w:type="dxa"/>
            <w:left w:w="0" w:type="dxa"/>
            <w:bottom w:w="0" w:type="dxa"/>
            <w:right w:w="0" w:type="dxa"/>
          </w:tblCellMar>
        </w:tblPrEx>
        <w:trPr>
          <w:trHeight w:val="430" w:hRule="atLeast"/>
          <w:jc w:val="center"/>
        </w:trPr>
        <w:tc>
          <w:tcPr>
            <w:tcW w:w="3113" w:type="dxa"/>
            <w:tcBorders>
              <w:top w:val="nil"/>
              <w:left w:val="single" w:color="auto" w:sz="8" w:space="0"/>
              <w:bottom w:val="single" w:color="auto" w:sz="8" w:space="0"/>
              <w:right w:val="single" w:color="auto" w:sz="8" w:space="0"/>
            </w:tcBorders>
            <w:noWrap w:val="0"/>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行政处罚</w:t>
            </w:r>
          </w:p>
        </w:tc>
        <w:tc>
          <w:tcPr>
            <w:tcW w:w="1875" w:type="dxa"/>
            <w:tcBorders>
              <w:top w:val="nil"/>
              <w:left w:val="nil"/>
              <w:bottom w:val="single" w:color="auto" w:sz="8" w:space="0"/>
              <w:right w:val="single" w:color="auto" w:sz="8" w:space="0"/>
            </w:tcBorders>
            <w:noWrap w:val="0"/>
            <w:vAlign w:val="center"/>
          </w:tcPr>
          <w:p>
            <w:pPr>
              <w:widowControl/>
              <w:autoSpaceDN w:val="0"/>
              <w:jc w:val="center"/>
              <w:rPr>
                <w:rFonts w:hint="default" w:ascii="Times New Roman" w:hAnsi="Times New Roman" w:eastAsia="方正仿宋_GBK"/>
                <w:kern w:val="0"/>
                <w:sz w:val="24"/>
                <w:lang w:val="en-US"/>
              </w:rPr>
            </w:pPr>
            <w:r>
              <w:rPr>
                <w:rFonts w:hint="eastAsia" w:ascii="Times New Roman" w:hAnsi="Times New Roman" w:eastAsia="方正仿宋_GBK"/>
                <w:kern w:val="0"/>
                <w:sz w:val="20"/>
                <w:szCs w:val="20"/>
                <w:lang w:val="en-US" w:eastAsia="zh-CN"/>
              </w:rPr>
              <w:t>22</w:t>
            </w:r>
          </w:p>
        </w:tc>
        <w:tc>
          <w:tcPr>
            <w:tcW w:w="127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p>
        </w:tc>
        <w:tc>
          <w:tcPr>
            <w:tcW w:w="188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7</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trHeight w:val="409" w:hRule="atLeast"/>
          <w:jc w:val="center"/>
        </w:trPr>
        <w:tc>
          <w:tcPr>
            <w:tcW w:w="3113" w:type="dxa"/>
            <w:tcBorders>
              <w:top w:val="nil"/>
              <w:left w:val="single" w:color="auto" w:sz="8" w:space="0"/>
              <w:bottom w:val="single" w:color="auto" w:sz="8" w:space="0"/>
              <w:right w:val="single" w:color="auto" w:sz="8" w:space="0"/>
            </w:tcBorders>
            <w:noWrap w:val="0"/>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行政强制</w:t>
            </w:r>
          </w:p>
        </w:tc>
        <w:tc>
          <w:tcPr>
            <w:tcW w:w="1875" w:type="dxa"/>
            <w:tcBorders>
              <w:top w:val="nil"/>
              <w:left w:val="nil"/>
              <w:bottom w:val="single" w:color="auto" w:sz="8" w:space="0"/>
              <w:right w:val="single" w:color="auto" w:sz="8" w:space="0"/>
            </w:tcBorders>
            <w:noWrap w:val="0"/>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2</w:t>
            </w:r>
          </w:p>
        </w:tc>
        <w:tc>
          <w:tcPr>
            <w:tcW w:w="127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188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trHeight w:val="474" w:hRule="atLeast"/>
          <w:jc w:val="center"/>
        </w:trPr>
        <w:tc>
          <w:tcPr>
            <w:tcW w:w="8140" w:type="dxa"/>
            <w:gridSpan w:val="4"/>
            <w:tcBorders>
              <w:top w:val="nil"/>
              <w:left w:val="single" w:color="auto" w:sz="8" w:space="0"/>
              <w:bottom w:val="single" w:color="auto" w:sz="8" w:space="0"/>
              <w:right w:val="single" w:color="auto" w:sz="8" w:space="0"/>
            </w:tcBorders>
            <w:shd w:val="clear" w:color="auto" w:fill="C6D9F1"/>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第二十条第（八）项</w:t>
            </w:r>
          </w:p>
        </w:tc>
      </w:tr>
      <w:tr>
        <w:tblPrEx>
          <w:tblCellMar>
            <w:top w:w="0" w:type="dxa"/>
            <w:left w:w="0" w:type="dxa"/>
            <w:bottom w:w="0" w:type="dxa"/>
            <w:right w:w="0" w:type="dxa"/>
          </w:tblCellMar>
        </w:tblPrEx>
        <w:trPr>
          <w:trHeight w:val="270" w:hRule="atLeast"/>
          <w:jc w:val="center"/>
        </w:trPr>
        <w:tc>
          <w:tcPr>
            <w:tcW w:w="3113"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信息内容</w:t>
            </w:r>
          </w:p>
        </w:tc>
        <w:tc>
          <w:tcPr>
            <w:tcW w:w="1875"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上一年项目数量</w:t>
            </w:r>
          </w:p>
        </w:tc>
        <w:tc>
          <w:tcPr>
            <w:tcW w:w="3152" w:type="dxa"/>
            <w:gridSpan w:val="2"/>
            <w:tcBorders>
              <w:top w:val="single" w:color="auto" w:sz="8" w:space="0"/>
              <w:left w:val="nil"/>
              <w:bottom w:val="single" w:color="auto" w:sz="8" w:space="0"/>
              <w:right w:val="single" w:color="000000"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本年增/减</w:t>
            </w:r>
          </w:p>
        </w:tc>
      </w:tr>
      <w:tr>
        <w:tblPrEx>
          <w:tblCellMar>
            <w:top w:w="0" w:type="dxa"/>
            <w:left w:w="0" w:type="dxa"/>
            <w:bottom w:w="0" w:type="dxa"/>
            <w:right w:w="0" w:type="dxa"/>
          </w:tblCellMar>
        </w:tblPrEx>
        <w:trPr>
          <w:trHeight w:val="551" w:hRule="atLeast"/>
          <w:jc w:val="center"/>
        </w:trPr>
        <w:tc>
          <w:tcPr>
            <w:tcW w:w="3113"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行政事业性收费</w:t>
            </w:r>
          </w:p>
        </w:tc>
        <w:tc>
          <w:tcPr>
            <w:tcW w:w="1875"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4</w:t>
            </w:r>
            <w:r>
              <w:rPr>
                <w:rFonts w:hint="eastAsia" w:ascii="Times New Roman" w:hAnsi="Times New Roman" w:eastAsia="方正仿宋_GBK"/>
                <w:kern w:val="0"/>
                <w:sz w:val="20"/>
                <w:szCs w:val="20"/>
              </w:rPr>
              <w:t>　</w:t>
            </w:r>
          </w:p>
        </w:tc>
        <w:tc>
          <w:tcPr>
            <w:tcW w:w="3152" w:type="dxa"/>
            <w:gridSpan w:val="2"/>
            <w:tcBorders>
              <w:top w:val="nil"/>
              <w:left w:val="nil"/>
              <w:bottom w:val="single" w:color="auto" w:sz="8" w:space="0"/>
              <w:right w:val="single" w:color="000000" w:sz="8" w:space="0"/>
            </w:tcBorders>
            <w:noWrap w:val="0"/>
            <w:tcMar>
              <w:top w:w="0" w:type="dxa"/>
              <w:left w:w="108" w:type="dxa"/>
              <w:bottom w:w="0" w:type="dxa"/>
              <w:right w:w="108" w:type="dxa"/>
            </w:tcMar>
            <w:vAlign w:val="center"/>
          </w:tcPr>
          <w:p>
            <w:pPr>
              <w:widowControl/>
              <w:autoSpaceDN w:val="0"/>
              <w:jc w:val="center"/>
              <w:rPr>
                <w:rFonts w:hint="default" w:ascii="Times New Roman" w:hAnsi="Times New Roman" w:eastAsia="方正仿宋_GBK"/>
                <w:kern w:val="0"/>
                <w:sz w:val="24"/>
                <w:lang w:val="en-US" w:eastAsia="zh-CN"/>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+1</w:t>
            </w:r>
          </w:p>
        </w:tc>
      </w:tr>
      <w:tr>
        <w:tblPrEx>
          <w:tblCellMar>
            <w:top w:w="0" w:type="dxa"/>
            <w:left w:w="0" w:type="dxa"/>
            <w:bottom w:w="0" w:type="dxa"/>
            <w:right w:w="0" w:type="dxa"/>
          </w:tblCellMar>
        </w:tblPrEx>
        <w:trPr>
          <w:trHeight w:val="476" w:hRule="atLeast"/>
          <w:jc w:val="center"/>
        </w:trPr>
        <w:tc>
          <w:tcPr>
            <w:tcW w:w="8140" w:type="dxa"/>
            <w:gridSpan w:val="4"/>
            <w:tcBorders>
              <w:top w:val="nil"/>
              <w:left w:val="single" w:color="auto" w:sz="8" w:space="0"/>
              <w:bottom w:val="single" w:color="auto" w:sz="8" w:space="0"/>
              <w:right w:val="single" w:color="auto" w:sz="8" w:space="0"/>
            </w:tcBorders>
            <w:shd w:val="clear" w:color="auto" w:fill="C6D9F1"/>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第二十条第（九）项</w:t>
            </w:r>
          </w:p>
        </w:tc>
      </w:tr>
      <w:tr>
        <w:tblPrEx>
          <w:tblCellMar>
            <w:top w:w="0" w:type="dxa"/>
            <w:left w:w="0" w:type="dxa"/>
            <w:bottom w:w="0" w:type="dxa"/>
            <w:right w:w="0" w:type="dxa"/>
          </w:tblCellMar>
        </w:tblPrEx>
        <w:trPr>
          <w:trHeight w:val="585" w:hRule="atLeast"/>
          <w:jc w:val="center"/>
        </w:trPr>
        <w:tc>
          <w:tcPr>
            <w:tcW w:w="3113"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信息内容</w:t>
            </w:r>
          </w:p>
        </w:tc>
        <w:tc>
          <w:tcPr>
            <w:tcW w:w="1875"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采购项目数量</w:t>
            </w:r>
          </w:p>
        </w:tc>
        <w:tc>
          <w:tcPr>
            <w:tcW w:w="3152" w:type="dxa"/>
            <w:gridSpan w:val="2"/>
            <w:tcBorders>
              <w:top w:val="single" w:color="auto" w:sz="8" w:space="0"/>
              <w:left w:val="nil"/>
              <w:bottom w:val="single" w:color="auto" w:sz="8" w:space="0"/>
              <w:right w:val="single" w:color="000000"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采购总金额</w:t>
            </w:r>
          </w:p>
        </w:tc>
      </w:tr>
      <w:tr>
        <w:tblPrEx>
          <w:tblCellMar>
            <w:top w:w="0" w:type="dxa"/>
            <w:left w:w="0" w:type="dxa"/>
            <w:bottom w:w="0" w:type="dxa"/>
            <w:right w:w="0" w:type="dxa"/>
          </w:tblCellMar>
        </w:tblPrEx>
        <w:trPr>
          <w:trHeight w:val="539" w:hRule="atLeast"/>
          <w:jc w:val="center"/>
        </w:trPr>
        <w:tc>
          <w:tcPr>
            <w:tcW w:w="3113"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政府集中采购</w:t>
            </w:r>
          </w:p>
        </w:tc>
        <w:tc>
          <w:tcPr>
            <w:tcW w:w="1875"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1</w:t>
            </w:r>
            <w:r>
              <w:rPr>
                <w:rFonts w:hint="eastAsia" w:ascii="Times New Roman" w:hAnsi="Times New Roman" w:eastAsia="方正仿宋_GBK"/>
                <w:kern w:val="0"/>
                <w:sz w:val="20"/>
                <w:szCs w:val="20"/>
              </w:rPr>
              <w:t>　</w:t>
            </w:r>
          </w:p>
        </w:tc>
        <w:tc>
          <w:tcPr>
            <w:tcW w:w="3152" w:type="dxa"/>
            <w:gridSpan w:val="2"/>
            <w:tcBorders>
              <w:top w:val="nil"/>
              <w:left w:val="nil"/>
              <w:bottom w:val="single" w:color="auto" w:sz="8" w:space="0"/>
              <w:right w:val="single" w:color="000000" w:sz="8" w:space="0"/>
            </w:tcBorders>
            <w:noWrap w:val="0"/>
            <w:tcMar>
              <w:top w:w="0" w:type="dxa"/>
              <w:left w:w="108" w:type="dxa"/>
              <w:bottom w:w="0" w:type="dxa"/>
              <w:right w:w="108" w:type="dxa"/>
            </w:tcMar>
            <w:vAlign w:val="center"/>
          </w:tcPr>
          <w:p>
            <w:pPr>
              <w:widowControl/>
              <w:autoSpaceDN w:val="0"/>
              <w:jc w:val="center"/>
              <w:rPr>
                <w:rFonts w:hint="default" w:ascii="Times New Roman" w:hAnsi="Times New Roman" w:eastAsia="方正仿宋_GBK"/>
                <w:kern w:val="0"/>
                <w:sz w:val="24"/>
                <w:lang w:val="en-US" w:eastAsia="zh-CN"/>
              </w:rPr>
            </w:pPr>
            <w:r>
              <w:rPr>
                <w:rFonts w:hint="eastAsia" w:ascii="Times New Roman" w:hAnsi="Times New Roman" w:eastAsia="方正仿宋_GBK"/>
                <w:kern w:val="0"/>
                <w:sz w:val="24"/>
                <w:lang w:val="en-US" w:eastAsia="zh-CN"/>
              </w:rPr>
              <w:t>87万元</w:t>
            </w:r>
          </w:p>
        </w:tc>
      </w:tr>
    </w:tbl>
    <w:p>
      <w:pPr>
        <w:widowControl/>
        <w:shd w:val="clear" w:color="auto" w:fill="FFFFFF"/>
        <w:autoSpaceDN w:val="0"/>
        <w:spacing w:after="240" w:afterLines="0"/>
        <w:ind w:firstLine="480"/>
        <w:rPr>
          <w:rFonts w:ascii="Times New Roman" w:hAnsi="Times New Roman" w:eastAsia="方正黑体_GBK"/>
          <w:kern w:val="0"/>
          <w:sz w:val="32"/>
          <w:szCs w:val="32"/>
        </w:rPr>
      </w:pPr>
      <w:r>
        <w:rPr>
          <w:rFonts w:ascii="Times New Roman" w:hAnsi="Times New Roman" w:eastAsia="方正黑体_GBK"/>
          <w:bCs/>
          <w:kern w:val="0"/>
          <w:sz w:val="32"/>
          <w:szCs w:val="32"/>
        </w:rPr>
        <w:t>三、收到和处理政府信息公开申请情况</w:t>
      </w:r>
    </w:p>
    <w:tbl>
      <w:tblPr>
        <w:tblStyle w:val="4"/>
        <w:tblW w:w="0" w:type="auto"/>
        <w:jc w:val="center"/>
        <w:tblLayout w:type="fixed"/>
        <w:tblCellMar>
          <w:top w:w="0" w:type="dxa"/>
          <w:left w:w="0" w:type="dxa"/>
          <w:bottom w:w="0" w:type="dxa"/>
          <w:right w:w="0" w:type="dxa"/>
        </w:tblCellMar>
      </w:tblPr>
      <w:tblGrid>
        <w:gridCol w:w="499"/>
        <w:gridCol w:w="865"/>
        <w:gridCol w:w="2384"/>
        <w:gridCol w:w="700"/>
        <w:gridCol w:w="676"/>
        <w:gridCol w:w="774"/>
        <w:gridCol w:w="834"/>
        <w:gridCol w:w="1001"/>
        <w:gridCol w:w="729"/>
        <w:gridCol w:w="709"/>
      </w:tblGrid>
      <w:tr>
        <w:tblPrEx>
          <w:tblCellMar>
            <w:top w:w="0" w:type="dxa"/>
            <w:left w:w="0" w:type="dxa"/>
            <w:bottom w:w="0" w:type="dxa"/>
            <w:right w:w="0" w:type="dxa"/>
          </w:tblCellMar>
        </w:tblPrEx>
        <w:trPr>
          <w:cantSplit/>
          <w:trHeight w:val="271" w:hRule="atLeast"/>
          <w:jc w:val="center"/>
        </w:trPr>
        <w:tc>
          <w:tcPr>
            <w:tcW w:w="3748" w:type="dxa"/>
            <w:gridSpan w:val="3"/>
            <w:vMerge w:val="restart"/>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 xml:space="preserve"> </w:t>
            </w:r>
          </w:p>
        </w:tc>
        <w:tc>
          <w:tcPr>
            <w:tcW w:w="5423" w:type="dxa"/>
            <w:gridSpan w:val="7"/>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申请人情况</w:t>
            </w:r>
          </w:p>
        </w:tc>
      </w:tr>
      <w:tr>
        <w:tblPrEx>
          <w:tblCellMar>
            <w:top w:w="0" w:type="dxa"/>
            <w:left w:w="0" w:type="dxa"/>
            <w:bottom w:w="0" w:type="dxa"/>
            <w:right w:w="0" w:type="dxa"/>
          </w:tblCellMar>
        </w:tblPrEx>
        <w:trPr>
          <w:cantSplit/>
          <w:trHeight w:val="143" w:hRule="atLeast"/>
          <w:jc w:val="center"/>
        </w:trPr>
        <w:tc>
          <w:tcPr>
            <w:tcW w:w="3748" w:type="dxa"/>
            <w:gridSpan w:val="3"/>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700" w:type="dxa"/>
            <w:vMerge w:val="restart"/>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自然人</w:t>
            </w:r>
          </w:p>
        </w:tc>
        <w:tc>
          <w:tcPr>
            <w:tcW w:w="4014" w:type="dxa"/>
            <w:gridSpan w:val="5"/>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法人或其他组织</w:t>
            </w:r>
          </w:p>
        </w:tc>
        <w:tc>
          <w:tcPr>
            <w:tcW w:w="709" w:type="dxa"/>
            <w:vMerge w:val="restart"/>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总计</w:t>
            </w:r>
          </w:p>
        </w:tc>
      </w:tr>
      <w:tr>
        <w:tblPrEx>
          <w:tblCellMar>
            <w:top w:w="0" w:type="dxa"/>
            <w:left w:w="0" w:type="dxa"/>
            <w:bottom w:w="0" w:type="dxa"/>
            <w:right w:w="0" w:type="dxa"/>
          </w:tblCellMar>
        </w:tblPrEx>
        <w:trPr>
          <w:cantSplit/>
          <w:trHeight w:val="143" w:hRule="atLeast"/>
          <w:jc w:val="center"/>
        </w:trPr>
        <w:tc>
          <w:tcPr>
            <w:tcW w:w="3748" w:type="dxa"/>
            <w:gridSpan w:val="3"/>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700"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商业企业</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科研机构</w:t>
            </w:r>
          </w:p>
        </w:tc>
        <w:tc>
          <w:tcPr>
            <w:tcW w:w="834"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社会公益组织</w:t>
            </w:r>
          </w:p>
        </w:tc>
        <w:tc>
          <w:tcPr>
            <w:tcW w:w="1001"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法律服务机构</w:t>
            </w:r>
          </w:p>
        </w:tc>
        <w:tc>
          <w:tcPr>
            <w:tcW w:w="729"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其他</w:t>
            </w:r>
          </w:p>
        </w:tc>
        <w:tc>
          <w:tcPr>
            <w:tcW w:w="709" w:type="dxa"/>
            <w:vMerge w:val="continue"/>
            <w:tcBorders>
              <w:top w:val="single" w:color="auto" w:sz="8" w:space="0"/>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r>
      <w:tr>
        <w:tblPrEx>
          <w:tblCellMar>
            <w:top w:w="0" w:type="dxa"/>
            <w:left w:w="0" w:type="dxa"/>
            <w:bottom w:w="0" w:type="dxa"/>
            <w:right w:w="0" w:type="dxa"/>
          </w:tblCellMar>
        </w:tblPrEx>
        <w:trPr>
          <w:trHeight w:val="256" w:hRule="atLeast"/>
          <w:jc w:val="center"/>
        </w:trPr>
        <w:tc>
          <w:tcPr>
            <w:tcW w:w="3748" w:type="dxa"/>
            <w:gridSpan w:val="3"/>
            <w:tcBorders>
              <w:top w:val="nil"/>
              <w:left w:val="single" w:color="auto" w:sz="8" w:space="0"/>
              <w:bottom w:val="single" w:color="auto" w:sz="8" w:space="0"/>
              <w:right w:val="single" w:color="auto" w:sz="8" w:space="0"/>
            </w:tcBorders>
            <w:noWrap w:val="0"/>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一、本年新收政府信息公开申请数量</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lang w:val="en-US" w:eastAsia="zh-CN"/>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lang w:val="en-US" w:eastAsia="zh-CN"/>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trHeight w:val="271" w:hRule="atLeast"/>
          <w:jc w:val="center"/>
        </w:trPr>
        <w:tc>
          <w:tcPr>
            <w:tcW w:w="3748" w:type="dxa"/>
            <w:gridSpan w:val="3"/>
            <w:tcBorders>
              <w:top w:val="nil"/>
              <w:left w:val="single" w:color="auto" w:sz="8" w:space="0"/>
              <w:bottom w:val="single" w:color="auto" w:sz="8" w:space="0"/>
              <w:right w:val="single" w:color="auto" w:sz="8" w:space="0"/>
            </w:tcBorders>
            <w:noWrap w:val="0"/>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二、上年结转政府信息公开申请数量</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256" w:hRule="atLeast"/>
          <w:jc w:val="center"/>
        </w:trPr>
        <w:tc>
          <w:tcPr>
            <w:tcW w:w="499" w:type="dxa"/>
            <w:vMerge w:val="restart"/>
            <w:tcBorders>
              <w:top w:val="nil"/>
              <w:left w:val="single" w:color="auto" w:sz="8" w:space="0"/>
              <w:bottom w:val="single" w:color="auto" w:sz="8" w:space="0"/>
              <w:right w:val="single" w:color="auto" w:sz="8" w:space="0"/>
            </w:tcBorders>
            <w:noWrap w:val="0"/>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三、本年度办理结果</w:t>
            </w:r>
          </w:p>
        </w:tc>
        <w:tc>
          <w:tcPr>
            <w:tcW w:w="3249" w:type="dxa"/>
            <w:gridSpan w:val="2"/>
            <w:tcBorders>
              <w:top w:val="nil"/>
              <w:left w:val="nil"/>
              <w:bottom w:val="single" w:color="auto" w:sz="8" w:space="0"/>
              <w:right w:val="single" w:color="auto" w:sz="8" w:space="0"/>
            </w:tcBorders>
            <w:noWrap w:val="0"/>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（一）予以公开</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539"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3249" w:type="dxa"/>
            <w:gridSpan w:val="2"/>
            <w:tcBorders>
              <w:top w:val="nil"/>
              <w:left w:val="nil"/>
              <w:bottom w:val="single" w:color="auto" w:sz="8" w:space="0"/>
              <w:right w:val="single" w:color="auto" w:sz="8" w:space="0"/>
            </w:tcBorders>
            <w:noWrap w:val="0"/>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（二）部分公开</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283"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restart"/>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（三）不予公开</w:t>
            </w: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1.属于国家秘密</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527"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2.其他法律行政法规禁止公开</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539"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3.危及“三安全一稳定”</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539"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4.保护第三方合法权益</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527"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5.属于三类内部事务信息</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539"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6.属于四类过程性信息</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283"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7.属于行政执法案卷</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271"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8.属于行政查询事项</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539"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restart"/>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（四）无法提供</w:t>
            </w: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1.本机关不掌握相关政府信息</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527"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2.没有现成信息需要另行制作</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539"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3.补</w:t>
            </w:r>
            <w:r>
              <w:rPr>
                <w:rFonts w:hint="eastAsia" w:ascii="Times New Roman" w:hAnsi="Times New Roman" w:eastAsia="方正仿宋_GBK"/>
                <w:spacing w:val="-10"/>
                <w:kern w:val="0"/>
                <w:sz w:val="20"/>
                <w:szCs w:val="20"/>
              </w:rPr>
              <w:t>正后申请内容仍不明确</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539"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restart"/>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（五）不予处理</w:t>
            </w: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1.信访举报投诉类申请</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271"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2.重复申请</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539"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3.要求提供公开出版物</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539"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4.无正当理由大量反复申请</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784"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865"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238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5.要求行政机关确认或重新出具已获取信息</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283"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3249" w:type="dxa"/>
            <w:gridSpan w:val="2"/>
            <w:tcBorders>
              <w:top w:val="nil"/>
              <w:left w:val="nil"/>
              <w:bottom w:val="single" w:color="auto" w:sz="8" w:space="0"/>
              <w:right w:val="single" w:color="auto" w:sz="8" w:space="0"/>
            </w:tcBorders>
            <w:noWrap w:val="0"/>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（六）其他处理</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cantSplit/>
          <w:trHeight w:val="283" w:hRule="atLeast"/>
          <w:jc w:val="center"/>
        </w:trPr>
        <w:tc>
          <w:tcPr>
            <w:tcW w:w="499"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3249" w:type="dxa"/>
            <w:gridSpan w:val="2"/>
            <w:tcBorders>
              <w:top w:val="nil"/>
              <w:left w:val="nil"/>
              <w:bottom w:val="single" w:color="auto" w:sz="8" w:space="0"/>
              <w:right w:val="single" w:color="auto" w:sz="8" w:space="0"/>
            </w:tcBorders>
            <w:noWrap w:val="0"/>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（七）总计</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r>
        <w:tblPrEx>
          <w:tblCellMar>
            <w:top w:w="0" w:type="dxa"/>
            <w:left w:w="0" w:type="dxa"/>
            <w:bottom w:w="0" w:type="dxa"/>
            <w:right w:w="0" w:type="dxa"/>
          </w:tblCellMar>
        </w:tblPrEx>
        <w:trPr>
          <w:trHeight w:val="310" w:hRule="atLeast"/>
          <w:jc w:val="center"/>
        </w:trPr>
        <w:tc>
          <w:tcPr>
            <w:tcW w:w="3748" w:type="dxa"/>
            <w:gridSpan w:val="3"/>
            <w:tcBorders>
              <w:top w:val="nil"/>
              <w:left w:val="single" w:color="auto" w:sz="8" w:space="0"/>
              <w:bottom w:val="single" w:color="auto" w:sz="8" w:space="0"/>
              <w:right w:val="single" w:color="auto" w:sz="8" w:space="0"/>
            </w:tcBorders>
            <w:noWrap w:val="0"/>
            <w:vAlign w:val="center"/>
          </w:tcPr>
          <w:p>
            <w:pPr>
              <w:widowControl/>
              <w:autoSpaceDN w:val="0"/>
              <w:jc w:val="left"/>
              <w:rPr>
                <w:rFonts w:hint="eastAsia" w:ascii="Times New Roman" w:hAnsi="Times New Roman" w:eastAsia="方正仿宋_GBK"/>
                <w:kern w:val="0"/>
                <w:sz w:val="24"/>
              </w:rPr>
            </w:pPr>
            <w:r>
              <w:rPr>
                <w:rFonts w:hint="eastAsia" w:ascii="Times New Roman" w:hAnsi="Times New Roman" w:eastAsia="方正仿宋_GBK"/>
                <w:kern w:val="0"/>
                <w:sz w:val="20"/>
                <w:szCs w:val="20"/>
              </w:rPr>
              <w:t>四、结转下年度继续办理</w:t>
            </w:r>
          </w:p>
        </w:tc>
        <w:tc>
          <w:tcPr>
            <w:tcW w:w="70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7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7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83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100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72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709"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szCs w:val="24"/>
                <w:lang w:val="en-US" w:eastAsia="zh-CN" w:bidi="ar-SA"/>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r>
    </w:tbl>
    <w:p>
      <w:pPr>
        <w:widowControl/>
        <w:shd w:val="clear" w:color="auto" w:fill="FFFFFF"/>
        <w:autoSpaceDN w:val="0"/>
        <w:ind w:firstLine="480"/>
        <w:rPr>
          <w:rFonts w:ascii="Times New Roman" w:hAnsi="Times New Roman" w:eastAsia="方正黑体_GBK"/>
          <w:kern w:val="0"/>
          <w:sz w:val="32"/>
          <w:szCs w:val="32"/>
        </w:rPr>
      </w:pPr>
      <w:r>
        <w:rPr>
          <w:rFonts w:ascii="Times New Roman" w:hAnsi="Times New Roman" w:eastAsia="方正黑体_GBK"/>
          <w:bCs/>
          <w:kern w:val="0"/>
          <w:sz w:val="32"/>
          <w:szCs w:val="32"/>
        </w:rPr>
        <w:t>四、政府信息公开行政复议、行政诉讼情况</w:t>
      </w:r>
    </w:p>
    <w:tbl>
      <w:tblPr>
        <w:tblStyle w:val="4"/>
        <w:tblW w:w="0" w:type="auto"/>
        <w:jc w:val="center"/>
        <w:tblLayout w:type="fixed"/>
        <w:tblCellMar>
          <w:top w:w="0" w:type="dxa"/>
          <w:left w:w="0" w:type="dxa"/>
          <w:bottom w:w="0" w:type="dxa"/>
          <w:right w:w="0" w:type="dxa"/>
        </w:tblCellMar>
      </w:tblPr>
      <w:tblGrid>
        <w:gridCol w:w="604"/>
        <w:gridCol w:w="604"/>
        <w:gridCol w:w="604"/>
        <w:gridCol w:w="604"/>
        <w:gridCol w:w="658"/>
        <w:gridCol w:w="550"/>
        <w:gridCol w:w="605"/>
        <w:gridCol w:w="605"/>
        <w:gridCol w:w="605"/>
        <w:gridCol w:w="605"/>
        <w:gridCol w:w="605"/>
        <w:gridCol w:w="605"/>
        <w:gridCol w:w="605"/>
        <w:gridCol w:w="606"/>
        <w:gridCol w:w="606"/>
      </w:tblGrid>
      <w:tr>
        <w:tblPrEx>
          <w:tblCellMar>
            <w:top w:w="0" w:type="dxa"/>
            <w:left w:w="0" w:type="dxa"/>
            <w:bottom w:w="0" w:type="dxa"/>
            <w:right w:w="0" w:type="dxa"/>
          </w:tblCellMar>
        </w:tblPrEx>
        <w:trPr>
          <w:jc w:val="center"/>
        </w:trPr>
        <w:tc>
          <w:tcPr>
            <w:tcW w:w="3074" w:type="dxa"/>
            <w:gridSpan w:val="5"/>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行政复议</w:t>
            </w:r>
          </w:p>
        </w:tc>
        <w:tc>
          <w:tcPr>
            <w:tcW w:w="5997" w:type="dxa"/>
            <w:gridSpan w:val="10"/>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行政诉讼</w:t>
            </w:r>
          </w:p>
        </w:tc>
      </w:tr>
      <w:tr>
        <w:tblPrEx>
          <w:tblCellMar>
            <w:top w:w="0" w:type="dxa"/>
            <w:left w:w="0" w:type="dxa"/>
            <w:bottom w:w="0" w:type="dxa"/>
            <w:right w:w="0" w:type="dxa"/>
          </w:tblCellMar>
        </w:tblPrEx>
        <w:trPr>
          <w:cantSplit/>
          <w:jc w:val="center"/>
        </w:trPr>
        <w:tc>
          <w:tcPr>
            <w:tcW w:w="604" w:type="dxa"/>
            <w:vMerge w:val="restart"/>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结果维持</w:t>
            </w:r>
          </w:p>
        </w:tc>
        <w:tc>
          <w:tcPr>
            <w:tcW w:w="604" w:type="dxa"/>
            <w:vMerge w:val="restart"/>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结果纠正</w:t>
            </w:r>
          </w:p>
        </w:tc>
        <w:tc>
          <w:tcPr>
            <w:tcW w:w="604" w:type="dxa"/>
            <w:vMerge w:val="restart"/>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其他结果</w:t>
            </w:r>
          </w:p>
        </w:tc>
        <w:tc>
          <w:tcPr>
            <w:tcW w:w="604" w:type="dxa"/>
            <w:vMerge w:val="restart"/>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尚未审结</w:t>
            </w:r>
          </w:p>
        </w:tc>
        <w:tc>
          <w:tcPr>
            <w:tcW w:w="658" w:type="dxa"/>
            <w:vMerge w:val="restart"/>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总计</w:t>
            </w:r>
          </w:p>
        </w:tc>
        <w:tc>
          <w:tcPr>
            <w:tcW w:w="2970" w:type="dxa"/>
            <w:gridSpan w:val="5"/>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未经复议直接起诉</w:t>
            </w:r>
          </w:p>
        </w:tc>
        <w:tc>
          <w:tcPr>
            <w:tcW w:w="3027" w:type="dxa"/>
            <w:gridSpan w:val="5"/>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复议后起诉</w:t>
            </w:r>
          </w:p>
        </w:tc>
      </w:tr>
      <w:tr>
        <w:tblPrEx>
          <w:tblCellMar>
            <w:top w:w="0" w:type="dxa"/>
            <w:left w:w="0" w:type="dxa"/>
            <w:bottom w:w="0" w:type="dxa"/>
            <w:right w:w="0" w:type="dxa"/>
          </w:tblCellMar>
        </w:tblPrEx>
        <w:trPr>
          <w:cantSplit/>
          <w:jc w:val="center"/>
        </w:trPr>
        <w:tc>
          <w:tcPr>
            <w:tcW w:w="604"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604" w:type="dxa"/>
            <w:vMerge w:val="continue"/>
            <w:tcBorders>
              <w:top w:val="nil"/>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604" w:type="dxa"/>
            <w:vMerge w:val="continue"/>
            <w:tcBorders>
              <w:top w:val="single" w:color="auto" w:sz="8" w:space="0"/>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604" w:type="dxa"/>
            <w:vMerge w:val="continue"/>
            <w:tcBorders>
              <w:top w:val="single" w:color="auto" w:sz="8" w:space="0"/>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658" w:type="dxa"/>
            <w:vMerge w:val="continue"/>
            <w:tcBorders>
              <w:top w:val="single" w:color="auto" w:sz="8" w:space="0"/>
              <w:left w:val="nil"/>
              <w:bottom w:val="single" w:color="auto" w:sz="8" w:space="0"/>
              <w:right w:val="single" w:color="auto" w:sz="8" w:space="0"/>
            </w:tcBorders>
            <w:noWrap w:val="0"/>
            <w:vAlign w:val="center"/>
          </w:tcPr>
          <w:p>
            <w:pPr>
              <w:widowControl/>
              <w:jc w:val="left"/>
              <w:rPr>
                <w:rFonts w:hint="eastAsia" w:ascii="Times New Roman" w:hAnsi="Times New Roman" w:eastAsia="方正仿宋_GBK"/>
                <w:kern w:val="0"/>
                <w:sz w:val="24"/>
              </w:rPr>
            </w:pPr>
          </w:p>
        </w:tc>
        <w:tc>
          <w:tcPr>
            <w:tcW w:w="55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结果维持</w:t>
            </w:r>
          </w:p>
        </w:tc>
        <w:tc>
          <w:tcPr>
            <w:tcW w:w="605"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结果纠正</w:t>
            </w:r>
          </w:p>
        </w:tc>
        <w:tc>
          <w:tcPr>
            <w:tcW w:w="605"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其他结果</w:t>
            </w:r>
          </w:p>
        </w:tc>
        <w:tc>
          <w:tcPr>
            <w:tcW w:w="605"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尚未审结</w:t>
            </w:r>
          </w:p>
        </w:tc>
        <w:tc>
          <w:tcPr>
            <w:tcW w:w="605"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总计</w:t>
            </w:r>
          </w:p>
        </w:tc>
        <w:tc>
          <w:tcPr>
            <w:tcW w:w="605"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结果维持</w:t>
            </w:r>
          </w:p>
        </w:tc>
        <w:tc>
          <w:tcPr>
            <w:tcW w:w="605"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结果纠正</w:t>
            </w:r>
          </w:p>
        </w:tc>
        <w:tc>
          <w:tcPr>
            <w:tcW w:w="605"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其他结果</w:t>
            </w:r>
          </w:p>
        </w:tc>
        <w:tc>
          <w:tcPr>
            <w:tcW w:w="606"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尚未审结</w:t>
            </w:r>
          </w:p>
        </w:tc>
        <w:tc>
          <w:tcPr>
            <w:tcW w:w="606"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rPr>
              <w:t>总计</w:t>
            </w:r>
          </w:p>
        </w:tc>
      </w:tr>
      <w:tr>
        <w:tblPrEx>
          <w:tblCellMar>
            <w:top w:w="0" w:type="dxa"/>
            <w:left w:w="0" w:type="dxa"/>
            <w:bottom w:w="0" w:type="dxa"/>
            <w:right w:w="0" w:type="dxa"/>
          </w:tblCellMar>
        </w:tblPrEx>
        <w:trPr>
          <w:jc w:val="center"/>
        </w:trPr>
        <w:tc>
          <w:tcPr>
            <w:tcW w:w="604"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0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0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04"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58"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550"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05"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05"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05"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lang w:val="en-US" w:eastAsia="zh-CN"/>
              </w:rPr>
            </w:pPr>
            <w:r>
              <w:rPr>
                <w:rFonts w:hint="eastAsia" w:ascii="Times New Roman" w:hAnsi="Times New Roman" w:eastAsia="方正仿宋_GBK"/>
                <w:kern w:val="0"/>
                <w:sz w:val="20"/>
                <w:szCs w:val="20"/>
              </w:rPr>
              <w:t> </w:t>
            </w:r>
            <w:r>
              <w:rPr>
                <w:rFonts w:hint="eastAsia" w:ascii="Times New Roman" w:hAnsi="Times New Roman" w:eastAsia="方正仿宋_GBK"/>
                <w:kern w:val="0"/>
                <w:sz w:val="20"/>
                <w:szCs w:val="20"/>
                <w:lang w:val="en-US" w:eastAsia="zh-CN"/>
              </w:rPr>
              <w:t>0</w:t>
            </w:r>
          </w:p>
        </w:tc>
        <w:tc>
          <w:tcPr>
            <w:tcW w:w="605"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05"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05"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05"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0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center"/>
              <w:rPr>
                <w:rFonts w:hint="eastAsia" w:ascii="Times New Roman" w:hAnsi="Times New Roman" w:eastAsia="方正仿宋_GBK"/>
                <w:kern w:val="0"/>
                <w:sz w:val="24"/>
              </w:rPr>
            </w:pPr>
            <w:r>
              <w:rPr>
                <w:rFonts w:hint="eastAsia" w:ascii="Times New Roman" w:hAnsi="Times New Roman" w:eastAsia="方正仿宋_GBK"/>
                <w:kern w:val="0"/>
                <w:sz w:val="20"/>
                <w:szCs w:val="20"/>
                <w:lang w:val="en-US" w:eastAsia="zh-CN"/>
              </w:rPr>
              <w:t>0</w:t>
            </w:r>
            <w:r>
              <w:rPr>
                <w:rFonts w:hint="eastAsia" w:ascii="Times New Roman" w:hAnsi="Times New Roman" w:eastAsia="方正仿宋_GBK"/>
                <w:kern w:val="0"/>
                <w:sz w:val="20"/>
                <w:szCs w:val="20"/>
              </w:rPr>
              <w:t> </w:t>
            </w:r>
          </w:p>
        </w:tc>
        <w:tc>
          <w:tcPr>
            <w:tcW w:w="60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autoSpaceDN w:val="0"/>
              <w:jc w:val="left"/>
              <w:rPr>
                <w:rFonts w:hint="default" w:ascii="Times New Roman" w:hAnsi="Times New Roman" w:eastAsia="方正仿宋_GBK"/>
                <w:kern w:val="0"/>
                <w:sz w:val="24"/>
                <w:lang w:val="en-US" w:eastAsia="zh-CN"/>
              </w:rPr>
            </w:pPr>
            <w:r>
              <w:rPr>
                <w:rFonts w:hint="eastAsia" w:ascii="Times New Roman" w:hAnsi="Times New Roman" w:eastAsia="方正仿宋_GBK"/>
                <w:kern w:val="0"/>
                <w:sz w:val="24"/>
                <w:lang w:val="en-US" w:eastAsia="zh-CN"/>
              </w:rPr>
              <w:t xml:space="preserve"> 0</w:t>
            </w:r>
          </w:p>
        </w:tc>
      </w:tr>
    </w:tbl>
    <w:p>
      <w:pPr>
        <w:keepNext w:val="0"/>
        <w:keepLines w:val="0"/>
        <w:pageBreakBefore w:val="0"/>
        <w:widowControl/>
        <w:numPr>
          <w:ilvl w:val="0"/>
          <w:numId w:val="0"/>
        </w:numPr>
        <w:shd w:val="clear" w:color="auto" w:fill="FFFFFF"/>
        <w:kinsoku/>
        <w:wordWrap/>
        <w:overflowPunct/>
        <w:topLinePunct w:val="0"/>
        <w:autoSpaceDE/>
        <w:autoSpaceDN w:val="0"/>
        <w:bidi w:val="0"/>
        <w:adjustRightInd/>
        <w:snapToGrid/>
        <w:spacing w:line="560" w:lineRule="exact"/>
        <w:ind w:firstLine="640" w:firstLineChars="200"/>
        <w:textAlignment w:val="auto"/>
        <w:rPr>
          <w:rFonts w:hint="eastAsia" w:ascii="Times New Roman" w:hAnsi="Times New Roman" w:eastAsia="方正黑体_GBK"/>
          <w:bCs/>
          <w:kern w:val="0"/>
          <w:sz w:val="32"/>
          <w:szCs w:val="32"/>
          <w:lang w:eastAsia="zh-CN"/>
        </w:rPr>
      </w:pPr>
      <w:r>
        <w:rPr>
          <w:rFonts w:hint="eastAsia" w:ascii="Times New Roman" w:hAnsi="Times New Roman" w:eastAsia="方正黑体_GBK"/>
          <w:bCs/>
          <w:kern w:val="0"/>
          <w:sz w:val="32"/>
          <w:szCs w:val="32"/>
          <w:lang w:val="en-US" w:eastAsia="zh-CN"/>
        </w:rPr>
        <w:t>五、</w:t>
      </w:r>
      <w:r>
        <w:rPr>
          <w:rFonts w:ascii="Times New Roman" w:hAnsi="Times New Roman" w:eastAsia="方正黑体_GBK"/>
          <w:bCs/>
          <w:kern w:val="0"/>
          <w:sz w:val="32"/>
          <w:szCs w:val="32"/>
        </w:rPr>
        <w:t>存在的主要问题及改进情况</w:t>
      </w:r>
    </w:p>
    <w:p>
      <w:pPr>
        <w:keepNext w:val="0"/>
        <w:keepLines w:val="0"/>
        <w:pageBreakBefore w:val="0"/>
        <w:kinsoku/>
        <w:wordWrap/>
        <w:overflowPunct/>
        <w:topLinePunct w:val="0"/>
        <w:autoSpaceDE/>
        <w:bidi w:val="0"/>
        <w:adjustRightInd/>
        <w:snapToGrid/>
        <w:spacing w:line="560" w:lineRule="exact"/>
        <w:ind w:firstLine="640" w:firstLineChars="200"/>
        <w:textAlignment w:val="auto"/>
        <w:rPr>
          <w:rFonts w:hint="default"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2020年</w:t>
      </w:r>
      <w:r>
        <w:rPr>
          <w:rFonts w:hint="eastAsia" w:ascii="方正仿宋_GBK" w:hAnsi="方正仿宋_GBK" w:eastAsia="方正仿宋_GBK" w:cs="方正仿宋_GBK"/>
          <w:sz w:val="32"/>
          <w:szCs w:val="32"/>
        </w:rPr>
        <w:t>我</w:t>
      </w:r>
      <w:r>
        <w:rPr>
          <w:rFonts w:hint="eastAsia" w:ascii="方正仿宋_GBK" w:hAnsi="方正仿宋_GBK" w:eastAsia="方正仿宋_GBK" w:cs="方正仿宋_GBK"/>
          <w:sz w:val="32"/>
          <w:szCs w:val="32"/>
          <w:lang w:val="en-US" w:eastAsia="zh-CN"/>
        </w:rPr>
        <w:t>局</w:t>
      </w:r>
      <w:r>
        <w:rPr>
          <w:rFonts w:hint="eastAsia" w:ascii="方正仿宋_GBK" w:hAnsi="方正仿宋_GBK" w:eastAsia="方正仿宋_GBK" w:cs="方正仿宋_GBK"/>
          <w:sz w:val="32"/>
          <w:szCs w:val="32"/>
        </w:rPr>
        <w:t>政府信息公开工作</w:t>
      </w:r>
      <w:r>
        <w:rPr>
          <w:rFonts w:hint="eastAsia" w:ascii="方正仿宋_GBK" w:hAnsi="方正仿宋_GBK" w:eastAsia="方正仿宋_GBK" w:cs="方正仿宋_GBK"/>
          <w:sz w:val="32"/>
          <w:szCs w:val="32"/>
          <w:lang w:eastAsia="zh-CN"/>
        </w:rPr>
        <w:t>虽然</w:t>
      </w:r>
      <w:r>
        <w:rPr>
          <w:rFonts w:hint="eastAsia" w:ascii="方正仿宋_GBK" w:hAnsi="方正仿宋_GBK" w:eastAsia="方正仿宋_GBK" w:cs="方正仿宋_GBK"/>
          <w:sz w:val="32"/>
          <w:szCs w:val="32"/>
        </w:rPr>
        <w:t>取得了一定成效，</w:t>
      </w:r>
      <w:r>
        <w:rPr>
          <w:rFonts w:hint="eastAsia" w:ascii="方正仿宋_GBK" w:hAnsi="方正仿宋_GBK" w:eastAsia="方正仿宋_GBK" w:cs="方正仿宋_GBK"/>
          <w:sz w:val="32"/>
          <w:szCs w:val="32"/>
          <w:lang w:eastAsia="zh-CN"/>
        </w:rPr>
        <w:t>但距离</w:t>
      </w:r>
      <w:r>
        <w:rPr>
          <w:rFonts w:hint="eastAsia" w:ascii="方正仿宋_GBK" w:hAnsi="方正仿宋_GBK" w:eastAsia="方正仿宋_GBK" w:cs="方正仿宋_GBK"/>
          <w:sz w:val="32"/>
          <w:szCs w:val="32"/>
        </w:rPr>
        <w:t>上级的要求和公众的期望</w:t>
      </w:r>
      <w:r>
        <w:rPr>
          <w:rFonts w:hint="eastAsia" w:ascii="方正仿宋_GBK" w:hAnsi="方正仿宋_GBK" w:eastAsia="方正仿宋_GBK" w:cs="方正仿宋_GBK"/>
          <w:sz w:val="32"/>
          <w:szCs w:val="32"/>
          <w:lang w:eastAsia="zh-CN"/>
        </w:rPr>
        <w:t>仍存在一定差距</w:t>
      </w:r>
      <w:r>
        <w:rPr>
          <w:rFonts w:hint="eastAsia" w:ascii="方正仿宋_GBK" w:hAnsi="方正仿宋_GBK" w:eastAsia="方正仿宋_GBK" w:cs="方正仿宋_GBK"/>
          <w:sz w:val="32"/>
          <w:szCs w:val="32"/>
        </w:rPr>
        <w:t>，</w:t>
      </w:r>
      <w:r>
        <w:rPr>
          <w:rFonts w:hint="eastAsia" w:ascii="方正仿宋_GBK" w:hAnsi="方正仿宋_GBK" w:eastAsia="方正仿宋_GBK" w:cs="方正仿宋_GBK"/>
          <w:sz w:val="32"/>
          <w:szCs w:val="32"/>
          <w:lang w:eastAsia="zh-CN"/>
        </w:rPr>
        <w:t>主要表现在</w:t>
      </w:r>
      <w:r>
        <w:rPr>
          <w:rFonts w:hint="eastAsia" w:ascii="方正仿宋_GBK" w:hAnsi="方正仿宋_GBK" w:eastAsia="方正仿宋_GBK" w:cs="方正仿宋_GBK"/>
          <w:sz w:val="32"/>
          <w:szCs w:val="32"/>
        </w:rPr>
        <w:t>：一是</w:t>
      </w:r>
      <w:r>
        <w:rPr>
          <w:rFonts w:hint="eastAsia" w:ascii="方正仿宋_GBK" w:hAnsi="方正仿宋_GBK" w:eastAsia="方正仿宋_GBK" w:cs="方正仿宋_GBK"/>
          <w:sz w:val="32"/>
          <w:szCs w:val="32"/>
          <w:lang w:val="en-US" w:eastAsia="zh-CN"/>
        </w:rPr>
        <w:t>宣传力度不够，群众对于政务公开的网址和程序不熟悉。二</w:t>
      </w:r>
      <w:r>
        <w:rPr>
          <w:rFonts w:hint="eastAsia" w:ascii="方正仿宋_GBK" w:hAnsi="方正仿宋_GBK" w:eastAsia="方正仿宋_GBK" w:cs="方正仿宋_GBK"/>
          <w:sz w:val="32"/>
          <w:szCs w:val="32"/>
        </w:rPr>
        <w:t>是长效工作机制需进一步健全完善，工作考核和监督评议等工作仍需加强</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内容还需进一步规范，信息公开的载体和形式还需要进一步丰富。</w:t>
      </w:r>
      <w:r>
        <w:rPr>
          <w:rFonts w:hint="eastAsia" w:ascii="方正仿宋_GBK" w:hAnsi="方正仿宋_GBK" w:eastAsia="方正仿宋_GBK" w:cs="方正仿宋_GBK"/>
          <w:sz w:val="32"/>
          <w:szCs w:val="32"/>
          <w:lang w:val="en-US" w:eastAsia="zh-CN"/>
        </w:rPr>
        <w:t>结合以上不足，我局采取以下措施完善信息公开工作：</w:t>
      </w:r>
    </w:p>
    <w:p>
      <w:pPr>
        <w:keepNext w:val="0"/>
        <w:keepLines w:val="0"/>
        <w:pageBreakBefore w:val="0"/>
        <w:kinsoku/>
        <w:wordWrap/>
        <w:overflowPunct/>
        <w:topLinePunct w:val="0"/>
        <w:autoSpaceDE/>
        <w:bidi w:val="0"/>
        <w:adjustRightInd/>
        <w:snapToGrid/>
        <w:spacing w:line="560" w:lineRule="exact"/>
        <w:ind w:firstLine="640" w:firstLineChars="200"/>
        <w:textAlignment w:val="auto"/>
        <w:rPr>
          <w:rFonts w:hint="eastAsia" w:ascii="方正仿宋_GBK" w:hAnsi="方正仿宋_GBK" w:eastAsia="方正仿宋_GBK" w:cs="方正仿宋_GBK"/>
          <w:sz w:val="32"/>
          <w:szCs w:val="32"/>
          <w:lang w:val="en-US" w:eastAsia="zh-CN"/>
        </w:rPr>
      </w:pPr>
      <w:r>
        <w:rPr>
          <w:rFonts w:hint="eastAsia" w:ascii="方正仿宋_GBK" w:hAnsi="方正仿宋_GBK" w:eastAsia="方正仿宋_GBK" w:cs="方正仿宋_GBK"/>
          <w:sz w:val="32"/>
          <w:szCs w:val="32"/>
          <w:lang w:val="en-US" w:eastAsia="zh-CN"/>
        </w:rPr>
        <w:t>一是加强引导和培训，通过大厅办事指南引导群众了解政务公开申请程序，通过社保大厅LED屏、相关工作群中宣传政务公开网址，方便群众能够确切了解政务公开信息。</w:t>
      </w:r>
    </w:p>
    <w:p>
      <w:pPr>
        <w:keepNext w:val="0"/>
        <w:keepLines w:val="0"/>
        <w:pageBreakBefore w:val="0"/>
        <w:kinsoku/>
        <w:wordWrap/>
        <w:overflowPunct/>
        <w:topLinePunct w:val="0"/>
        <w:autoSpaceDE/>
        <w:bidi w:val="0"/>
        <w:adjustRightInd/>
        <w:snapToGrid/>
        <w:spacing w:line="560" w:lineRule="exact"/>
        <w:ind w:firstLine="640" w:firstLineChars="200"/>
        <w:textAlignment w:val="auto"/>
        <w:rPr>
          <w:rFonts w:ascii="Times New Roman" w:hAnsi="Times New Roman" w:eastAsia="方正黑体_GBK"/>
          <w:bCs/>
          <w:kern w:val="0"/>
          <w:sz w:val="32"/>
          <w:szCs w:val="32"/>
        </w:rPr>
      </w:pPr>
      <w:r>
        <w:rPr>
          <w:rFonts w:hint="eastAsia" w:ascii="方正仿宋_GBK" w:hAnsi="方正仿宋_GBK" w:eastAsia="方正仿宋_GBK" w:cs="方正仿宋_GBK"/>
          <w:sz w:val="32"/>
          <w:szCs w:val="32"/>
          <w:lang w:val="en-US" w:eastAsia="zh-CN"/>
        </w:rPr>
        <w:t>二</w:t>
      </w:r>
      <w:r>
        <w:rPr>
          <w:rFonts w:hint="eastAsia" w:ascii="方正仿宋_GBK" w:hAnsi="方正仿宋_GBK" w:eastAsia="方正仿宋_GBK" w:cs="方正仿宋_GBK"/>
          <w:sz w:val="32"/>
          <w:szCs w:val="32"/>
        </w:rPr>
        <w:t>是加强</w:t>
      </w:r>
      <w:r>
        <w:rPr>
          <w:rFonts w:hint="eastAsia" w:ascii="方正仿宋_GBK" w:hAnsi="方正仿宋_GBK" w:eastAsia="方正仿宋_GBK" w:cs="方正仿宋_GBK"/>
          <w:sz w:val="32"/>
          <w:szCs w:val="32"/>
          <w:lang w:eastAsia="zh-CN"/>
        </w:rPr>
        <w:t>政府信息</w:t>
      </w:r>
      <w:r>
        <w:rPr>
          <w:rFonts w:hint="eastAsia" w:ascii="方正仿宋_GBK" w:hAnsi="方正仿宋_GBK" w:eastAsia="方正仿宋_GBK" w:cs="方正仿宋_GBK"/>
          <w:sz w:val="32"/>
          <w:szCs w:val="32"/>
        </w:rPr>
        <w:t>公开监督检查、工作考核和社会评议。</w:t>
      </w:r>
      <w:r>
        <w:rPr>
          <w:rFonts w:hint="eastAsia" w:ascii="方正仿宋_GBK" w:hAnsi="方正仿宋_GBK" w:eastAsia="方正仿宋_GBK" w:cs="方正仿宋_GBK"/>
          <w:sz w:val="32"/>
          <w:szCs w:val="32"/>
          <w:lang w:val="en-US" w:eastAsia="zh-CN"/>
        </w:rPr>
        <w:t>2020年我局</w:t>
      </w:r>
      <w:r>
        <w:rPr>
          <w:rFonts w:hint="eastAsia" w:ascii="方正仿宋_GBK" w:hAnsi="方正仿宋_GBK" w:eastAsia="方正仿宋_GBK" w:cs="方正仿宋_GBK"/>
          <w:sz w:val="32"/>
          <w:szCs w:val="32"/>
        </w:rPr>
        <w:t>将</w:t>
      </w:r>
      <w:r>
        <w:rPr>
          <w:rFonts w:hint="eastAsia" w:ascii="方正仿宋_GBK" w:hAnsi="方正仿宋_GBK" w:eastAsia="方正仿宋_GBK" w:cs="方正仿宋_GBK"/>
          <w:sz w:val="32"/>
          <w:szCs w:val="32"/>
          <w:lang w:eastAsia="zh-CN"/>
        </w:rPr>
        <w:t>政府信息</w:t>
      </w:r>
      <w:r>
        <w:rPr>
          <w:rFonts w:hint="eastAsia" w:ascii="方正仿宋_GBK" w:hAnsi="方正仿宋_GBK" w:eastAsia="方正仿宋_GBK" w:cs="方正仿宋_GBK"/>
          <w:sz w:val="32"/>
          <w:szCs w:val="32"/>
        </w:rPr>
        <w:t>公开工作纳入绩效考核管理体系。</w:t>
      </w:r>
      <w:r>
        <w:rPr>
          <w:rFonts w:hint="eastAsia" w:ascii="方正仿宋_GBK" w:hAnsi="方正仿宋_GBK" w:eastAsia="方正仿宋_GBK" w:cs="方正仿宋_GBK"/>
          <w:sz w:val="32"/>
          <w:szCs w:val="32"/>
          <w:lang w:val="en-US" w:eastAsia="zh-CN"/>
        </w:rPr>
        <w:t>完善政府信息公开发布流程，修订相关工作制度，进一步</w:t>
      </w:r>
      <w:r>
        <w:rPr>
          <w:rFonts w:hint="eastAsia" w:ascii="方正仿宋_GBK" w:hAnsi="方正仿宋_GBK" w:eastAsia="方正仿宋_GBK" w:cs="方正仿宋_GBK"/>
          <w:sz w:val="32"/>
          <w:szCs w:val="32"/>
        </w:rPr>
        <w:t>推进</w:t>
      </w:r>
      <w:r>
        <w:rPr>
          <w:rFonts w:hint="eastAsia" w:ascii="方正仿宋_GBK" w:hAnsi="方正仿宋_GBK" w:eastAsia="方正仿宋_GBK" w:cs="方正仿宋_GBK"/>
          <w:sz w:val="32"/>
          <w:szCs w:val="32"/>
          <w:lang w:val="en-US" w:eastAsia="zh-CN"/>
        </w:rPr>
        <w:t>我局</w:t>
      </w:r>
      <w:r>
        <w:rPr>
          <w:rFonts w:hint="eastAsia" w:ascii="方正仿宋_GBK" w:hAnsi="方正仿宋_GBK" w:eastAsia="方正仿宋_GBK" w:cs="方正仿宋_GBK"/>
          <w:sz w:val="32"/>
          <w:szCs w:val="32"/>
          <w:lang w:eastAsia="zh-CN"/>
        </w:rPr>
        <w:t>政府信息</w:t>
      </w:r>
      <w:r>
        <w:rPr>
          <w:rFonts w:hint="eastAsia" w:ascii="方正仿宋_GBK" w:hAnsi="方正仿宋_GBK" w:eastAsia="方正仿宋_GBK" w:cs="方正仿宋_GBK"/>
          <w:sz w:val="32"/>
          <w:szCs w:val="32"/>
        </w:rPr>
        <w:t>公开工作，促进全</w:t>
      </w:r>
      <w:r>
        <w:rPr>
          <w:rFonts w:hint="eastAsia" w:ascii="方正仿宋_GBK" w:hAnsi="方正仿宋_GBK" w:eastAsia="方正仿宋_GBK" w:cs="方正仿宋_GBK"/>
          <w:sz w:val="32"/>
          <w:szCs w:val="32"/>
          <w:lang w:eastAsia="zh-CN"/>
        </w:rPr>
        <w:t>区政府信息</w:t>
      </w:r>
      <w:r>
        <w:rPr>
          <w:rFonts w:hint="eastAsia" w:ascii="方正仿宋_GBK" w:hAnsi="方正仿宋_GBK" w:eastAsia="方正仿宋_GBK" w:cs="方正仿宋_GBK"/>
          <w:sz w:val="32"/>
          <w:szCs w:val="32"/>
        </w:rPr>
        <w:t>公开工作平衡发展。　 </w:t>
      </w:r>
    </w:p>
    <w:p>
      <w:pPr>
        <w:keepNext w:val="0"/>
        <w:keepLines w:val="0"/>
        <w:pageBreakBefore w:val="0"/>
        <w:widowControl/>
        <w:shd w:val="clear" w:color="auto" w:fill="FFFFFF"/>
        <w:kinsoku/>
        <w:wordWrap/>
        <w:overflowPunct/>
        <w:topLinePunct w:val="0"/>
        <w:autoSpaceDE/>
        <w:autoSpaceDN w:val="0"/>
        <w:bidi w:val="0"/>
        <w:adjustRightInd/>
        <w:snapToGrid/>
        <w:spacing w:line="560" w:lineRule="exact"/>
        <w:ind w:firstLine="480"/>
        <w:textAlignment w:val="auto"/>
        <w:rPr>
          <w:rFonts w:ascii="Times New Roman" w:hAnsi="Times New Roman" w:eastAsia="方正黑体_GBK"/>
          <w:kern w:val="0"/>
          <w:sz w:val="32"/>
          <w:szCs w:val="32"/>
        </w:rPr>
      </w:pPr>
      <w:r>
        <w:rPr>
          <w:rFonts w:ascii="Times New Roman" w:hAnsi="Times New Roman" w:eastAsia="方正黑体_GBK"/>
          <w:bCs/>
          <w:kern w:val="0"/>
          <w:sz w:val="32"/>
          <w:szCs w:val="32"/>
        </w:rPr>
        <w:t>六、其他需要报告的事项</w:t>
      </w:r>
    </w:p>
    <w:p>
      <w:pPr>
        <w:keepNext w:val="0"/>
        <w:keepLines w:val="0"/>
        <w:pageBreakBefore w:val="0"/>
        <w:widowControl/>
        <w:shd w:val="clear" w:color="auto" w:fill="FFFFFF"/>
        <w:kinsoku/>
        <w:wordWrap/>
        <w:overflowPunct/>
        <w:topLinePunct w:val="0"/>
        <w:autoSpaceDE/>
        <w:autoSpaceDN w:val="0"/>
        <w:bidi w:val="0"/>
        <w:adjustRightInd/>
        <w:snapToGrid/>
        <w:spacing w:line="560" w:lineRule="exact"/>
        <w:ind w:firstLine="480"/>
        <w:textAlignment w:val="auto"/>
        <w:rPr>
          <w:rFonts w:hint="default" w:ascii="Times New Roman" w:hAnsi="Times New Roman" w:eastAsia="方正仿宋_GBK"/>
          <w:kern w:val="0"/>
          <w:sz w:val="32"/>
          <w:szCs w:val="32"/>
          <w:lang w:val="en-US" w:eastAsia="zh-CN"/>
        </w:rPr>
      </w:pPr>
      <w:r>
        <w:rPr>
          <w:rFonts w:hint="eastAsia" w:ascii="Times New Roman" w:hAnsi="Times New Roman" w:eastAsia="方正仿宋_GBK"/>
          <w:kern w:val="0"/>
          <w:sz w:val="32"/>
          <w:szCs w:val="32"/>
          <w:lang w:val="en-US" w:eastAsia="zh-CN"/>
        </w:rPr>
        <w:t>无。</w:t>
      </w:r>
    </w:p>
    <w:p>
      <w:pPr>
        <w:spacing w:line="400" w:lineRule="exact"/>
        <w:jc w:val="left"/>
        <w:rPr>
          <w:rFonts w:ascii="Times New Roman" w:hAnsi="Times New Roman" w:eastAsia="方正楷体_GBK"/>
          <w:sz w:val="28"/>
          <w:szCs w:val="28"/>
        </w:rPr>
      </w:pPr>
    </w:p>
    <w:p>
      <w:pPr>
        <w:widowControl/>
        <w:shd w:val="clear" w:color="auto" w:fill="FFFFFF"/>
        <w:autoSpaceDN w:val="0"/>
        <w:spacing w:line="560" w:lineRule="exact"/>
        <w:jc w:val="center"/>
        <w:rPr>
          <w:rFonts w:ascii="Times New Roman" w:hAnsi="Times New Roman" w:eastAsia="方正仿宋_GBK"/>
          <w:bCs/>
          <w:kern w:val="0"/>
          <w:sz w:val="32"/>
          <w:szCs w:val="32"/>
        </w:rPr>
      </w:pPr>
    </w:p>
    <w:p/>
    <w:sectPr>
      <w:headerReference r:id="rId3" w:type="default"/>
      <w:footerReference r:id="rId4" w:type="default"/>
      <w:footerReference r:id="rId5" w:type="even"/>
      <w:pgSz w:w="11906" w:h="16838"/>
      <w:pgMar w:top="1985" w:right="1474" w:bottom="1985" w:left="1588" w:header="851" w:footer="1418" w:gutter="0"/>
      <w:pgNumType w:fmt="numberInDash"/>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楷体_GBK">
    <w:altName w:val="微软雅黑"/>
    <w:panose1 w:val="03000509000000000000"/>
    <w:charset w:val="86"/>
    <w:family w:val="script"/>
    <w:pitch w:val="default"/>
    <w:sig w:usb0="00000000" w:usb1="00000000" w:usb2="00000000" w:usb3="00000000" w:csb0="00040000" w:csb1="00000000"/>
  </w:font>
  <w:font w:name="方正小标宋_GBK">
    <w:panose1 w:val="02000000000000000000"/>
    <w:charset w:val="86"/>
    <w:family w:val="script"/>
    <w:pitch w:val="default"/>
    <w:sig w:usb0="A00002BF" w:usb1="38CF7CFA" w:usb2="00082016" w:usb3="00000000" w:csb0="00040001" w:csb1="00000000"/>
  </w:font>
  <w:font w:name="方正仿宋_GBK">
    <w:panose1 w:val="02000000000000000000"/>
    <w:charset w:val="86"/>
    <w:family w:val="script"/>
    <w:pitch w:val="default"/>
    <w:sig w:usb0="A00002BF" w:usb1="38CF7CFA" w:usb2="00082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Fonts w:ascii="宋体" w:hAnsi="宋体"/>
        <w:sz w:val="28"/>
        <w:szCs w:val="28"/>
      </w:rPr>
    </w:pPr>
    <w:r>
      <w:rPr>
        <w:rFonts w:ascii="宋体" w:hAnsi="宋体"/>
        <w:sz w:val="28"/>
        <w:szCs w:val="28"/>
      </w:rPr>
      <w:fldChar w:fldCharType="begin"/>
    </w:r>
    <w:r>
      <w:rPr>
        <w:rStyle w:val="6"/>
        <w:rFonts w:ascii="宋体" w:hAnsi="宋体"/>
        <w:sz w:val="28"/>
        <w:szCs w:val="28"/>
      </w:rPr>
      <w:instrText xml:space="preserve">PAGE  </w:instrText>
    </w:r>
    <w:r>
      <w:rPr>
        <w:rFonts w:ascii="宋体" w:hAnsi="宋体"/>
        <w:sz w:val="28"/>
        <w:szCs w:val="28"/>
      </w:rPr>
      <w:fldChar w:fldCharType="separate"/>
    </w:r>
    <w:r>
      <w:rPr>
        <w:rStyle w:val="6"/>
        <w:rFonts w:ascii="宋体" w:hAnsi="宋体"/>
        <w:sz w:val="28"/>
        <w:szCs w:val="28"/>
      </w:rPr>
      <w:t>- 2 -</w:t>
    </w:r>
    <w:r>
      <w:rPr>
        <w:rFonts w:ascii="宋体" w:hAnsi="宋体"/>
        <w:sz w:val="28"/>
        <w:szCs w:val="28"/>
      </w:rPr>
      <w:fldChar w:fldCharType="end"/>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Pr>
    </w:pPr>
    <w:r>
      <w:fldChar w:fldCharType="begin"/>
    </w:r>
    <w:r>
      <w:rPr>
        <w:rStyle w:val="6"/>
      </w:rPr>
      <w:instrText xml:space="preserve">PAGE  </w:instrText>
    </w:r>
    <w:r>
      <w:fldChar w:fldCharType="separate"/>
    </w:r>
    <w:r>
      <w:rPr>
        <w:rStyle w:val="6"/>
      </w:rPr>
      <w:t>- 1 -</w:t>
    </w:r>
    <w:r>
      <w:fldChar w:fldCharType="end"/>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singleLevel"/>
    <w:tmpl w:val="0000000A"/>
    <w:lvl w:ilvl="0" w:tentative="0">
      <w:start w:val="1"/>
      <w:numFmt w:val="chineseCounting"/>
      <w:suff w:val="nothing"/>
      <w:lvlText w:val="%1、"/>
      <w:lvlJc w:val="left"/>
      <w:pPr>
        <w:ind w:left="64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5B1F54"/>
    <w:rsid w:val="745B1F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Calibri" w:hAnsi="Calibri" w:eastAsia="宋体"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2021-04-09T14:49:00Z</dcterms:created>
  <dc:creator>Dust</dc:creator>
  <cp:lastModifiedBy>Dust</cp:lastModifiedBy>
  <dcterms:modified xsi:type="dcterms:W3CDTF">2021-04-09T14:51:14Z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F983ED0A633C41FF9838F3280E61BD88</vt:lpwstr>
  </property>
  <property fmtid="{D5CDD505-2E9C-101B-9397-08002B2CF9AE}" pid="4" name="KSOSaveFontToCloudKey">
    <vt:lpwstr>368900049_cloud</vt:lpwstr>
  </property>
</Properties>
</file>