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重庆市渝北区人力资源和社会保障局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201</w:t>
      </w:r>
      <w:r>
        <w:rPr>
          <w:rFonts w:hint="eastAsia" w:ascii="方正小标宋_GBK" w:hAnsi="方正小标宋_GBK" w:eastAsia="方正小标宋_GBK" w:cs="方正小标宋_GBK"/>
          <w:sz w:val="44"/>
          <w:szCs w:val="44"/>
          <w:lang w:val="en-US" w:eastAsia="zh-CN"/>
        </w:rPr>
        <w:t>9</w:t>
      </w:r>
      <w:r>
        <w:rPr>
          <w:rFonts w:hint="eastAsia" w:ascii="方正小标宋_GBK" w:hAnsi="方正小标宋_GBK" w:eastAsia="方正小标宋_GBK" w:cs="方正小标宋_GBK"/>
          <w:sz w:val="44"/>
          <w:szCs w:val="44"/>
        </w:rPr>
        <w:t>年政府信息公开工作年度报告</w:t>
      </w:r>
    </w:p>
    <w:p>
      <w:pPr>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 </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按照《关于做好</w:t>
      </w:r>
      <w:r>
        <w:rPr>
          <w:rFonts w:hint="eastAsia" w:ascii="方正仿宋_GBK" w:hAnsi="方正仿宋_GBK" w:eastAsia="方正仿宋_GBK" w:cs="方正仿宋_GBK"/>
          <w:sz w:val="32"/>
          <w:szCs w:val="32"/>
          <w:lang w:val="en-US" w:eastAsia="zh-CN"/>
        </w:rPr>
        <w:t>2019年政府信息公开工作年度报告有关工作的通知</w:t>
      </w:r>
      <w:r>
        <w:rPr>
          <w:rFonts w:hint="eastAsia" w:ascii="方正仿宋_GBK" w:hAnsi="方正仿宋_GBK" w:eastAsia="方正仿宋_GBK" w:cs="方正仿宋_GBK"/>
          <w:sz w:val="32"/>
          <w:szCs w:val="32"/>
          <w:lang w:eastAsia="zh-CN"/>
        </w:rPr>
        <w:t>》</w:t>
      </w:r>
      <w:r>
        <w:rPr>
          <w:rFonts w:hint="eastAsia" w:ascii="方正仿宋_GBK" w:eastAsia="方正仿宋_GBK"/>
          <w:sz w:val="32"/>
        </w:rPr>
        <w:t>情况的通知》</w:t>
      </w:r>
      <w:r>
        <w:rPr>
          <w:rFonts w:hint="eastAsia" w:ascii="方正仿宋_GBK" w:eastAsia="方正仿宋_GBK"/>
          <w:sz w:val="32"/>
          <w:lang w:eastAsia="zh-CN"/>
        </w:rPr>
        <w:t>文件要求</w:t>
      </w:r>
      <w:r>
        <w:rPr>
          <w:rFonts w:hint="eastAsia" w:ascii="方正仿宋_GBK" w:eastAsia="方正仿宋_GBK"/>
          <w:sz w:val="32"/>
        </w:rPr>
        <w:t>，结合工作实际，现将我局政府信息公开有关情况报告如下</w:t>
      </w:r>
      <w:r>
        <w:rPr>
          <w:rFonts w:hint="eastAsia" w:ascii="方正仿宋_GBK" w:eastAsia="方正仿宋_GBK"/>
          <w:sz w:val="32"/>
          <w:lang w:eastAsia="zh-CN"/>
        </w:rPr>
        <w:t>：</w:t>
      </w:r>
    </w:p>
    <w:p>
      <w:pPr>
        <w:rPr>
          <w:rFonts w:hint="eastAsia" w:ascii="方正黑体_GBK" w:hAnsi="方正黑体_GBK" w:eastAsia="方正黑体_GBK" w:cs="方正黑体_GBK"/>
          <w:sz w:val="32"/>
          <w:szCs w:val="32"/>
          <w:lang w:eastAsia="zh-CN"/>
        </w:rPr>
      </w:pPr>
      <w:r>
        <w:rPr>
          <w:rFonts w:hint="eastAsia" w:ascii="方正仿宋_GBK" w:hAnsi="方正仿宋_GBK" w:eastAsia="方正仿宋_GBK" w:cs="方正仿宋_GBK"/>
          <w:sz w:val="32"/>
          <w:szCs w:val="32"/>
        </w:rPr>
        <w:t>　</w:t>
      </w:r>
      <w:r>
        <w:rPr>
          <w:rFonts w:hint="eastAsia" w:ascii="方正黑体_GBK" w:hAnsi="方正黑体_GBK" w:eastAsia="方正黑体_GBK" w:cs="方正黑体_GBK"/>
          <w:sz w:val="32"/>
          <w:szCs w:val="32"/>
          <w:lang w:eastAsia="zh-CN"/>
        </w:rPr>
        <w:t>　</w:t>
      </w:r>
      <w:r>
        <w:rPr>
          <w:rFonts w:hint="eastAsia" w:ascii="方正黑体_GBK" w:hAnsi="方正黑体_GBK" w:eastAsia="方正黑体_GBK" w:cs="方正黑体_GBK"/>
          <w:sz w:val="32"/>
          <w:szCs w:val="32"/>
          <w:lang w:val="en-US" w:eastAsia="zh-CN"/>
        </w:rPr>
        <w:t>一、</w:t>
      </w:r>
      <w:r>
        <w:rPr>
          <w:rFonts w:hint="eastAsia" w:ascii="方正黑体_GBK" w:hAnsi="宋体" w:eastAsia="方正黑体_GBK" w:cs="宋体"/>
          <w:bCs/>
          <w:kern w:val="0"/>
          <w:sz w:val="32"/>
          <w:szCs w:val="32"/>
        </w:rPr>
        <w:t>总体情况</w:t>
      </w:r>
    </w:p>
    <w:p>
      <w:pPr>
        <w:ind w:firstLine="640"/>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2019年</w:t>
      </w:r>
      <w:r>
        <w:rPr>
          <w:rFonts w:hint="eastAsia" w:ascii="方正仿宋_GBK" w:hAnsi="方正仿宋_GBK" w:eastAsia="方正仿宋_GBK" w:cs="方正仿宋_GBK"/>
          <w:sz w:val="32"/>
          <w:szCs w:val="32"/>
          <w:lang w:eastAsia="zh-CN"/>
        </w:rPr>
        <w:t>在区委、区政府的正确领导下，区人力社保局紧密围绕人力社保工作，</w:t>
      </w:r>
      <w:r>
        <w:rPr>
          <w:rFonts w:hint="eastAsia" w:ascii="方正仿宋_GBK" w:hAnsi="方正仿宋_GBK" w:eastAsia="方正仿宋_GBK" w:cs="方正仿宋_GBK"/>
          <w:sz w:val="32"/>
          <w:szCs w:val="32"/>
        </w:rPr>
        <w:t>认真贯彻落实《中华人民共和国政府信息公开条例》和《重庆市人民政府办公厅关于印发2019年重庆市政务公开工作要点的通知》（渝府办发〔2019〕71号）</w:t>
      </w:r>
      <w:r>
        <w:rPr>
          <w:rFonts w:hint="eastAsia" w:ascii="方正仿宋_GBK" w:hAnsi="方正仿宋_GBK" w:eastAsia="方正仿宋_GBK" w:cs="方正仿宋_GBK"/>
          <w:sz w:val="32"/>
          <w:szCs w:val="32"/>
          <w:lang w:eastAsia="zh-CN"/>
        </w:rPr>
        <w:t>文件精神，</w:t>
      </w:r>
      <w:r>
        <w:rPr>
          <w:rFonts w:hint="eastAsia" w:ascii="方正仿宋_GBK" w:hAnsi="方正仿宋_GBK" w:eastAsia="方正仿宋_GBK" w:cs="方正仿宋_GBK"/>
          <w:sz w:val="32"/>
          <w:szCs w:val="32"/>
        </w:rPr>
        <w:t>坚持以公开为常态、不公开为例外</w:t>
      </w:r>
      <w:r>
        <w:rPr>
          <w:rFonts w:hint="eastAsia" w:ascii="方正仿宋_GBK" w:hAnsi="方正仿宋_GBK" w:eastAsia="方正仿宋_GBK" w:cs="方正仿宋_GBK"/>
          <w:sz w:val="32"/>
          <w:szCs w:val="32"/>
          <w:lang w:eastAsia="zh-CN"/>
        </w:rPr>
        <w:t>，通过</w:t>
      </w:r>
      <w:r>
        <w:rPr>
          <w:rFonts w:hint="eastAsia" w:ascii="方正仿宋_GBK" w:hAnsi="方正仿宋_GBK" w:eastAsia="方正仿宋_GBK" w:cs="方正仿宋_GBK"/>
          <w:sz w:val="32"/>
          <w:szCs w:val="32"/>
        </w:rPr>
        <w:t>加强组织领导，明确责任分工，建立完善工作机制，配齐配强人员</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拓宽公开渠道，丰富公开载体，强化重点民生领域信息公开</w:t>
      </w:r>
      <w:r>
        <w:rPr>
          <w:rFonts w:hint="eastAsia" w:ascii="方正仿宋_GBK" w:hAnsi="方正仿宋_GBK" w:eastAsia="方正仿宋_GBK" w:cs="方正仿宋_GBK"/>
          <w:sz w:val="32"/>
          <w:szCs w:val="32"/>
          <w:lang w:eastAsia="zh-CN"/>
        </w:rPr>
        <w:t>，不断提高信息公</w:t>
      </w:r>
      <w:r>
        <w:rPr>
          <w:rFonts w:hint="eastAsia" w:ascii="方正仿宋_GBK" w:hAnsi="方正仿宋_GBK" w:eastAsia="方正仿宋_GBK" w:cs="方正仿宋_GBK"/>
          <w:sz w:val="32"/>
          <w:szCs w:val="32"/>
        </w:rPr>
        <w:t>开</w:t>
      </w:r>
      <w:r>
        <w:rPr>
          <w:rFonts w:hint="eastAsia" w:ascii="方正仿宋_GBK" w:hAnsi="方正仿宋_GBK" w:eastAsia="方正仿宋_GBK" w:cs="方正仿宋_GBK"/>
          <w:sz w:val="32"/>
          <w:szCs w:val="32"/>
          <w:lang w:eastAsia="zh-CN"/>
        </w:rPr>
        <w:t>水平</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目前，我局政府信息主要通过在渝北区人民政府开设的“人力社保专栏”进行公开，其次通过“渝北就业服务”定期发布人事招聘信息。</w:t>
      </w:r>
      <w:r>
        <w:rPr>
          <w:rFonts w:hint="eastAsia" w:ascii="方正仿宋_GBK" w:hAnsi="方正仿宋_GBK" w:eastAsia="方正仿宋_GBK" w:cs="方正仿宋_GBK"/>
          <w:sz w:val="32"/>
          <w:szCs w:val="32"/>
        </w:rPr>
        <w:t>全年</w:t>
      </w:r>
      <w:r>
        <w:rPr>
          <w:rFonts w:hint="eastAsia" w:ascii="方正仿宋_GBK" w:hAnsi="方正仿宋_GBK" w:eastAsia="方正仿宋_GBK" w:cs="方正仿宋_GBK"/>
          <w:sz w:val="32"/>
          <w:szCs w:val="32"/>
          <w:lang w:eastAsia="zh-CN"/>
        </w:rPr>
        <w:t>我局</w:t>
      </w:r>
      <w:r>
        <w:rPr>
          <w:rFonts w:hint="eastAsia" w:ascii="方正仿宋_GBK" w:hAnsi="方正仿宋_GBK" w:eastAsia="方正仿宋_GBK" w:cs="方正仿宋_GBK"/>
          <w:sz w:val="32"/>
          <w:szCs w:val="32"/>
        </w:rPr>
        <w:t>主动公开政府信息</w:t>
      </w:r>
      <w:r>
        <w:rPr>
          <w:rFonts w:hint="eastAsia" w:ascii="方正仿宋_GBK" w:hAnsi="方正仿宋_GBK" w:eastAsia="方正仿宋_GBK" w:cs="方正仿宋_GBK"/>
          <w:sz w:val="32"/>
          <w:szCs w:val="32"/>
          <w:lang w:val="en-US" w:eastAsia="zh-CN"/>
        </w:rPr>
        <w:t>228</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eastAsia="zh-CN"/>
        </w:rPr>
        <w:t>。按照发布平台分类为：区</w:t>
      </w:r>
      <w:r>
        <w:rPr>
          <w:rFonts w:hint="eastAsia" w:ascii="方正仿宋_GBK" w:hAnsi="方正仿宋_GBK" w:eastAsia="方正仿宋_GBK" w:cs="方正仿宋_GBK"/>
          <w:sz w:val="32"/>
          <w:szCs w:val="32"/>
        </w:rPr>
        <w:t>政府</w:t>
      </w:r>
      <w:r>
        <w:rPr>
          <w:rFonts w:hint="eastAsia" w:ascii="方正仿宋_GBK" w:hAnsi="方正仿宋_GBK" w:eastAsia="方正仿宋_GBK" w:cs="方正仿宋_GBK"/>
          <w:sz w:val="32"/>
          <w:szCs w:val="32"/>
          <w:lang w:val="en-US" w:eastAsia="zh-CN"/>
        </w:rPr>
        <w:t>网站人力资源和社会保障专栏</w:t>
      </w:r>
      <w:r>
        <w:rPr>
          <w:rFonts w:hint="eastAsia" w:ascii="方正仿宋_GBK" w:hAnsi="方正仿宋_GBK" w:eastAsia="方正仿宋_GBK" w:cs="方正仿宋_GBK"/>
          <w:sz w:val="32"/>
          <w:szCs w:val="32"/>
        </w:rPr>
        <w:t>公开政府信息</w:t>
      </w:r>
      <w:r>
        <w:rPr>
          <w:rFonts w:hint="eastAsia" w:ascii="方正仿宋_GBK" w:hAnsi="方正仿宋_GBK" w:eastAsia="方正仿宋_GBK" w:cs="方正仿宋_GBK"/>
          <w:sz w:val="32"/>
          <w:szCs w:val="32"/>
          <w:lang w:val="en-US" w:eastAsia="zh-CN"/>
        </w:rPr>
        <w:t>182</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两江人才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微信公众平台推送46</w:t>
      </w:r>
      <w:r>
        <w:rPr>
          <w:rFonts w:hint="eastAsia" w:ascii="方正仿宋_GBK" w:hAnsi="方正仿宋_GBK" w:eastAsia="方正仿宋_GBK" w:cs="方正仿宋_GBK"/>
          <w:sz w:val="32"/>
          <w:szCs w:val="32"/>
        </w:rPr>
        <w:t>条</w:t>
      </w:r>
      <w:r>
        <w:rPr>
          <w:rFonts w:hint="eastAsia" w:ascii="方正仿宋_GBK" w:hAnsi="方正仿宋_GBK" w:eastAsia="方正仿宋_GBK" w:cs="方正仿宋_GBK"/>
          <w:sz w:val="32"/>
          <w:szCs w:val="32"/>
          <w:lang w:eastAsia="zh-CN"/>
        </w:rPr>
        <w:t>。按照信息分类为：公开</w:t>
      </w:r>
      <w:r>
        <w:rPr>
          <w:rFonts w:hint="eastAsia" w:ascii="方正仿宋_GBK" w:hAnsi="方正仿宋_GBK" w:eastAsia="方正仿宋_GBK" w:cs="方正仿宋_GBK"/>
          <w:sz w:val="32"/>
          <w:szCs w:val="32"/>
          <w:lang w:val="en-US" w:eastAsia="zh-CN"/>
        </w:rPr>
        <w:t>社会保险信息82条，就业人才信息49条，人事招录聘用信息97条。</w:t>
      </w:r>
    </w:p>
    <w:p>
      <w:pPr>
        <w:pStyle w:val="7"/>
        <w:spacing w:before="0" w:beforeLines="0" w:beforeAutospacing="0" w:after="0" w:afterLines="0" w:afterAutospacing="0" w:line="600" w:lineRule="exact"/>
        <w:ind w:firstLine="321" w:firstLineChars="100"/>
        <w:rPr>
          <w:rFonts w:hint="eastAsia" w:ascii="方正仿宋_GBK" w:hAnsi="_x000B__x000C_" w:eastAsia="方正仿宋_GBK"/>
          <w:sz w:val="32"/>
        </w:rPr>
      </w:pPr>
      <w:r>
        <w:rPr>
          <w:rFonts w:hint="eastAsia" w:ascii="方正楷体_GBK" w:eastAsia="方正楷体_GBK"/>
          <w:b/>
          <w:sz w:val="32"/>
        </w:rPr>
        <w:t>（一）</w:t>
      </w:r>
      <w:r>
        <w:rPr>
          <w:rFonts w:hint="eastAsia" w:ascii="方正楷体_GBK" w:hAnsi="_x000B__x000C_" w:eastAsia="方正楷体_GBK"/>
          <w:b/>
          <w:sz w:val="32"/>
        </w:rPr>
        <w:t>健全机构，加强领导 。</w:t>
      </w:r>
      <w:r>
        <w:rPr>
          <w:rFonts w:hint="eastAsia" w:ascii="方正仿宋_GBK" w:hAnsi="_x000B__x000C_" w:eastAsia="方正仿宋_GBK"/>
          <w:sz w:val="32"/>
        </w:rPr>
        <w:t>成立了由党委书记、局长任组长</w:t>
      </w:r>
      <w:r>
        <w:rPr>
          <w:rFonts w:hint="eastAsia" w:ascii="方正仿宋_GBK" w:hAnsi="_x000B__x000C_" w:eastAsia="方正仿宋_GBK"/>
          <w:sz w:val="32"/>
          <w:lang w:eastAsia="zh-CN"/>
        </w:rPr>
        <w:t>，局党委专职副书记</w:t>
      </w:r>
      <w:r>
        <w:rPr>
          <w:rFonts w:hint="eastAsia" w:ascii="方正仿宋_GBK" w:hAnsi="_x000B__x000C_" w:eastAsia="方正仿宋_GBK"/>
          <w:sz w:val="32"/>
        </w:rPr>
        <w:t>为副组长</w:t>
      </w:r>
      <w:r>
        <w:rPr>
          <w:rFonts w:hint="eastAsia" w:ascii="方正仿宋_GBK" w:hAnsi="_x000B__x000C_" w:eastAsia="方正仿宋_GBK"/>
          <w:sz w:val="32"/>
          <w:lang w:eastAsia="zh-CN"/>
        </w:rPr>
        <w:t>，其余分管领导、</w:t>
      </w:r>
      <w:r>
        <w:rPr>
          <w:rFonts w:hint="eastAsia" w:ascii="方正仿宋_GBK" w:hAnsi="_x000B__x000C_" w:eastAsia="方正仿宋_GBK"/>
          <w:sz w:val="32"/>
        </w:rPr>
        <w:t>机关各科室和局属各事业单位负责人为成员</w:t>
      </w:r>
      <w:r>
        <w:rPr>
          <w:rFonts w:hint="eastAsia" w:ascii="方正仿宋_GBK" w:hAnsi="_x000B__x000C_" w:eastAsia="方正仿宋_GBK"/>
          <w:sz w:val="32"/>
          <w:lang w:eastAsia="zh-CN"/>
        </w:rPr>
        <w:t>的政府信息</w:t>
      </w:r>
      <w:r>
        <w:rPr>
          <w:rFonts w:hint="eastAsia" w:ascii="方正仿宋_GBK" w:hAnsi="_x000B__x000C_" w:eastAsia="方正仿宋_GBK"/>
          <w:sz w:val="32"/>
        </w:rPr>
        <w:t>公开领导小组</w:t>
      </w:r>
      <w:r>
        <w:rPr>
          <w:rFonts w:hint="eastAsia" w:ascii="方正仿宋_GBK" w:hAnsi="_x000B__x000C_" w:eastAsia="方正仿宋_GBK"/>
          <w:sz w:val="32"/>
          <w:lang w:eastAsia="zh-CN"/>
        </w:rPr>
        <w:t>，</w:t>
      </w:r>
      <w:r>
        <w:rPr>
          <w:rFonts w:hint="eastAsia" w:ascii="方正仿宋_GBK" w:hAnsi="_x000B__x000C_" w:eastAsia="方正仿宋_GBK"/>
          <w:sz w:val="32"/>
        </w:rPr>
        <w:t>领导小组办公室设在局办公室，主要负责</w:t>
      </w:r>
      <w:r>
        <w:rPr>
          <w:rFonts w:hint="eastAsia" w:ascii="方正仿宋_GBK" w:hAnsi="_x000B__x000C_" w:eastAsia="方正仿宋_GBK"/>
          <w:sz w:val="32"/>
          <w:lang w:eastAsia="zh-CN"/>
        </w:rPr>
        <w:t>全</w:t>
      </w:r>
      <w:r>
        <w:rPr>
          <w:rFonts w:hint="eastAsia" w:ascii="方正仿宋_GBK" w:hAnsi="_x000B__x000C_" w:eastAsia="方正仿宋_GBK"/>
          <w:sz w:val="32"/>
        </w:rPr>
        <w:t>局</w:t>
      </w:r>
      <w:r>
        <w:rPr>
          <w:rFonts w:hint="eastAsia" w:ascii="方正仿宋_GBK" w:hAnsi="_x000B__x000C_" w:eastAsia="方正仿宋_GBK"/>
          <w:sz w:val="32"/>
          <w:lang w:eastAsia="zh-CN"/>
        </w:rPr>
        <w:t>政府信息</w:t>
      </w:r>
      <w:r>
        <w:rPr>
          <w:rFonts w:hint="eastAsia" w:ascii="方正仿宋_GBK" w:hAnsi="_x000B__x000C_" w:eastAsia="方正仿宋_GBK"/>
          <w:sz w:val="32"/>
        </w:rPr>
        <w:t>公开工作日常事务，把政务公开工作列入重要议程</w:t>
      </w:r>
      <w:r>
        <w:rPr>
          <w:rFonts w:hint="eastAsia" w:ascii="方正仿宋_GBK" w:hAnsi="_x000B__x000C_" w:eastAsia="方正仿宋_GBK"/>
          <w:sz w:val="32"/>
          <w:lang w:eastAsia="zh-CN"/>
        </w:rPr>
        <w:t>，</w:t>
      </w:r>
      <w:r>
        <w:rPr>
          <w:rFonts w:hint="eastAsia" w:ascii="方正仿宋_GBK" w:hAnsi="_x000B__x000C_" w:eastAsia="方正仿宋_GBK"/>
          <w:sz w:val="32"/>
        </w:rPr>
        <w:t>对全局</w:t>
      </w:r>
      <w:r>
        <w:rPr>
          <w:rFonts w:hint="eastAsia" w:ascii="方正仿宋_GBK" w:hAnsi="_x000B__x000C_" w:eastAsia="方正仿宋_GBK"/>
          <w:sz w:val="32"/>
          <w:lang w:eastAsia="zh-CN"/>
        </w:rPr>
        <w:t>政府信息</w:t>
      </w:r>
      <w:r>
        <w:rPr>
          <w:rFonts w:hint="eastAsia" w:ascii="方正仿宋_GBK" w:hAnsi="_x000B__x000C_" w:eastAsia="方正仿宋_GBK"/>
          <w:sz w:val="32"/>
        </w:rPr>
        <w:t>公开事项进行审查，</w:t>
      </w:r>
      <w:r>
        <w:rPr>
          <w:rFonts w:hint="eastAsia" w:ascii="方正仿宋_GBK" w:hAnsi="_x000B__x000C_" w:eastAsia="方正仿宋_GBK"/>
          <w:sz w:val="32"/>
          <w:lang w:val="en-US" w:eastAsia="zh-CN"/>
        </w:rPr>
        <w:t>建</w:t>
      </w:r>
      <w:bookmarkStart w:id="0" w:name="_GoBack"/>
      <w:bookmarkEnd w:id="0"/>
      <w:r>
        <w:rPr>
          <w:rFonts w:hint="eastAsia" w:ascii="方正仿宋_GBK" w:hAnsi="_x000B__x000C_" w:eastAsia="方正仿宋_GBK"/>
          <w:sz w:val="32"/>
        </w:rPr>
        <w:t>章立制，组织监督检查</w:t>
      </w:r>
      <w:r>
        <w:rPr>
          <w:rFonts w:hint="eastAsia" w:ascii="方正仿宋_GBK" w:hAnsi="_x000B__x000C_" w:eastAsia="方正仿宋_GBK"/>
          <w:sz w:val="32"/>
          <w:lang w:eastAsia="zh-CN"/>
        </w:rPr>
        <w:t>，</w:t>
      </w:r>
      <w:r>
        <w:rPr>
          <w:rFonts w:hint="eastAsia" w:ascii="方正仿宋_GBK" w:hAnsi="_x000B__x000C_" w:eastAsia="方正仿宋_GBK"/>
          <w:sz w:val="32"/>
        </w:rPr>
        <w:t>将政务公开工作真正落到实处。</w:t>
      </w:r>
    </w:p>
    <w:p>
      <w:pPr>
        <w:pStyle w:val="7"/>
        <w:spacing w:before="0" w:beforeLines="0" w:beforeAutospacing="0" w:after="0" w:afterLines="0" w:afterAutospacing="0" w:line="600" w:lineRule="exact"/>
        <w:ind w:firstLine="321" w:firstLineChars="100"/>
        <w:rPr>
          <w:rFonts w:hint="eastAsia" w:ascii="方正仿宋_GBK" w:hAnsi="_x000B__x000C_" w:eastAsia="方正仿宋_GBK"/>
          <w:sz w:val="32"/>
        </w:rPr>
      </w:pPr>
      <w:r>
        <w:rPr>
          <w:rFonts w:hint="eastAsia" w:ascii="方正楷体_GBK" w:eastAsia="方正楷体_GBK"/>
          <w:b/>
          <w:sz w:val="32"/>
        </w:rPr>
        <w:t>（二）完善制度，健全机制。</w:t>
      </w:r>
      <w:r>
        <w:rPr>
          <w:rFonts w:hint="eastAsia" w:ascii="方正仿宋_GBK" w:hAnsi="_x000B__x000C_" w:eastAsia="方正仿宋_GBK"/>
          <w:sz w:val="32"/>
        </w:rPr>
        <w:t>为实现政务公开的科学化、制度化、规范化，着力建立和健全工作机制，切实将政务公开工作落到实处、取得实效，重点建立完善了5项制度：</w:t>
      </w:r>
    </w:p>
    <w:p>
      <w:pPr>
        <w:adjustRightInd w:val="0"/>
        <w:snapToGrid w:val="0"/>
        <w:spacing w:line="600" w:lineRule="atLeast"/>
        <w:ind w:firstLine="645"/>
        <w:rPr>
          <w:rFonts w:hint="eastAsia" w:ascii="方正仿宋_GBK" w:hAnsi="_x000B__x000C_" w:eastAsia="方正仿宋_GBK"/>
          <w:kern w:val="0"/>
          <w:sz w:val="32"/>
        </w:rPr>
      </w:pPr>
      <w:r>
        <w:rPr>
          <w:rFonts w:hint="eastAsia" w:ascii="方正仿宋_GBK" w:hAnsi="_x000B__x000C_" w:eastAsia="方正仿宋_GBK"/>
          <w:b/>
          <w:kern w:val="0"/>
          <w:sz w:val="32"/>
        </w:rPr>
        <w:t>1．建立审查制度。</w:t>
      </w:r>
      <w:r>
        <w:rPr>
          <w:rFonts w:hint="eastAsia" w:ascii="方正仿宋_GBK" w:hAnsi="_x000B__x000C_" w:eastAsia="方正仿宋_GBK"/>
          <w:kern w:val="0"/>
          <w:sz w:val="32"/>
        </w:rPr>
        <w:t>凡是拟公开事项，均把能否公开、怎样公开、在什么范围公开作为审查内容，通过预先审查，经局领导审签后予以公开。在实施过程中，严格限制不公开事项范围，准确把握局</w:t>
      </w:r>
      <w:r>
        <w:rPr>
          <w:rFonts w:hint="eastAsia" w:ascii="方正仿宋_GBK" w:hAnsi="_x000B__x000C_" w:eastAsia="方正仿宋_GBK"/>
          <w:kern w:val="0"/>
          <w:sz w:val="32"/>
          <w:lang w:eastAsia="zh-CN"/>
        </w:rPr>
        <w:t>政府信息</w:t>
      </w:r>
      <w:r>
        <w:rPr>
          <w:rFonts w:hint="eastAsia" w:ascii="方正仿宋_GBK" w:hAnsi="_x000B__x000C_" w:eastAsia="方正仿宋_GBK"/>
          <w:kern w:val="0"/>
          <w:sz w:val="32"/>
        </w:rPr>
        <w:t>公开的内容、范围、形式和时限等。</w:t>
      </w:r>
    </w:p>
    <w:p>
      <w:pPr>
        <w:adjustRightInd w:val="0"/>
        <w:snapToGrid w:val="0"/>
        <w:spacing w:line="600" w:lineRule="atLeast"/>
        <w:ind w:firstLine="645"/>
        <w:rPr>
          <w:rFonts w:hint="eastAsia" w:ascii="方正仿宋_GBK" w:hAnsi="_x000B__x000C_" w:eastAsia="方正仿宋_GBK"/>
          <w:kern w:val="0"/>
          <w:sz w:val="32"/>
        </w:rPr>
      </w:pPr>
      <w:r>
        <w:rPr>
          <w:rFonts w:hint="eastAsia" w:ascii="方正仿宋_GBK" w:hAnsi="_x000B__x000C_" w:eastAsia="方正仿宋_GBK"/>
          <w:b/>
          <w:kern w:val="0"/>
          <w:sz w:val="32"/>
        </w:rPr>
        <w:t>2．建立主动公开制度。</w:t>
      </w:r>
      <w:r>
        <w:rPr>
          <w:rFonts w:hint="eastAsia" w:ascii="方正仿宋_GBK" w:hAnsi="_x000B__x000C_" w:eastAsia="方正仿宋_GBK"/>
          <w:kern w:val="0"/>
          <w:sz w:val="32"/>
        </w:rPr>
        <w:t>原则上每月把人力社保工作中应当让社会公众广泛知晓和参与的事项，及时主动向社会公开一次。特殊情况、重要情况和重大事项，随时主动公开。</w:t>
      </w:r>
    </w:p>
    <w:p>
      <w:pPr>
        <w:adjustRightInd w:val="0"/>
        <w:snapToGrid w:val="0"/>
        <w:spacing w:line="600" w:lineRule="atLeast"/>
        <w:ind w:firstLine="645"/>
        <w:rPr>
          <w:rFonts w:hint="eastAsia" w:ascii="方正仿宋_GBK" w:hAnsi="_x000B__x000C_" w:eastAsia="方正仿宋_GBK"/>
          <w:kern w:val="0"/>
          <w:sz w:val="32"/>
        </w:rPr>
      </w:pPr>
      <w:r>
        <w:rPr>
          <w:rFonts w:hint="eastAsia" w:ascii="方正仿宋_GBK" w:hAnsi="_x000B__x000C_" w:eastAsia="方正仿宋_GBK"/>
          <w:b/>
          <w:kern w:val="0"/>
          <w:sz w:val="32"/>
        </w:rPr>
        <w:t>3．建立依法申请公开制度。</w:t>
      </w:r>
      <w:r>
        <w:rPr>
          <w:rFonts w:hint="eastAsia" w:ascii="方正仿宋_GBK" w:hAnsi="_x000B__x000C_" w:eastAsia="方正仿宋_GBK"/>
          <w:kern w:val="0"/>
          <w:sz w:val="32"/>
        </w:rPr>
        <w:t>根据法律法规和有关规定，确定依申请公开的事项、公开对象和范围，明确受理申请的科室、方式和程序等，在规定时限内做出是否公开的答复。确实不能公开的，及时做好解释说明工作。</w:t>
      </w:r>
    </w:p>
    <w:p>
      <w:pPr>
        <w:adjustRightInd w:val="0"/>
        <w:snapToGrid w:val="0"/>
        <w:spacing w:line="600" w:lineRule="atLeast"/>
        <w:ind w:firstLine="645"/>
        <w:rPr>
          <w:rFonts w:hint="eastAsia" w:ascii="方正仿宋_GBK" w:hAnsi="_x000B__x000C_" w:eastAsia="方正仿宋_GBK"/>
          <w:kern w:val="0"/>
          <w:sz w:val="32"/>
        </w:rPr>
      </w:pPr>
      <w:r>
        <w:rPr>
          <w:rFonts w:hint="eastAsia" w:ascii="方正仿宋_GBK" w:hAnsi="_x000B__x000C_" w:eastAsia="方正仿宋_GBK"/>
          <w:b/>
          <w:kern w:val="0"/>
          <w:sz w:val="32"/>
        </w:rPr>
        <w:t>4．建立评议考核制度。</w:t>
      </w:r>
      <w:r>
        <w:rPr>
          <w:rFonts w:hint="eastAsia" w:ascii="方正仿宋_GBK" w:hAnsi="_x000B__x000C_" w:eastAsia="方正仿宋_GBK"/>
          <w:kern w:val="0"/>
          <w:sz w:val="32"/>
        </w:rPr>
        <w:t>把</w:t>
      </w:r>
      <w:r>
        <w:rPr>
          <w:rFonts w:hint="eastAsia" w:ascii="方正仿宋_GBK" w:hAnsi="_x000B__x000C_" w:eastAsia="方正仿宋_GBK"/>
          <w:kern w:val="0"/>
          <w:sz w:val="32"/>
          <w:lang w:eastAsia="zh-CN"/>
        </w:rPr>
        <w:t>政府信息</w:t>
      </w:r>
      <w:r>
        <w:rPr>
          <w:rFonts w:hint="eastAsia" w:ascii="方正仿宋_GBK" w:hAnsi="_x000B__x000C_" w:eastAsia="方正仿宋_GBK"/>
          <w:kern w:val="0"/>
          <w:sz w:val="32"/>
        </w:rPr>
        <w:t>公开工作作为年度考核的一项重要内容，考核结果作为干部评价、奖惩的重要依据。</w:t>
      </w:r>
    </w:p>
    <w:p>
      <w:pPr>
        <w:pStyle w:val="8"/>
        <w:rPr>
          <w:rFonts w:hint="eastAsia" w:ascii="方正仿宋_GBK" w:hAnsi="_x000B__x000C_" w:eastAsia="方正仿宋_GBK"/>
          <w:kern w:val="0"/>
          <w:sz w:val="32"/>
        </w:rPr>
      </w:pPr>
      <w:r>
        <w:rPr>
          <w:rFonts w:hint="eastAsia" w:ascii="方正仿宋_GBK" w:hAnsi="_x000B__x000C_" w:eastAsia="方正仿宋_GBK"/>
          <w:b/>
          <w:kern w:val="0"/>
          <w:sz w:val="32"/>
        </w:rPr>
        <w:t>5．建立责任追究制度。</w:t>
      </w:r>
      <w:r>
        <w:rPr>
          <w:rFonts w:hint="eastAsia" w:ascii="方正仿宋_GBK" w:hAnsi="_x000B__x000C_" w:eastAsia="方正仿宋_GBK"/>
          <w:kern w:val="0"/>
          <w:sz w:val="32"/>
        </w:rPr>
        <w:t>在政务公开工作中，对工作不力、搞形式主义的科室和人员，在局职工会上通报批评，限期整改；对弄虚作假、承诺不兑现、投诉处理不及时、侵犯群众民主权利造成恶劣影响的，严格按照有关规定严肃处理。</w:t>
      </w:r>
    </w:p>
    <w:p>
      <w:pPr>
        <w:adjustRightInd w:val="0"/>
        <w:snapToGrid w:val="0"/>
        <w:spacing w:line="600" w:lineRule="atLeast"/>
        <w:ind w:firstLine="321" w:firstLineChars="100"/>
        <w:rPr>
          <w:rFonts w:hint="eastAsia" w:ascii="方正仿宋_GBK" w:hAnsi="方正仿宋_GBK" w:eastAsia="方正仿宋_GBK" w:cs="方正仿宋_GBK"/>
          <w:sz w:val="32"/>
          <w:szCs w:val="32"/>
          <w:lang w:val="en-US" w:eastAsia="zh-CN"/>
        </w:rPr>
      </w:pPr>
      <w:r>
        <w:rPr>
          <w:rFonts w:hint="eastAsia" w:ascii="方正楷体_GBK" w:hAnsi="_x000B__x000C_" w:eastAsia="方正楷体_GBK"/>
          <w:b/>
          <w:kern w:val="0"/>
          <w:sz w:val="32"/>
        </w:rPr>
        <w:t>（三）畅通渠道，主动公开。</w:t>
      </w:r>
      <w:r>
        <w:rPr>
          <w:rFonts w:hint="eastAsia" w:ascii="方正仿宋_GBK" w:eastAsia="方正仿宋_GBK"/>
          <w:sz w:val="32"/>
        </w:rPr>
        <w:t>坚持因地制宜、灵活多样、改革创新的原则，不断探索创新</w:t>
      </w:r>
      <w:r>
        <w:rPr>
          <w:rFonts w:hint="eastAsia" w:ascii="方正仿宋_GBK" w:eastAsia="方正仿宋_GBK"/>
          <w:sz w:val="32"/>
          <w:lang w:eastAsia="zh-CN"/>
        </w:rPr>
        <w:t>政府信息</w:t>
      </w:r>
      <w:r>
        <w:rPr>
          <w:rFonts w:hint="eastAsia" w:ascii="方正仿宋_GBK" w:eastAsia="方正仿宋_GBK"/>
          <w:sz w:val="32"/>
        </w:rPr>
        <w:t>公开形式和公开渠道。在办公楼设置办事指南、电子显示屏和服务投诉箱；充分发挥报刊、广播、电视等传媒作用的基础上，在渝北</w:t>
      </w:r>
      <w:r>
        <w:rPr>
          <w:rFonts w:hint="eastAsia" w:ascii="方正仿宋_GBK" w:eastAsia="方正仿宋_GBK"/>
          <w:sz w:val="32"/>
          <w:lang w:eastAsia="zh-CN"/>
        </w:rPr>
        <w:t>人民</w:t>
      </w:r>
      <w:r>
        <w:rPr>
          <w:rFonts w:hint="eastAsia" w:ascii="方正仿宋_GBK" w:eastAsia="方正仿宋_GBK"/>
          <w:sz w:val="32"/>
        </w:rPr>
        <w:t>政府网上设立人力社保政务公开专栏、</w:t>
      </w:r>
      <w:r>
        <w:rPr>
          <w:rFonts w:hint="eastAsia" w:ascii="方正仿宋_GBK" w:eastAsia="方正仿宋_GBK"/>
          <w:sz w:val="32"/>
          <w:lang w:eastAsia="zh-CN"/>
        </w:rPr>
        <w:t>开通“渝北就业服务”微信公众号等</w:t>
      </w:r>
      <w:r>
        <w:rPr>
          <w:rFonts w:hint="eastAsia" w:ascii="方正仿宋_GBK" w:eastAsia="方正仿宋_GBK"/>
          <w:sz w:val="32"/>
        </w:rPr>
        <w:t>互动式平台，并积极探索社会公示、听证和专家咨询、论证以及邀请工作监督员、人大代表、政协委员、人民群众旁听有关会议等形式，对人力社保工作的决策过程和结果予以公开。</w:t>
      </w:r>
    </w:p>
    <w:p>
      <w:pPr>
        <w:widowControl/>
        <w:shd w:val="clear" w:color="auto" w:fill="FFFFFF"/>
        <w:autoSpaceDN w:val="0"/>
        <w:spacing w:after="240" w:afterLines="0"/>
        <w:ind w:firstLine="480"/>
        <w:rPr>
          <w:rFonts w:hint="eastAsia" w:ascii="方正黑体_GBK" w:hAnsi="宋体" w:eastAsia="方正黑体_GBK" w:cs="宋体"/>
          <w:kern w:val="0"/>
          <w:sz w:val="32"/>
          <w:szCs w:val="32"/>
        </w:rPr>
      </w:pPr>
      <w:r>
        <w:rPr>
          <w:rFonts w:hint="eastAsia" w:ascii="方正黑体_GBK" w:hAnsi="宋体" w:eastAsia="方正黑体_GBK" w:cs="宋体"/>
          <w:bCs/>
          <w:kern w:val="0"/>
          <w:sz w:val="32"/>
          <w:szCs w:val="32"/>
        </w:rPr>
        <w:t>二、主动公开政府信息情况</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113"/>
        <w:gridCol w:w="1875"/>
        <w:gridCol w:w="1271"/>
        <w:gridCol w:w="18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jc w:val="center"/>
        </w:trPr>
        <w:tc>
          <w:tcPr>
            <w:tcW w:w="31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信息内容</w:t>
            </w:r>
          </w:p>
        </w:tc>
        <w:tc>
          <w:tcPr>
            <w:tcW w:w="18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本年新</w:t>
            </w:r>
            <w:r>
              <w:rPr>
                <w:rFonts w:hint="eastAsia" w:ascii="宋体" w:hAnsi="宋体" w:cs="宋体"/>
                <w:kern w:val="0"/>
                <w:sz w:val="20"/>
                <w:szCs w:val="20"/>
              </w:rPr>
              <w:br w:type="textWrapping"/>
            </w:r>
            <w:r>
              <w:rPr>
                <w:rFonts w:hint="eastAsia" w:ascii="宋体" w:hAnsi="宋体" w:cs="宋体"/>
                <w:kern w:val="0"/>
                <w:sz w:val="20"/>
                <w:szCs w:val="20"/>
              </w:rPr>
              <w:t>制作数量</w:t>
            </w:r>
          </w:p>
        </w:tc>
        <w:tc>
          <w:tcPr>
            <w:tcW w:w="127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本年新</w:t>
            </w:r>
            <w:r>
              <w:rPr>
                <w:rFonts w:hint="eastAsia" w:ascii="宋体" w:hAnsi="宋体" w:cs="宋体"/>
                <w:kern w:val="0"/>
                <w:sz w:val="20"/>
                <w:szCs w:val="20"/>
              </w:rPr>
              <w:br w:type="textWrapping"/>
            </w:r>
            <w:r>
              <w:rPr>
                <w:rFonts w:hint="eastAsia" w:ascii="宋体" w:hAnsi="宋体" w:cs="宋体"/>
                <w:kern w:val="0"/>
                <w:sz w:val="20"/>
                <w:szCs w:val="20"/>
              </w:rPr>
              <w:t>公开数量</w:t>
            </w:r>
          </w:p>
        </w:tc>
        <w:tc>
          <w:tcPr>
            <w:tcW w:w="18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宋体" w:hAnsi="宋体" w:cs="宋体"/>
                <w:kern w:val="0"/>
                <w:sz w:val="20"/>
                <w:szCs w:val="20"/>
              </w:rPr>
              <w:t>规章</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127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18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宋体" w:hAnsi="宋体" w:cs="宋体"/>
                <w:kern w:val="0"/>
                <w:sz w:val="20"/>
                <w:szCs w:val="20"/>
              </w:rPr>
              <w:t>规范性文件</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w:t>
            </w:r>
          </w:p>
        </w:tc>
        <w:tc>
          <w:tcPr>
            <w:tcW w:w="127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w:t>
            </w:r>
          </w:p>
        </w:tc>
        <w:tc>
          <w:tcPr>
            <w:tcW w:w="18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信息内容</w:t>
            </w:r>
          </w:p>
        </w:tc>
        <w:tc>
          <w:tcPr>
            <w:tcW w:w="18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上一年项目数量</w:t>
            </w:r>
          </w:p>
        </w:tc>
        <w:tc>
          <w:tcPr>
            <w:tcW w:w="127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本年增/减</w:t>
            </w:r>
          </w:p>
        </w:tc>
        <w:tc>
          <w:tcPr>
            <w:tcW w:w="18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val="0"/>
            <w:vAlign w:val="center"/>
          </w:tcPr>
          <w:p>
            <w:pPr>
              <w:widowControl/>
              <w:autoSpaceDN w:val="0"/>
              <w:jc w:val="left"/>
              <w:rPr>
                <w:rFonts w:hint="eastAsia" w:ascii="宋体" w:hAnsi="宋体" w:cs="宋体"/>
                <w:kern w:val="0"/>
                <w:sz w:val="20"/>
                <w:szCs w:val="20"/>
                <w:highlight w:val="none"/>
              </w:rPr>
            </w:pPr>
            <w:r>
              <w:rPr>
                <w:rFonts w:hint="eastAsia" w:ascii="宋体" w:hAnsi="宋体" w:cs="宋体"/>
                <w:kern w:val="0"/>
                <w:sz w:val="20"/>
                <w:szCs w:val="20"/>
                <w:highlight w:val="none"/>
              </w:rPr>
              <w:t>行政许可</w:t>
            </w:r>
          </w:p>
        </w:tc>
        <w:tc>
          <w:tcPr>
            <w:tcW w:w="1875" w:type="dxa"/>
            <w:tcBorders>
              <w:top w:val="nil"/>
              <w:left w:val="nil"/>
              <w:bottom w:val="single" w:color="auto" w:sz="8" w:space="0"/>
              <w:right w:val="single" w:color="auto" w:sz="8" w:space="0"/>
            </w:tcBorders>
            <w:noWrap w:val="0"/>
            <w:vAlign w:val="center"/>
          </w:tcPr>
          <w:p>
            <w:pPr>
              <w:widowControl/>
              <w:autoSpaceDN w:val="0"/>
              <w:jc w:val="left"/>
              <w:rPr>
                <w:rFonts w:hint="eastAsia" w:ascii="宋体" w:hAnsi="宋体" w:eastAsia="宋体" w:cs="宋体"/>
                <w:kern w:val="0"/>
                <w:sz w:val="20"/>
                <w:szCs w:val="20"/>
                <w:highlight w:val="none"/>
                <w:lang w:val="en-US" w:eastAsia="zh-CN"/>
              </w:rPr>
            </w:pPr>
            <w:r>
              <w:rPr>
                <w:rFonts w:hint="eastAsia" w:ascii="宋体" w:hAnsi="宋体" w:cs="宋体"/>
                <w:kern w:val="0"/>
                <w:sz w:val="20"/>
                <w:szCs w:val="20"/>
                <w:highlight w:val="none"/>
              </w:rPr>
              <w:t>　</w:t>
            </w:r>
            <w:r>
              <w:rPr>
                <w:rFonts w:hint="eastAsia" w:ascii="宋体" w:hAnsi="宋体" w:cs="宋体"/>
                <w:kern w:val="0"/>
                <w:sz w:val="20"/>
                <w:szCs w:val="20"/>
                <w:highlight w:val="none"/>
                <w:lang w:val="en-US" w:eastAsia="zh-CN"/>
              </w:rPr>
              <w:t>4</w:t>
            </w:r>
          </w:p>
        </w:tc>
        <w:tc>
          <w:tcPr>
            <w:tcW w:w="127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18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hint="default" w:ascii="宋体" w:hAnsi="宋体" w:eastAsia="宋体" w:cs="宋体"/>
                <w:kern w:val="0"/>
                <w:sz w:val="24"/>
                <w:lang w:val="en-US" w:eastAsia="zh-CN"/>
              </w:rPr>
            </w:pPr>
            <w:r>
              <w:rPr>
                <w:rFonts w:hint="eastAsia" w:ascii="宋体" w:hAnsi="宋体" w:cs="宋体"/>
                <w:kern w:val="0"/>
                <w:sz w:val="20"/>
                <w:szCs w:val="20"/>
                <w:lang w:val="en-US" w:eastAsia="zh-CN"/>
              </w:rPr>
              <w:t>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val="0"/>
            <w:vAlign w:val="center"/>
          </w:tcPr>
          <w:p>
            <w:pPr>
              <w:widowControl/>
              <w:autoSpaceDN w:val="0"/>
              <w:jc w:val="left"/>
              <w:rPr>
                <w:rFonts w:ascii="宋体" w:hAnsi="宋体" w:cs="宋体"/>
                <w:kern w:val="0"/>
                <w:sz w:val="24"/>
              </w:rPr>
            </w:pPr>
            <w:r>
              <w:rPr>
                <w:rFonts w:hint="eastAsia" w:ascii="宋体" w:hAnsi="宋体" w:cs="宋体"/>
                <w:kern w:val="0"/>
                <w:sz w:val="20"/>
                <w:szCs w:val="20"/>
              </w:rPr>
              <w:t>其他对外管理服务事项</w:t>
            </w:r>
          </w:p>
        </w:tc>
        <w:tc>
          <w:tcPr>
            <w:tcW w:w="1875" w:type="dxa"/>
            <w:tcBorders>
              <w:top w:val="nil"/>
              <w:left w:val="nil"/>
              <w:bottom w:val="single" w:color="auto" w:sz="8" w:space="0"/>
              <w:right w:val="single" w:color="auto" w:sz="8" w:space="0"/>
            </w:tcBorders>
            <w:noWrap w:val="0"/>
            <w:vAlign w:val="center"/>
          </w:tcPr>
          <w:p>
            <w:pPr>
              <w:widowControl/>
              <w:autoSpaceDN w:val="0"/>
              <w:jc w:val="left"/>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127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hint="default"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+149</w:t>
            </w:r>
          </w:p>
        </w:tc>
        <w:tc>
          <w:tcPr>
            <w:tcW w:w="18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hint="default"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2358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信息内容</w:t>
            </w:r>
          </w:p>
        </w:tc>
        <w:tc>
          <w:tcPr>
            <w:tcW w:w="187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上一年项目数量</w:t>
            </w:r>
          </w:p>
        </w:tc>
        <w:tc>
          <w:tcPr>
            <w:tcW w:w="127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本年增/减</w:t>
            </w:r>
          </w:p>
        </w:tc>
        <w:tc>
          <w:tcPr>
            <w:tcW w:w="18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val="0"/>
            <w:vAlign w:val="center"/>
          </w:tcPr>
          <w:p>
            <w:pPr>
              <w:widowControl/>
              <w:autoSpaceDN w:val="0"/>
              <w:jc w:val="left"/>
              <w:rPr>
                <w:rFonts w:ascii="宋体" w:hAnsi="宋体" w:cs="宋体"/>
                <w:kern w:val="0"/>
                <w:sz w:val="24"/>
              </w:rPr>
            </w:pPr>
            <w:r>
              <w:rPr>
                <w:rFonts w:hint="eastAsia" w:ascii="宋体" w:hAnsi="宋体" w:cs="宋体"/>
                <w:kern w:val="0"/>
                <w:sz w:val="20"/>
                <w:szCs w:val="20"/>
              </w:rPr>
              <w:t>行政处罚</w:t>
            </w:r>
          </w:p>
        </w:tc>
        <w:tc>
          <w:tcPr>
            <w:tcW w:w="1875" w:type="dxa"/>
            <w:tcBorders>
              <w:top w:val="nil"/>
              <w:left w:val="nil"/>
              <w:bottom w:val="single" w:color="auto" w:sz="8" w:space="0"/>
              <w:right w:val="single" w:color="auto" w:sz="8" w:space="0"/>
            </w:tcBorders>
            <w:noWrap w:val="0"/>
            <w:vAlign w:val="center"/>
          </w:tcPr>
          <w:p>
            <w:pPr>
              <w:widowControl/>
              <w:autoSpaceDN w:val="0"/>
              <w:jc w:val="left"/>
              <w:rPr>
                <w:rFonts w:hint="default"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22</w:t>
            </w:r>
          </w:p>
        </w:tc>
        <w:tc>
          <w:tcPr>
            <w:tcW w:w="127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hint="default"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18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noWrap w:val="0"/>
            <w:vAlign w:val="center"/>
          </w:tcPr>
          <w:p>
            <w:pPr>
              <w:widowControl/>
              <w:autoSpaceDN w:val="0"/>
              <w:jc w:val="left"/>
              <w:rPr>
                <w:rFonts w:ascii="宋体" w:hAnsi="宋体" w:cs="宋体"/>
                <w:kern w:val="0"/>
                <w:sz w:val="24"/>
              </w:rPr>
            </w:pPr>
            <w:r>
              <w:rPr>
                <w:rFonts w:hint="eastAsia" w:ascii="宋体" w:hAnsi="宋体" w:cs="宋体"/>
                <w:kern w:val="0"/>
                <w:sz w:val="20"/>
                <w:szCs w:val="20"/>
              </w:rPr>
              <w:t>行政强制</w:t>
            </w:r>
          </w:p>
        </w:tc>
        <w:tc>
          <w:tcPr>
            <w:tcW w:w="1875" w:type="dxa"/>
            <w:tcBorders>
              <w:top w:val="nil"/>
              <w:left w:val="nil"/>
              <w:bottom w:val="single" w:color="auto" w:sz="8" w:space="0"/>
              <w:right w:val="single" w:color="auto" w:sz="8" w:space="0"/>
            </w:tcBorders>
            <w:noWrap w:val="0"/>
            <w:vAlign w:val="center"/>
          </w:tcPr>
          <w:p>
            <w:pPr>
              <w:widowControl/>
              <w:autoSpaceDN w:val="0"/>
              <w:jc w:val="left"/>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2</w:t>
            </w:r>
          </w:p>
        </w:tc>
        <w:tc>
          <w:tcPr>
            <w:tcW w:w="127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c>
          <w:tcPr>
            <w:tcW w:w="188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信息内容</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宋体" w:hAnsi="宋体" w:cs="宋体"/>
                <w:kern w:val="0"/>
                <w:sz w:val="20"/>
                <w:szCs w:val="20"/>
              </w:rPr>
              <w:t>上一年项目数量</w:t>
            </w:r>
          </w:p>
        </w:tc>
        <w:tc>
          <w:tcPr>
            <w:tcW w:w="3152" w:type="dxa"/>
            <w:gridSpan w:val="2"/>
            <w:tcBorders>
              <w:top w:val="single" w:color="auto" w:sz="8" w:space="0"/>
              <w:left w:val="nil"/>
              <w:bottom w:val="single" w:color="auto" w:sz="8" w:space="0"/>
              <w:right w:val="single" w:color="000000"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宋体" w:hAnsi="宋体" w:cs="宋体"/>
                <w:kern w:val="0"/>
                <w:sz w:val="20"/>
                <w:szCs w:val="20"/>
              </w:rPr>
              <w:t>行政事业性收费</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3</w:t>
            </w:r>
          </w:p>
        </w:tc>
        <w:tc>
          <w:tcPr>
            <w:tcW w:w="3152" w:type="dxa"/>
            <w:gridSpan w:val="2"/>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autoSpaceDN w:val="0"/>
              <w:jc w:val="center"/>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信息内容</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采购项目数量</w:t>
            </w:r>
          </w:p>
        </w:tc>
        <w:tc>
          <w:tcPr>
            <w:tcW w:w="3152" w:type="dxa"/>
            <w:gridSpan w:val="2"/>
            <w:tcBorders>
              <w:top w:val="single" w:color="auto" w:sz="8" w:space="0"/>
              <w:left w:val="nil"/>
              <w:bottom w:val="single" w:color="auto" w:sz="8" w:space="0"/>
              <w:right w:val="single" w:color="000000"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宋体" w:hAnsi="宋体" w:cs="宋体"/>
                <w:kern w:val="0"/>
                <w:sz w:val="20"/>
                <w:szCs w:val="20"/>
              </w:rPr>
              <w:t>政府集中采购</w:t>
            </w:r>
          </w:p>
        </w:tc>
        <w:tc>
          <w:tcPr>
            <w:tcW w:w="187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hint="eastAsia" w:ascii="宋体" w:hAnsi="宋体" w:eastAsia="宋体" w:cs="宋体"/>
                <w:kern w:val="0"/>
                <w:sz w:val="24"/>
                <w:lang w:val="en-US" w:eastAsia="zh-CN"/>
              </w:rPr>
            </w:pPr>
            <w:r>
              <w:rPr>
                <w:rFonts w:hint="eastAsia" w:ascii="宋体" w:hAnsi="宋体" w:cs="宋体"/>
                <w:kern w:val="0"/>
                <w:sz w:val="20"/>
                <w:szCs w:val="20"/>
              </w:rPr>
              <w:t>　</w:t>
            </w:r>
            <w:r>
              <w:rPr>
                <w:rFonts w:hint="eastAsia" w:ascii="宋体" w:hAnsi="宋体" w:cs="宋体"/>
                <w:kern w:val="0"/>
                <w:sz w:val="20"/>
                <w:szCs w:val="20"/>
                <w:lang w:val="en-US" w:eastAsia="zh-CN"/>
              </w:rPr>
              <w:t>1</w:t>
            </w:r>
          </w:p>
        </w:tc>
        <w:tc>
          <w:tcPr>
            <w:tcW w:w="3152" w:type="dxa"/>
            <w:gridSpan w:val="2"/>
            <w:tcBorders>
              <w:top w:val="nil"/>
              <w:left w:val="nil"/>
              <w:bottom w:val="single" w:color="auto" w:sz="8" w:space="0"/>
              <w:right w:val="single" w:color="000000" w:sz="8" w:space="0"/>
            </w:tcBorders>
            <w:noWrap w:val="0"/>
            <w:tcMar>
              <w:top w:w="0" w:type="dxa"/>
              <w:left w:w="108" w:type="dxa"/>
              <w:bottom w:w="0" w:type="dxa"/>
              <w:right w:w="108" w:type="dxa"/>
            </w:tcMar>
            <w:vAlign w:val="center"/>
          </w:tcPr>
          <w:p>
            <w:pPr>
              <w:widowControl/>
              <w:autoSpaceDN w:val="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862464元</w:t>
            </w:r>
          </w:p>
        </w:tc>
      </w:tr>
    </w:tbl>
    <w:p>
      <w:pPr>
        <w:widowControl/>
        <w:shd w:val="clear" w:color="auto" w:fill="FFFFFF"/>
        <w:autoSpaceDN w:val="0"/>
        <w:spacing w:after="240" w:afterLines="0"/>
        <w:ind w:firstLine="480"/>
        <w:rPr>
          <w:rFonts w:hint="eastAsia" w:ascii="方正黑体_GBK" w:hAnsi="宋体" w:eastAsia="方正黑体_GBK" w:cs="宋体"/>
          <w:kern w:val="0"/>
          <w:sz w:val="32"/>
          <w:szCs w:val="32"/>
        </w:rPr>
      </w:pPr>
      <w:r>
        <w:rPr>
          <w:rFonts w:hint="eastAsia" w:ascii="方正黑体_GBK" w:hAnsi="宋体" w:eastAsia="方正黑体_GBK" w:cs="宋体"/>
          <w:bCs/>
          <w:kern w:val="0"/>
          <w:sz w:val="32"/>
          <w:szCs w:val="32"/>
        </w:rPr>
        <w:t>三、收到和处理政府信息公开申请情况</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9"/>
        <w:gridCol w:w="865"/>
        <w:gridCol w:w="2152"/>
        <w:gridCol w:w="834"/>
        <w:gridCol w:w="774"/>
        <w:gridCol w:w="774"/>
        <w:gridCol w:w="834"/>
        <w:gridCol w:w="1001"/>
        <w:gridCol w:w="729"/>
        <w:gridCol w:w="7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1" w:hRule="atLeast"/>
          <w:jc w:val="center"/>
        </w:trPr>
        <w:tc>
          <w:tcPr>
            <w:tcW w:w="3516" w:type="dxa"/>
            <w:gridSpan w:val="3"/>
            <w:vMerge w:val="restart"/>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p>
        </w:tc>
        <w:tc>
          <w:tcPr>
            <w:tcW w:w="5655" w:type="dxa"/>
            <w:gridSpan w:val="7"/>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3" w:hRule="atLeast"/>
          <w:jc w:val="center"/>
        </w:trPr>
        <w:tc>
          <w:tcPr>
            <w:tcW w:w="3516"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3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自然人</w:t>
            </w:r>
          </w:p>
        </w:tc>
        <w:tc>
          <w:tcPr>
            <w:tcW w:w="4112"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法人或其他组织</w:t>
            </w:r>
          </w:p>
        </w:tc>
        <w:tc>
          <w:tcPr>
            <w:tcW w:w="709"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143" w:hRule="atLeast"/>
          <w:jc w:val="center"/>
        </w:trPr>
        <w:tc>
          <w:tcPr>
            <w:tcW w:w="3516" w:type="dxa"/>
            <w:gridSpan w:val="3"/>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34"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商业企业</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科研机构</w:t>
            </w:r>
          </w:p>
        </w:tc>
        <w:tc>
          <w:tcPr>
            <w:tcW w:w="834"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社会公益组织</w:t>
            </w:r>
          </w:p>
        </w:tc>
        <w:tc>
          <w:tcPr>
            <w:tcW w:w="1001"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法律服务机构</w:t>
            </w:r>
          </w:p>
        </w:tc>
        <w:tc>
          <w:tcPr>
            <w:tcW w:w="72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其他</w:t>
            </w:r>
          </w:p>
        </w:tc>
        <w:tc>
          <w:tcPr>
            <w:tcW w:w="709"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6" w:hRule="atLeast"/>
          <w:jc w:val="center"/>
        </w:trPr>
        <w:tc>
          <w:tcPr>
            <w:tcW w:w="3516" w:type="dxa"/>
            <w:gridSpan w:val="3"/>
            <w:tcBorders>
              <w:top w:val="nil"/>
              <w:left w:val="single" w:color="auto" w:sz="8" w:space="0"/>
              <w:bottom w:val="single" w:color="auto" w:sz="8" w:space="0"/>
              <w:right w:val="single" w:color="auto" w:sz="8" w:space="0"/>
            </w:tcBorders>
            <w:noWrap w:val="0"/>
            <w:vAlign w:val="center"/>
          </w:tcPr>
          <w:p>
            <w:pPr>
              <w:widowControl/>
              <w:autoSpaceDN w:val="0"/>
              <w:jc w:val="left"/>
              <w:rPr>
                <w:rFonts w:ascii="宋体" w:hAnsi="宋体" w:cs="宋体"/>
                <w:kern w:val="0"/>
                <w:sz w:val="24"/>
              </w:rPr>
            </w:pPr>
            <w:r>
              <w:rPr>
                <w:rFonts w:hint="eastAsia" w:ascii="宋体" w:hAnsi="宋体" w:cs="宋体"/>
                <w:kern w:val="0"/>
                <w:sz w:val="20"/>
                <w:szCs w:val="20"/>
              </w:rPr>
              <w:t>一、本年新收政府信息公开申请数量</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default"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jc w:val="center"/>
        </w:trPr>
        <w:tc>
          <w:tcPr>
            <w:tcW w:w="3516" w:type="dxa"/>
            <w:gridSpan w:val="3"/>
            <w:tcBorders>
              <w:top w:val="nil"/>
              <w:left w:val="single" w:color="auto" w:sz="8" w:space="0"/>
              <w:bottom w:val="single" w:color="auto" w:sz="8" w:space="0"/>
              <w:right w:val="single" w:color="auto" w:sz="8" w:space="0"/>
            </w:tcBorders>
            <w:noWrap w:val="0"/>
            <w:vAlign w:val="center"/>
          </w:tcPr>
          <w:p>
            <w:pPr>
              <w:widowControl/>
              <w:autoSpaceDN w:val="0"/>
              <w:jc w:val="left"/>
              <w:rPr>
                <w:rFonts w:ascii="宋体" w:hAnsi="宋体" w:cs="宋体"/>
                <w:kern w:val="0"/>
                <w:sz w:val="24"/>
              </w:rPr>
            </w:pPr>
            <w:r>
              <w:rPr>
                <w:rFonts w:hint="eastAsia" w:ascii="宋体" w:hAnsi="宋体" w:cs="宋体"/>
                <w:kern w:val="0"/>
                <w:sz w:val="20"/>
                <w:szCs w:val="20"/>
              </w:rPr>
              <w:t>二、上年结转政府信息公开申请数量</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56" w:hRule="atLeast"/>
          <w:jc w:val="center"/>
        </w:trPr>
        <w:tc>
          <w:tcPr>
            <w:tcW w:w="499" w:type="dxa"/>
            <w:vMerge w:val="restart"/>
            <w:tcBorders>
              <w:top w:val="nil"/>
              <w:left w:val="single" w:color="auto" w:sz="8" w:space="0"/>
              <w:bottom w:val="single" w:color="auto" w:sz="8" w:space="0"/>
              <w:right w:val="single" w:color="auto" w:sz="8" w:space="0"/>
            </w:tcBorders>
            <w:noWrap w:val="0"/>
            <w:vAlign w:val="center"/>
          </w:tcPr>
          <w:p>
            <w:pPr>
              <w:widowControl/>
              <w:autoSpaceDN w:val="0"/>
              <w:jc w:val="center"/>
              <w:rPr>
                <w:rFonts w:ascii="宋体" w:hAnsi="宋体" w:cs="宋体"/>
                <w:kern w:val="0"/>
                <w:sz w:val="24"/>
              </w:rPr>
            </w:pPr>
            <w:r>
              <w:rPr>
                <w:rFonts w:hint="eastAsia" w:ascii="宋体" w:hAnsi="宋体" w:cs="宋体"/>
                <w:kern w:val="0"/>
                <w:sz w:val="20"/>
                <w:szCs w:val="20"/>
              </w:rPr>
              <w:t>三、本年度办理结果</w:t>
            </w:r>
          </w:p>
        </w:tc>
        <w:tc>
          <w:tcPr>
            <w:tcW w:w="3017" w:type="dxa"/>
            <w:gridSpan w:val="2"/>
            <w:tcBorders>
              <w:top w:val="nil"/>
              <w:left w:val="nil"/>
              <w:bottom w:val="single" w:color="auto" w:sz="8" w:space="0"/>
              <w:right w:val="single" w:color="auto" w:sz="8" w:space="0"/>
            </w:tcBorders>
            <w:noWrap w:val="0"/>
            <w:vAlign w:val="center"/>
          </w:tcPr>
          <w:p>
            <w:pPr>
              <w:widowControl/>
              <w:autoSpaceDN w:val="0"/>
              <w:jc w:val="left"/>
              <w:rPr>
                <w:rFonts w:ascii="宋体" w:hAnsi="宋体" w:cs="宋体"/>
                <w:kern w:val="0"/>
                <w:sz w:val="24"/>
              </w:rPr>
            </w:pPr>
            <w:r>
              <w:rPr>
                <w:rFonts w:hint="eastAsia" w:ascii="楷体" w:eastAsia="楷体" w:cs="宋体"/>
                <w:kern w:val="0"/>
                <w:sz w:val="20"/>
                <w:szCs w:val="20"/>
              </w:rPr>
              <w:t>（一）予以公开</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3017" w:type="dxa"/>
            <w:gridSpan w:val="2"/>
            <w:tcBorders>
              <w:top w:val="nil"/>
              <w:left w:val="nil"/>
              <w:bottom w:val="single" w:color="auto" w:sz="8" w:space="0"/>
              <w:right w:val="single" w:color="auto" w:sz="8" w:space="0"/>
            </w:tcBorders>
            <w:noWrap w:val="0"/>
            <w:vAlign w:val="center"/>
          </w:tcPr>
          <w:p>
            <w:pPr>
              <w:widowControl/>
              <w:autoSpaceDN w:val="0"/>
              <w:jc w:val="left"/>
              <w:rPr>
                <w:rFonts w:ascii="宋体" w:hAnsi="宋体" w:cs="宋体"/>
                <w:kern w:val="0"/>
                <w:sz w:val="24"/>
              </w:rPr>
            </w:pPr>
            <w:r>
              <w:rPr>
                <w:rFonts w:hint="eastAsia" w:ascii="楷体" w:eastAsia="楷体" w:cs="宋体"/>
                <w:kern w:val="0"/>
                <w:sz w:val="20"/>
                <w:szCs w:val="20"/>
              </w:rPr>
              <w:t>（二）部分公开</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65"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（三）不予公开</w:t>
            </w:r>
          </w:p>
        </w:tc>
        <w:tc>
          <w:tcPr>
            <w:tcW w:w="21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1.属于国家秘密</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27"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65"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2.其他法律行政法规禁止公开</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65"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3.危及“三安全一稳定”</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65"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4.保护第三方合法权益</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27"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65"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5.属于三类内部事务信息</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65"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6.属于四类过程性信息</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65"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7.属于行政执法案卷</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1"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65"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8.属于行政查询事项</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65"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（四）无法提供</w:t>
            </w:r>
          </w:p>
        </w:tc>
        <w:tc>
          <w:tcPr>
            <w:tcW w:w="21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1.本机关不掌握相关政府信息</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27"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65"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2.没有现成信息需要另行制作</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65"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3.补正后申请内容仍不明确</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65"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（五）不予处理</w:t>
            </w:r>
          </w:p>
        </w:tc>
        <w:tc>
          <w:tcPr>
            <w:tcW w:w="21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1.信访举报投诉类申请</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71"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65"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2.重复申请</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65"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3.要求提供公开出版物</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539"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65"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4.无正当理由大量反复申请</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784"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865"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2152"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left"/>
              <w:rPr>
                <w:rFonts w:ascii="宋体" w:hAnsi="宋体" w:cs="宋体"/>
                <w:kern w:val="0"/>
                <w:sz w:val="24"/>
              </w:rPr>
            </w:pPr>
            <w:r>
              <w:rPr>
                <w:rFonts w:hint="eastAsia" w:ascii="楷体" w:eastAsia="楷体" w:cs="宋体"/>
                <w:kern w:val="0"/>
                <w:sz w:val="20"/>
                <w:szCs w:val="20"/>
              </w:rPr>
              <w:t>5.要求行政机关确认或重新出具已获取信息</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3017" w:type="dxa"/>
            <w:gridSpan w:val="2"/>
            <w:tcBorders>
              <w:top w:val="nil"/>
              <w:left w:val="nil"/>
              <w:bottom w:val="single" w:color="auto" w:sz="8" w:space="0"/>
              <w:right w:val="single" w:color="auto" w:sz="8" w:space="0"/>
            </w:tcBorders>
            <w:noWrap w:val="0"/>
            <w:vAlign w:val="center"/>
          </w:tcPr>
          <w:p>
            <w:pPr>
              <w:widowControl/>
              <w:autoSpaceDN w:val="0"/>
              <w:jc w:val="left"/>
              <w:rPr>
                <w:rFonts w:ascii="宋体" w:hAnsi="宋体" w:cs="宋体"/>
                <w:kern w:val="0"/>
                <w:sz w:val="24"/>
              </w:rPr>
            </w:pPr>
            <w:r>
              <w:rPr>
                <w:rFonts w:hint="eastAsia" w:ascii="楷体" w:eastAsia="楷体" w:cs="宋体"/>
                <w:kern w:val="0"/>
                <w:sz w:val="20"/>
                <w:szCs w:val="20"/>
              </w:rPr>
              <w:t>（六）其他处理</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283" w:hRule="atLeast"/>
          <w:jc w:val="center"/>
        </w:trPr>
        <w:tc>
          <w:tcPr>
            <w:tcW w:w="499"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3017" w:type="dxa"/>
            <w:gridSpan w:val="2"/>
            <w:tcBorders>
              <w:top w:val="nil"/>
              <w:left w:val="nil"/>
              <w:bottom w:val="single" w:color="auto" w:sz="8" w:space="0"/>
              <w:right w:val="single" w:color="auto" w:sz="8" w:space="0"/>
            </w:tcBorders>
            <w:noWrap w:val="0"/>
            <w:vAlign w:val="center"/>
          </w:tcPr>
          <w:p>
            <w:pPr>
              <w:widowControl/>
              <w:autoSpaceDN w:val="0"/>
              <w:jc w:val="left"/>
              <w:rPr>
                <w:rFonts w:ascii="宋体" w:hAnsi="宋体" w:cs="宋体"/>
                <w:kern w:val="0"/>
                <w:sz w:val="24"/>
              </w:rPr>
            </w:pPr>
            <w:r>
              <w:rPr>
                <w:rFonts w:hint="eastAsia" w:ascii="楷体" w:eastAsia="楷体" w:cs="宋体"/>
                <w:kern w:val="0"/>
                <w:sz w:val="20"/>
                <w:szCs w:val="20"/>
              </w:rPr>
              <w:t>（七）总计</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jc w:val="center"/>
        </w:trPr>
        <w:tc>
          <w:tcPr>
            <w:tcW w:w="3516" w:type="dxa"/>
            <w:gridSpan w:val="3"/>
            <w:tcBorders>
              <w:top w:val="nil"/>
              <w:left w:val="single" w:color="auto" w:sz="8" w:space="0"/>
              <w:bottom w:val="single" w:color="auto" w:sz="8" w:space="0"/>
              <w:right w:val="single" w:color="auto" w:sz="8" w:space="0"/>
            </w:tcBorders>
            <w:noWrap w:val="0"/>
            <w:vAlign w:val="center"/>
          </w:tcPr>
          <w:p>
            <w:pPr>
              <w:widowControl/>
              <w:autoSpaceDN w:val="0"/>
              <w:jc w:val="left"/>
              <w:rPr>
                <w:rFonts w:ascii="宋体" w:hAnsi="宋体" w:cs="宋体"/>
                <w:kern w:val="0"/>
                <w:sz w:val="24"/>
              </w:rPr>
            </w:pPr>
            <w:r>
              <w:rPr>
                <w:rFonts w:hint="eastAsia" w:ascii="宋体" w:hAnsi="宋体" w:cs="宋体"/>
                <w:kern w:val="0"/>
                <w:sz w:val="20"/>
                <w:szCs w:val="20"/>
              </w:rPr>
              <w:t>四、结转下年度继续办理</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7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83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1001"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2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709"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r>
    </w:tbl>
    <w:p>
      <w:pPr>
        <w:widowControl/>
        <w:shd w:val="clear" w:color="auto" w:fill="FFFFFF"/>
        <w:autoSpaceDN w:val="0"/>
        <w:ind w:firstLine="480"/>
        <w:rPr>
          <w:rFonts w:hint="eastAsia" w:ascii="方正黑体_GBK" w:hAnsi="宋体" w:eastAsia="方正黑体_GBK" w:cs="宋体"/>
          <w:bCs/>
          <w:kern w:val="0"/>
          <w:sz w:val="32"/>
          <w:szCs w:val="32"/>
        </w:rPr>
      </w:pPr>
    </w:p>
    <w:p>
      <w:pPr>
        <w:widowControl/>
        <w:shd w:val="clear" w:color="auto" w:fill="FFFFFF"/>
        <w:autoSpaceDN w:val="0"/>
        <w:ind w:firstLine="320" w:firstLineChars="100"/>
        <w:rPr>
          <w:rFonts w:hint="eastAsia" w:ascii="方正黑体_GBK" w:hAnsi="宋体" w:eastAsia="方正黑体_GBK" w:cs="宋体"/>
          <w:kern w:val="0"/>
          <w:sz w:val="32"/>
          <w:szCs w:val="32"/>
        </w:rPr>
      </w:pPr>
      <w:r>
        <w:rPr>
          <w:rFonts w:hint="eastAsia" w:ascii="方正黑体_GBK" w:hAnsi="宋体" w:eastAsia="方正黑体_GBK" w:cs="宋体"/>
          <w:bCs/>
          <w:kern w:val="0"/>
          <w:sz w:val="32"/>
          <w:szCs w:val="32"/>
        </w:rPr>
        <w:t>四、政府信息公开行政复议、行政诉讼情况</w:t>
      </w:r>
    </w:p>
    <w:p>
      <w:pPr>
        <w:widowControl/>
        <w:shd w:val="clear" w:color="auto" w:fill="FFFFFF"/>
        <w:autoSpaceDN w:val="0"/>
        <w:ind w:firstLine="480"/>
        <w:rPr>
          <w:rFonts w:hint="eastAsia" w:ascii="宋体" w:hAnsi="宋体" w:cs="宋体"/>
          <w:kern w:val="0"/>
          <w:sz w:val="24"/>
        </w:rPr>
      </w:pP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604" w:type="dxa"/>
            <w:vMerge w:val="restart"/>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结果维持</w:t>
            </w:r>
          </w:p>
        </w:tc>
        <w:tc>
          <w:tcPr>
            <w:tcW w:w="604" w:type="dxa"/>
            <w:vMerge w:val="restart"/>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jc w:val="center"/>
        </w:trPr>
        <w:tc>
          <w:tcPr>
            <w:tcW w:w="604" w:type="dxa"/>
            <w:vMerge w:val="continue"/>
            <w:tcBorders>
              <w:top w:val="nil"/>
              <w:left w:val="single" w:color="auto" w:sz="8" w:space="0"/>
              <w:bottom w:val="single" w:color="auto" w:sz="8" w:space="0"/>
              <w:right w:val="single" w:color="auto" w:sz="8" w:space="0"/>
            </w:tcBorders>
            <w:noWrap w:val="0"/>
            <w:vAlign w:val="center"/>
          </w:tcPr>
          <w:p>
            <w:pPr>
              <w:widowControl/>
              <w:jc w:val="left"/>
              <w:rPr>
                <w:rFonts w:ascii="宋体" w:hAnsi="宋体" w:cs="宋体"/>
                <w:kern w:val="0"/>
                <w:sz w:val="24"/>
              </w:rPr>
            </w:pPr>
          </w:p>
        </w:tc>
        <w:tc>
          <w:tcPr>
            <w:tcW w:w="604" w:type="dxa"/>
            <w:vMerge w:val="continue"/>
            <w:tcBorders>
              <w:top w:val="nil"/>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604"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604"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658" w:type="dxa"/>
            <w:vMerge w:val="continue"/>
            <w:tcBorders>
              <w:top w:val="single" w:color="auto" w:sz="8" w:space="0"/>
              <w:left w:val="nil"/>
              <w:bottom w:val="single" w:color="auto" w:sz="8" w:space="0"/>
              <w:right w:val="single" w:color="auto" w:sz="8" w:space="0"/>
            </w:tcBorders>
            <w:noWrap w:val="0"/>
            <w:vAlign w:val="center"/>
          </w:tcPr>
          <w:p>
            <w:pPr>
              <w:widowControl/>
              <w:jc w:val="left"/>
              <w:rPr>
                <w:rFonts w:ascii="宋体" w:hAnsi="宋体" w:cs="宋体"/>
                <w:kern w:val="0"/>
                <w:sz w:val="24"/>
              </w:rPr>
            </w:pP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其他结果</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尚未审结</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总计</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结果维持</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结果纠正</w:t>
            </w:r>
          </w:p>
        </w:tc>
        <w:tc>
          <w:tcPr>
            <w:tcW w:w="60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其他结果</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尚未审结</w:t>
            </w:r>
          </w:p>
        </w:tc>
        <w:tc>
          <w:tcPr>
            <w:tcW w:w="60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ascii="宋体" w:hAnsi="宋体" w:cs="宋体"/>
                <w:kern w:val="0"/>
                <w:sz w:val="24"/>
              </w:rPr>
            </w:pPr>
            <w:r>
              <w:rPr>
                <w:rFonts w:hint="eastAsia" w:ascii="宋体" w:hAnsi="宋体" w:cs="宋体"/>
                <w:kern w:val="0"/>
                <w:sz w:val="20"/>
                <w:szCs w:val="20"/>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0 </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604"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658"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55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605"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cs="宋体"/>
                <w:kern w:val="0"/>
                <w:sz w:val="24"/>
                <w:lang w:val="en-US" w:eastAsia="zh-CN"/>
              </w:rPr>
            </w:pPr>
            <w:r>
              <w:rPr>
                <w:rFonts w:hint="eastAsia" w:ascii="宋体" w:hAnsi="宋体" w:cs="宋体"/>
                <w:kern w:val="0"/>
                <w:sz w:val="24"/>
                <w:lang w:val="en-US" w:eastAsia="zh-CN"/>
              </w:rPr>
              <w:t>0</w:t>
            </w:r>
          </w:p>
        </w:tc>
        <w:tc>
          <w:tcPr>
            <w:tcW w:w="606"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pPr>
              <w:widowControl/>
              <w:autoSpaceDN w:val="0"/>
              <w:jc w:val="center"/>
              <w:rPr>
                <w:rFonts w:hint="eastAsia" w:ascii="宋体" w:hAnsi="宋体" w:eastAsia="宋体" w:cs="宋体"/>
                <w:kern w:val="0"/>
                <w:sz w:val="24"/>
                <w:lang w:val="en-US" w:eastAsia="zh-CN"/>
              </w:rPr>
            </w:pPr>
            <w:r>
              <w:rPr>
                <w:rFonts w:hint="eastAsia" w:ascii="宋体" w:hAnsi="宋体" w:cs="宋体"/>
                <w:kern w:val="0"/>
                <w:sz w:val="24"/>
                <w:lang w:val="en-US" w:eastAsia="zh-CN"/>
              </w:rPr>
              <w:t>0</w:t>
            </w:r>
          </w:p>
        </w:tc>
      </w:tr>
    </w:tbl>
    <w:p>
      <w:pPr>
        <w:widowControl/>
        <w:shd w:val="clear" w:color="auto" w:fill="FFFFFF"/>
        <w:autoSpaceDN w:val="0"/>
        <w:jc w:val="both"/>
        <w:rPr>
          <w:rFonts w:hint="eastAsia" w:ascii="宋体" w:hAnsi="宋体" w:cs="宋体"/>
          <w:kern w:val="0"/>
          <w:sz w:val="24"/>
        </w:rPr>
      </w:pPr>
    </w:p>
    <w:p>
      <w:pPr>
        <w:widowControl/>
        <w:numPr>
          <w:ilvl w:val="0"/>
          <w:numId w:val="1"/>
        </w:numPr>
        <w:shd w:val="clear" w:color="auto" w:fill="FFFFFF"/>
        <w:autoSpaceDN w:val="0"/>
        <w:ind w:firstLine="480"/>
        <w:rPr>
          <w:rFonts w:hint="eastAsia" w:ascii="方正黑体_GBK" w:hAnsi="宋体" w:eastAsia="方正黑体_GBK" w:cs="宋体"/>
          <w:bCs/>
          <w:kern w:val="0"/>
          <w:sz w:val="32"/>
          <w:szCs w:val="32"/>
        </w:rPr>
      </w:pPr>
      <w:r>
        <w:rPr>
          <w:rFonts w:hint="eastAsia" w:ascii="方正黑体_GBK" w:hAnsi="宋体" w:eastAsia="方正黑体_GBK" w:cs="宋体"/>
          <w:bCs/>
          <w:kern w:val="0"/>
          <w:sz w:val="32"/>
          <w:szCs w:val="32"/>
        </w:rPr>
        <w:t>存在的主要问题及改进情况</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（一）工作中存在的主要问题和困难 </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2019年</w:t>
      </w:r>
      <w:r>
        <w:rPr>
          <w:rFonts w:hint="eastAsia" w:ascii="方正仿宋_GBK" w:hAnsi="方正仿宋_GBK" w:eastAsia="方正仿宋_GBK" w:cs="方正仿宋_GBK"/>
          <w:sz w:val="32"/>
          <w:szCs w:val="32"/>
        </w:rPr>
        <w:t>我</w:t>
      </w:r>
      <w:r>
        <w:rPr>
          <w:rFonts w:hint="eastAsia" w:ascii="方正仿宋_GBK" w:hAnsi="方正仿宋_GBK" w:eastAsia="方正仿宋_GBK" w:cs="方正仿宋_GBK"/>
          <w:sz w:val="32"/>
          <w:szCs w:val="32"/>
          <w:lang w:val="en-US" w:eastAsia="zh-CN"/>
        </w:rPr>
        <w:t>局</w:t>
      </w:r>
      <w:r>
        <w:rPr>
          <w:rFonts w:hint="eastAsia" w:ascii="方正仿宋_GBK" w:hAnsi="方正仿宋_GBK" w:eastAsia="方正仿宋_GBK" w:cs="方正仿宋_GBK"/>
          <w:sz w:val="32"/>
          <w:szCs w:val="32"/>
        </w:rPr>
        <w:t>政府信息公开工作</w:t>
      </w:r>
      <w:r>
        <w:rPr>
          <w:rFonts w:hint="eastAsia" w:ascii="方正仿宋_GBK" w:hAnsi="方正仿宋_GBK" w:eastAsia="方正仿宋_GBK" w:cs="方正仿宋_GBK"/>
          <w:sz w:val="32"/>
          <w:szCs w:val="32"/>
          <w:lang w:eastAsia="zh-CN"/>
        </w:rPr>
        <w:t>虽然</w:t>
      </w:r>
      <w:r>
        <w:rPr>
          <w:rFonts w:hint="eastAsia" w:ascii="方正仿宋_GBK" w:hAnsi="方正仿宋_GBK" w:eastAsia="方正仿宋_GBK" w:cs="方正仿宋_GBK"/>
          <w:sz w:val="32"/>
          <w:szCs w:val="32"/>
        </w:rPr>
        <w:t>取得了一定成效，</w:t>
      </w:r>
      <w:r>
        <w:rPr>
          <w:rFonts w:hint="eastAsia" w:ascii="方正仿宋_GBK" w:hAnsi="方正仿宋_GBK" w:eastAsia="方正仿宋_GBK" w:cs="方正仿宋_GBK"/>
          <w:sz w:val="32"/>
          <w:szCs w:val="32"/>
          <w:lang w:eastAsia="zh-CN"/>
        </w:rPr>
        <w:t>但距离</w:t>
      </w:r>
      <w:r>
        <w:rPr>
          <w:rFonts w:hint="eastAsia" w:ascii="方正仿宋_GBK" w:hAnsi="方正仿宋_GBK" w:eastAsia="方正仿宋_GBK" w:cs="方正仿宋_GBK"/>
          <w:sz w:val="32"/>
          <w:szCs w:val="32"/>
        </w:rPr>
        <w:t>上级的要求和公众的期望</w:t>
      </w:r>
      <w:r>
        <w:rPr>
          <w:rFonts w:hint="eastAsia" w:ascii="方正仿宋_GBK" w:hAnsi="方正仿宋_GBK" w:eastAsia="方正仿宋_GBK" w:cs="方正仿宋_GBK"/>
          <w:sz w:val="32"/>
          <w:szCs w:val="32"/>
          <w:lang w:eastAsia="zh-CN"/>
        </w:rPr>
        <w:t>仍存在一定差距</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主要表现在</w:t>
      </w:r>
      <w:r>
        <w:rPr>
          <w:rFonts w:hint="eastAsia" w:ascii="方正仿宋_GBK" w:hAnsi="方正仿宋_GBK" w:eastAsia="方正仿宋_GBK" w:cs="方正仿宋_GBK"/>
          <w:sz w:val="32"/>
          <w:szCs w:val="32"/>
        </w:rPr>
        <w:t>：一是工作基础需进一步夯实</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目前，全</w:t>
      </w:r>
      <w:r>
        <w:rPr>
          <w:rFonts w:hint="eastAsia" w:ascii="方正仿宋_GBK" w:hAnsi="方正仿宋_GBK" w:eastAsia="方正仿宋_GBK" w:cs="方正仿宋_GBK"/>
          <w:sz w:val="32"/>
          <w:szCs w:val="32"/>
          <w:lang w:val="en-US" w:eastAsia="zh-CN"/>
        </w:rPr>
        <w:t>局</w:t>
      </w:r>
      <w:r>
        <w:rPr>
          <w:rFonts w:hint="eastAsia" w:ascii="方正仿宋_GBK" w:hAnsi="方正仿宋_GBK" w:eastAsia="方正仿宋_GBK" w:cs="方正仿宋_GBK"/>
          <w:sz w:val="32"/>
          <w:szCs w:val="32"/>
        </w:rPr>
        <w:t>专职从事政务公开工作的人员</w:t>
      </w:r>
      <w:r>
        <w:rPr>
          <w:rFonts w:hint="eastAsia" w:ascii="方正仿宋_GBK" w:hAnsi="方正仿宋_GBK" w:eastAsia="方正仿宋_GBK" w:cs="方正仿宋_GBK"/>
          <w:sz w:val="32"/>
          <w:szCs w:val="32"/>
          <w:lang w:val="en-US" w:eastAsia="zh-CN"/>
        </w:rPr>
        <w:t>较少</w:t>
      </w:r>
      <w:r>
        <w:rPr>
          <w:rFonts w:hint="eastAsia" w:ascii="方正仿宋_GBK" w:hAnsi="方正仿宋_GBK" w:eastAsia="方正仿宋_GBK" w:cs="方正仿宋_GBK"/>
          <w:sz w:val="32"/>
          <w:szCs w:val="32"/>
        </w:rPr>
        <w:t>，且人员经常变动，</w:t>
      </w:r>
      <w:r>
        <w:rPr>
          <w:rFonts w:hint="eastAsia" w:ascii="方正仿宋_GBK" w:hAnsi="方正仿宋_GBK" w:eastAsia="方正仿宋_GBK" w:cs="方正仿宋_GBK"/>
          <w:sz w:val="32"/>
          <w:szCs w:val="32"/>
          <w:lang w:eastAsia="zh-CN"/>
        </w:rPr>
        <w:t>不利于政府信息工作常态化有效运行</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二</w:t>
      </w:r>
      <w:r>
        <w:rPr>
          <w:rFonts w:hint="eastAsia" w:ascii="方正仿宋_GBK" w:hAnsi="方正仿宋_GBK" w:eastAsia="方正仿宋_GBK" w:cs="方正仿宋_GBK"/>
          <w:sz w:val="32"/>
          <w:szCs w:val="32"/>
        </w:rPr>
        <w:t>是公开内容</w:t>
      </w:r>
      <w:r>
        <w:rPr>
          <w:rFonts w:hint="eastAsia" w:ascii="方正仿宋_GBK" w:hAnsi="方正仿宋_GBK" w:eastAsia="方正仿宋_GBK" w:cs="方正仿宋_GBK"/>
          <w:sz w:val="32"/>
          <w:szCs w:val="32"/>
          <w:lang w:eastAsia="zh-CN"/>
        </w:rPr>
        <w:t>较单一，主要以公开政策性文件为主</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互动性信息公开较少</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是长效工作机制需进一步健全完善，工作考核和监督评议等工作仍需加强</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内容还需进一步规范，信息公开的载体和形式还需要进一步丰富。</w:t>
      </w:r>
    </w:p>
    <w:p>
      <w:pP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（二）具体的解决办法和改进措施 </w:t>
      </w:r>
    </w:p>
    <w:p>
      <w:pPr>
        <w:ind w:firstLine="64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一是</w:t>
      </w:r>
      <w:r>
        <w:rPr>
          <w:rFonts w:hint="eastAsia" w:ascii="方正仿宋_GBK" w:hAnsi="方正仿宋_GBK" w:eastAsia="方正仿宋_GBK" w:cs="方正仿宋_GBK"/>
          <w:sz w:val="32"/>
          <w:szCs w:val="32"/>
          <w:lang w:eastAsia="zh-CN"/>
        </w:rPr>
        <w:t>加强组织领导，</w:t>
      </w:r>
      <w:r>
        <w:rPr>
          <w:rFonts w:hint="eastAsia" w:ascii="方正仿宋_GBK" w:hAnsi="方正仿宋_GBK" w:eastAsia="方正仿宋_GBK" w:cs="方正仿宋_GBK"/>
          <w:sz w:val="32"/>
          <w:szCs w:val="32"/>
        </w:rPr>
        <w:t>进一步深化重点领域信息公开</w:t>
      </w:r>
      <w:r>
        <w:rPr>
          <w:rFonts w:hint="eastAsia" w:ascii="方正仿宋_GBK" w:hAnsi="方正仿宋_GBK" w:eastAsia="方正仿宋_GBK" w:cs="方正仿宋_GBK"/>
          <w:sz w:val="32"/>
          <w:szCs w:val="32"/>
          <w:lang w:eastAsia="zh-CN"/>
        </w:rPr>
        <w:t>。一是</w:t>
      </w:r>
      <w:r>
        <w:rPr>
          <w:rFonts w:hint="eastAsia" w:ascii="方正仿宋_GBK" w:hAnsi="方正仿宋_GBK" w:eastAsia="方正仿宋_GBK" w:cs="方正仿宋_GBK"/>
          <w:sz w:val="32"/>
          <w:szCs w:val="32"/>
        </w:rPr>
        <w:t>明确“五公开”的主体、内容、时限、形式等要件，</w:t>
      </w:r>
      <w:r>
        <w:rPr>
          <w:rFonts w:hint="eastAsia" w:ascii="方正仿宋_GBK" w:hAnsi="方正仿宋_GBK" w:eastAsia="方正仿宋_GBK" w:cs="方正仿宋_GBK"/>
          <w:sz w:val="32"/>
          <w:szCs w:val="32"/>
          <w:lang w:val="en-US" w:eastAsia="zh-CN"/>
        </w:rPr>
        <w:t>强化重点民生领域信息公开，</w:t>
      </w:r>
      <w:r>
        <w:rPr>
          <w:rFonts w:hint="eastAsia" w:ascii="方正仿宋_GBK" w:hAnsi="方正仿宋_GBK" w:eastAsia="方正仿宋_GBK" w:cs="方正仿宋_GBK"/>
          <w:sz w:val="32"/>
          <w:szCs w:val="32"/>
        </w:rPr>
        <w:t>主动做好</w:t>
      </w:r>
      <w:r>
        <w:rPr>
          <w:rFonts w:hint="eastAsia" w:ascii="方正仿宋_GBK" w:hAnsi="方正仿宋_GBK" w:eastAsia="方正仿宋_GBK" w:cs="方正仿宋_GBK"/>
          <w:sz w:val="32"/>
          <w:szCs w:val="32"/>
          <w:lang w:eastAsia="zh-CN"/>
        </w:rPr>
        <w:t>政策</w:t>
      </w:r>
      <w:r>
        <w:rPr>
          <w:rFonts w:hint="eastAsia" w:ascii="方正仿宋_GBK" w:hAnsi="方正仿宋_GBK" w:eastAsia="方正仿宋_GBK" w:cs="方正仿宋_GBK"/>
          <w:sz w:val="32"/>
          <w:szCs w:val="32"/>
        </w:rPr>
        <w:t>解读工作。</w:t>
      </w:r>
      <w:r>
        <w:rPr>
          <w:rFonts w:hint="eastAsia" w:ascii="方正仿宋_GBK" w:hAnsi="方正仿宋_GBK" w:eastAsia="方正仿宋_GBK" w:cs="方正仿宋_GBK"/>
          <w:sz w:val="32"/>
          <w:szCs w:val="32"/>
          <w:lang w:eastAsia="zh-CN"/>
        </w:rPr>
        <w:t>二是</w:t>
      </w:r>
      <w:r>
        <w:rPr>
          <w:rFonts w:hint="eastAsia" w:ascii="方正仿宋_GBK" w:hAnsi="方正仿宋_GBK" w:eastAsia="方正仿宋_GBK" w:cs="方正仿宋_GBK"/>
          <w:sz w:val="32"/>
          <w:szCs w:val="32"/>
        </w:rPr>
        <w:t>编制</w:t>
      </w:r>
      <w:r>
        <w:rPr>
          <w:rFonts w:hint="eastAsia" w:ascii="方正仿宋_GBK" w:hAnsi="方正仿宋_GBK" w:eastAsia="方正仿宋_GBK" w:cs="方正仿宋_GBK"/>
          <w:sz w:val="32"/>
          <w:szCs w:val="32"/>
          <w:lang w:val="en-US" w:eastAsia="zh-CN"/>
        </w:rPr>
        <w:t>区人力社保局</w:t>
      </w:r>
      <w:r>
        <w:rPr>
          <w:rFonts w:hint="eastAsia" w:ascii="方正仿宋_GBK" w:hAnsi="方正仿宋_GBK" w:eastAsia="方正仿宋_GBK" w:cs="方正仿宋_GBK"/>
          <w:sz w:val="32"/>
          <w:szCs w:val="32"/>
        </w:rPr>
        <w:t>重点领域</w:t>
      </w:r>
      <w:r>
        <w:rPr>
          <w:rFonts w:hint="eastAsia" w:ascii="方正仿宋_GBK" w:hAnsi="方正仿宋_GBK" w:eastAsia="方正仿宋_GBK" w:cs="方正仿宋_GBK"/>
          <w:sz w:val="32"/>
          <w:szCs w:val="32"/>
          <w:lang w:eastAsia="zh-CN"/>
        </w:rPr>
        <w:t>政府信息</w:t>
      </w:r>
      <w:r>
        <w:rPr>
          <w:rFonts w:hint="eastAsia" w:ascii="方正仿宋_GBK" w:hAnsi="方正仿宋_GBK" w:eastAsia="方正仿宋_GBK" w:cs="方正仿宋_GBK"/>
          <w:sz w:val="32"/>
          <w:szCs w:val="32"/>
        </w:rPr>
        <w:t>公开清单，对公开内容进行动态扩展和定期审查</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不断拓展</w:t>
      </w:r>
      <w:r>
        <w:rPr>
          <w:rFonts w:hint="eastAsia" w:ascii="方正仿宋_GBK" w:hAnsi="方正仿宋_GBK" w:eastAsia="方正仿宋_GBK" w:cs="方正仿宋_GBK"/>
          <w:sz w:val="32"/>
          <w:szCs w:val="32"/>
          <w:lang w:eastAsia="zh-CN"/>
        </w:rPr>
        <w:t>政府信息公开</w:t>
      </w:r>
      <w:r>
        <w:rPr>
          <w:rFonts w:hint="eastAsia" w:ascii="方正仿宋_GBK" w:hAnsi="方正仿宋_GBK" w:eastAsia="方正仿宋_GBK" w:cs="方正仿宋_GBK"/>
          <w:sz w:val="32"/>
          <w:szCs w:val="32"/>
        </w:rPr>
        <w:t>层面，</w:t>
      </w:r>
      <w:r>
        <w:rPr>
          <w:rFonts w:hint="eastAsia" w:ascii="方正仿宋_GBK" w:hAnsi="方正仿宋_GBK" w:eastAsia="方正仿宋_GBK" w:cs="方正仿宋_GBK"/>
          <w:sz w:val="32"/>
          <w:szCs w:val="32"/>
          <w:lang w:eastAsia="zh-CN"/>
        </w:rPr>
        <w:t>确保政府信息公开的时效性和安全性。</w:t>
      </w:r>
    </w:p>
    <w:p>
      <w:pPr>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二是健全</w:t>
      </w:r>
      <w:r>
        <w:rPr>
          <w:rFonts w:hint="eastAsia" w:ascii="方正仿宋_GBK" w:hAnsi="方正仿宋_GBK" w:eastAsia="方正仿宋_GBK" w:cs="方正仿宋_GBK"/>
          <w:sz w:val="32"/>
          <w:szCs w:val="32"/>
          <w:lang w:eastAsia="zh-CN"/>
        </w:rPr>
        <w:t>政府信息</w:t>
      </w:r>
      <w:r>
        <w:rPr>
          <w:rFonts w:hint="eastAsia" w:ascii="方正仿宋_GBK" w:hAnsi="方正仿宋_GBK" w:eastAsia="方正仿宋_GBK" w:cs="方正仿宋_GBK"/>
          <w:sz w:val="32"/>
          <w:szCs w:val="32"/>
        </w:rPr>
        <w:t>公开工作机制。继续拓宽优化</w:t>
      </w:r>
      <w:r>
        <w:rPr>
          <w:rFonts w:hint="eastAsia" w:ascii="方正仿宋_GBK" w:hAnsi="方正仿宋_GBK" w:eastAsia="方正仿宋_GBK" w:cs="方正仿宋_GBK"/>
          <w:sz w:val="32"/>
          <w:szCs w:val="32"/>
          <w:lang w:eastAsia="zh-CN"/>
        </w:rPr>
        <w:t>政府信息</w:t>
      </w:r>
      <w:r>
        <w:rPr>
          <w:rFonts w:hint="eastAsia" w:ascii="方正仿宋_GBK" w:hAnsi="方正仿宋_GBK" w:eastAsia="方正仿宋_GBK" w:cs="方正仿宋_GBK"/>
          <w:sz w:val="32"/>
          <w:szCs w:val="32"/>
        </w:rPr>
        <w:t>公开渠道，</w:t>
      </w:r>
      <w:r>
        <w:rPr>
          <w:rFonts w:hint="eastAsia" w:ascii="方正仿宋_GBK" w:hAnsi="方正仿宋_GBK" w:eastAsia="方正仿宋_GBK" w:cs="方正仿宋_GBK"/>
          <w:sz w:val="32"/>
          <w:szCs w:val="32"/>
          <w:lang w:eastAsia="zh-CN"/>
        </w:rPr>
        <w:t>强化人员配备，加强</w:t>
      </w:r>
      <w:r>
        <w:rPr>
          <w:rFonts w:hint="eastAsia" w:ascii="方正仿宋_GBK" w:hAnsi="方正仿宋_GBK" w:eastAsia="方正仿宋_GBK" w:cs="方正仿宋_GBK"/>
          <w:sz w:val="32"/>
          <w:szCs w:val="32"/>
        </w:rPr>
        <w:t>与</w:t>
      </w:r>
      <w:r>
        <w:rPr>
          <w:rFonts w:hint="eastAsia" w:ascii="方正仿宋_GBK" w:hAnsi="方正仿宋_GBK" w:eastAsia="方正仿宋_GBK" w:cs="方正仿宋_GBK"/>
          <w:sz w:val="32"/>
          <w:szCs w:val="32"/>
          <w:lang w:eastAsia="zh-CN"/>
        </w:rPr>
        <w:t>区政府办公室信息办、区委</w:t>
      </w:r>
      <w:r>
        <w:rPr>
          <w:rFonts w:hint="eastAsia" w:ascii="方正仿宋_GBK" w:hAnsi="方正仿宋_GBK" w:eastAsia="方正仿宋_GBK" w:cs="方正仿宋_GBK"/>
          <w:sz w:val="32"/>
          <w:szCs w:val="32"/>
        </w:rPr>
        <w:t>宣传</w:t>
      </w:r>
      <w:r>
        <w:rPr>
          <w:rFonts w:hint="eastAsia" w:ascii="方正仿宋_GBK" w:hAnsi="方正仿宋_GBK" w:eastAsia="方正仿宋_GBK" w:cs="方正仿宋_GBK"/>
          <w:sz w:val="32"/>
          <w:szCs w:val="32"/>
          <w:lang w:eastAsia="zh-CN"/>
        </w:rPr>
        <w:t>部、区委</w:t>
      </w:r>
      <w:r>
        <w:rPr>
          <w:rFonts w:hint="eastAsia" w:ascii="方正仿宋_GBK" w:hAnsi="方正仿宋_GBK" w:eastAsia="方正仿宋_GBK" w:cs="方正仿宋_GBK"/>
          <w:sz w:val="32"/>
          <w:szCs w:val="32"/>
        </w:rPr>
        <w:t>网信</w:t>
      </w:r>
      <w:r>
        <w:rPr>
          <w:rFonts w:hint="eastAsia" w:ascii="方正仿宋_GBK" w:hAnsi="方正仿宋_GBK" w:eastAsia="方正仿宋_GBK" w:cs="方正仿宋_GBK"/>
          <w:sz w:val="32"/>
          <w:szCs w:val="32"/>
          <w:lang w:eastAsia="zh-CN"/>
        </w:rPr>
        <w:t>办</w:t>
      </w:r>
      <w:r>
        <w:rPr>
          <w:rFonts w:hint="eastAsia" w:ascii="方正仿宋_GBK" w:hAnsi="方正仿宋_GBK" w:eastAsia="方正仿宋_GBK" w:cs="方正仿宋_GBK"/>
          <w:sz w:val="32"/>
          <w:szCs w:val="32"/>
        </w:rPr>
        <w:t>等部门紧密协作，加强政府网站</w:t>
      </w:r>
      <w:r>
        <w:rPr>
          <w:rFonts w:hint="eastAsia" w:ascii="方正仿宋_GBK" w:hAnsi="方正仿宋_GBK" w:eastAsia="方正仿宋_GBK" w:cs="方正仿宋_GBK"/>
          <w:sz w:val="32"/>
          <w:szCs w:val="32"/>
          <w:lang w:eastAsia="zh-CN"/>
        </w:rPr>
        <w:t>专栏</w:t>
      </w:r>
      <w:r>
        <w:rPr>
          <w:rFonts w:hint="eastAsia" w:ascii="方正仿宋_GBK" w:hAnsi="方正仿宋_GBK" w:eastAsia="方正仿宋_GBK" w:cs="方正仿宋_GBK"/>
          <w:sz w:val="32"/>
          <w:szCs w:val="32"/>
        </w:rPr>
        <w:t>、政务微信等新媒体载体建设，运用融媒体方式拓宽信息传播渠道，提升政务公开能力。 </w:t>
      </w:r>
    </w:p>
    <w:p>
      <w:pPr>
        <w:rPr>
          <w:rFonts w:hint="eastAsia" w:ascii="方正黑体_GBK" w:hAnsi="宋体" w:eastAsia="方正黑体_GBK" w:cs="宋体"/>
          <w:bCs/>
          <w:kern w:val="0"/>
          <w:sz w:val="32"/>
          <w:szCs w:val="32"/>
        </w:rPr>
      </w:pPr>
      <w:r>
        <w:rPr>
          <w:rFonts w:hint="eastAsia" w:ascii="方正仿宋_GBK" w:hAnsi="方正仿宋_GBK" w:eastAsia="方正仿宋_GBK" w:cs="方正仿宋_GBK"/>
          <w:sz w:val="32"/>
          <w:szCs w:val="32"/>
        </w:rPr>
        <w:t>　　三是加强</w:t>
      </w:r>
      <w:r>
        <w:rPr>
          <w:rFonts w:hint="eastAsia" w:ascii="方正仿宋_GBK" w:hAnsi="方正仿宋_GBK" w:eastAsia="方正仿宋_GBK" w:cs="方正仿宋_GBK"/>
          <w:sz w:val="32"/>
          <w:szCs w:val="32"/>
          <w:lang w:eastAsia="zh-CN"/>
        </w:rPr>
        <w:t>政府信息</w:t>
      </w:r>
      <w:r>
        <w:rPr>
          <w:rFonts w:hint="eastAsia" w:ascii="方正仿宋_GBK" w:hAnsi="方正仿宋_GBK" w:eastAsia="方正仿宋_GBK" w:cs="方正仿宋_GBK"/>
          <w:sz w:val="32"/>
          <w:szCs w:val="32"/>
        </w:rPr>
        <w:t>公开监督检查、工作考核和社会评议。继续将</w:t>
      </w:r>
      <w:r>
        <w:rPr>
          <w:rFonts w:hint="eastAsia" w:ascii="方正仿宋_GBK" w:hAnsi="方正仿宋_GBK" w:eastAsia="方正仿宋_GBK" w:cs="方正仿宋_GBK"/>
          <w:sz w:val="32"/>
          <w:szCs w:val="32"/>
          <w:lang w:eastAsia="zh-CN"/>
        </w:rPr>
        <w:t>政府信息</w:t>
      </w:r>
      <w:r>
        <w:rPr>
          <w:rFonts w:hint="eastAsia" w:ascii="方正仿宋_GBK" w:hAnsi="方正仿宋_GBK" w:eastAsia="方正仿宋_GBK" w:cs="方正仿宋_GBK"/>
          <w:sz w:val="32"/>
          <w:szCs w:val="32"/>
        </w:rPr>
        <w:t>公开工作纳入绩效考核管理体系。</w:t>
      </w:r>
      <w:r>
        <w:rPr>
          <w:rFonts w:hint="eastAsia" w:ascii="方正仿宋_GBK" w:hAnsi="方正仿宋_GBK" w:eastAsia="方正仿宋_GBK" w:cs="方正仿宋_GBK"/>
          <w:sz w:val="32"/>
          <w:szCs w:val="32"/>
          <w:lang w:val="en-US" w:eastAsia="zh-CN"/>
        </w:rPr>
        <w:t>完善政府信息公开发布流程，做好数据校验，保证发布数据及时性、正确性</w:t>
      </w:r>
      <w:r>
        <w:rPr>
          <w:rFonts w:hint="eastAsia" w:ascii="方正仿宋_GBK" w:hAnsi="方正仿宋_GBK" w:eastAsia="方正仿宋_GBK" w:cs="方正仿宋_GBK"/>
          <w:sz w:val="32"/>
          <w:szCs w:val="32"/>
        </w:rPr>
        <w:t>，推进</w:t>
      </w:r>
      <w:r>
        <w:rPr>
          <w:rFonts w:hint="eastAsia" w:ascii="方正仿宋_GBK" w:hAnsi="方正仿宋_GBK" w:eastAsia="方正仿宋_GBK" w:cs="方正仿宋_GBK"/>
          <w:sz w:val="32"/>
          <w:szCs w:val="32"/>
          <w:lang w:val="en-US" w:eastAsia="zh-CN"/>
        </w:rPr>
        <w:t>我局</w:t>
      </w:r>
      <w:r>
        <w:rPr>
          <w:rFonts w:hint="eastAsia" w:ascii="方正仿宋_GBK" w:hAnsi="方正仿宋_GBK" w:eastAsia="方正仿宋_GBK" w:cs="方正仿宋_GBK"/>
          <w:sz w:val="32"/>
          <w:szCs w:val="32"/>
          <w:lang w:eastAsia="zh-CN"/>
        </w:rPr>
        <w:t>政府信息</w:t>
      </w:r>
      <w:r>
        <w:rPr>
          <w:rFonts w:hint="eastAsia" w:ascii="方正仿宋_GBK" w:hAnsi="方正仿宋_GBK" w:eastAsia="方正仿宋_GBK" w:cs="方正仿宋_GBK"/>
          <w:sz w:val="32"/>
          <w:szCs w:val="32"/>
        </w:rPr>
        <w:t>公开工作，促进全</w:t>
      </w:r>
      <w:r>
        <w:rPr>
          <w:rFonts w:hint="eastAsia" w:ascii="方正仿宋_GBK" w:hAnsi="方正仿宋_GBK" w:eastAsia="方正仿宋_GBK" w:cs="方正仿宋_GBK"/>
          <w:sz w:val="32"/>
          <w:szCs w:val="32"/>
          <w:lang w:eastAsia="zh-CN"/>
        </w:rPr>
        <w:t>区政府信息</w:t>
      </w:r>
      <w:r>
        <w:rPr>
          <w:rFonts w:hint="eastAsia" w:ascii="方正仿宋_GBK" w:hAnsi="方正仿宋_GBK" w:eastAsia="方正仿宋_GBK" w:cs="方正仿宋_GBK"/>
          <w:sz w:val="32"/>
          <w:szCs w:val="32"/>
        </w:rPr>
        <w:t>公开工作平衡发展。　 </w:t>
      </w:r>
    </w:p>
    <w:p>
      <w:pPr>
        <w:widowControl/>
        <w:numPr>
          <w:ilvl w:val="0"/>
          <w:numId w:val="1"/>
        </w:numPr>
        <w:shd w:val="clear" w:color="auto" w:fill="FFFFFF"/>
        <w:autoSpaceDN w:val="0"/>
        <w:ind w:left="0" w:leftChars="0" w:firstLine="480" w:firstLineChars="0"/>
        <w:rPr>
          <w:rFonts w:hint="eastAsia" w:ascii="方正黑体_GBK" w:hAnsi="宋体" w:eastAsia="方正黑体_GBK" w:cs="宋体"/>
          <w:bCs/>
          <w:kern w:val="0"/>
          <w:sz w:val="32"/>
          <w:szCs w:val="32"/>
        </w:rPr>
      </w:pPr>
      <w:r>
        <w:rPr>
          <w:rFonts w:hint="eastAsia" w:ascii="方正黑体_GBK" w:hAnsi="宋体" w:eastAsia="方正黑体_GBK" w:cs="宋体"/>
          <w:bCs/>
          <w:kern w:val="0"/>
          <w:sz w:val="32"/>
          <w:szCs w:val="32"/>
        </w:rPr>
        <w:t>其他需要报告的事项</w:t>
      </w:r>
    </w:p>
    <w:p>
      <w:pPr>
        <w:ind w:firstLine="640" w:firstLineChars="200"/>
        <w:rPr>
          <w:rFonts w:hint="default" w:ascii="Times" w:hAnsi="Times" w:eastAsia="方正仿宋_GBK" w:cs="宋体"/>
          <w:kern w:val="0"/>
          <w:sz w:val="32"/>
          <w:szCs w:val="32"/>
          <w:lang w:val="en-US" w:eastAsia="zh-CN"/>
        </w:rPr>
      </w:pPr>
      <w:r>
        <w:rPr>
          <w:rFonts w:hint="eastAsia" w:ascii="方正仿宋_GBK" w:hAnsi="方正仿宋_GBK" w:eastAsia="方正仿宋_GBK" w:cs="方正仿宋_GBK"/>
          <w:sz w:val="32"/>
          <w:szCs w:val="32"/>
          <w:lang w:eastAsia="zh-CN"/>
        </w:rPr>
        <w:t>无。</w:t>
      </w:r>
    </w:p>
    <w:p/>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auto"/>
    <w:pitch w:val="default"/>
    <w:sig w:usb0="00000000" w:usb1="00000000" w:usb2="00000009" w:usb3="00000000" w:csb0="000001F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pPr>
    <w:r>
      <w:fldChar w:fldCharType="begin"/>
    </w:r>
    <w:r>
      <w:rPr>
        <w:rStyle w:val="6"/>
      </w:rPr>
      <w:instrText xml:space="preserve"> PAGE  </w:instrText>
    </w:r>
    <w:r>
      <w:fldChar w:fldCharType="separate"/>
    </w:r>
    <w:r>
      <w:rPr>
        <w:rStyle w:val="6"/>
      </w:rPr>
      <w:t>1</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singleLevel"/>
    <w:tmpl w:val="00000006"/>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5MTZlMjg0NTliNTE1NDAxZTRlYzZhZWYxZGUwZmMifQ=="/>
  </w:docVars>
  <w:rsids>
    <w:rsidRoot w:val="656F6A4A"/>
    <w:rsid w:val="5B3C3935"/>
    <w:rsid w:val="656F6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qFormat/>
    <w:uiPriority w:val="0"/>
  </w:style>
  <w:style w:type="paragraph" w:customStyle="1" w:styleId="7">
    <w:name w:val="Normal (Web)"/>
    <w:basedOn w:val="1"/>
    <w:qFormat/>
    <w:uiPriority w:val="0"/>
    <w:pPr>
      <w:pBdr>
        <w:top w:val="none" w:color="auto" w:sz="0" w:space="0"/>
        <w:left w:val="none" w:color="auto" w:sz="0" w:space="0"/>
        <w:bottom w:val="none" w:color="auto" w:sz="0" w:space="0"/>
        <w:right w:val="none" w:color="auto" w:sz="0" w:space="0"/>
      </w:pBdr>
      <w:spacing w:before="0" w:beforeLines="0" w:beforeAutospacing="0" w:after="0" w:afterLines="0" w:afterAutospacing="0"/>
      <w:ind w:left="0" w:right="0"/>
      <w:jc w:val="left"/>
    </w:pPr>
    <w:rPr>
      <w:kern w:val="0"/>
      <w:sz w:val="24"/>
      <w:lang w:val="en-US" w:eastAsia="zh-CN"/>
    </w:rPr>
  </w:style>
  <w:style w:type="paragraph" w:customStyle="1" w:styleId="8">
    <w:name w:val="Body Text Indent"/>
    <w:basedOn w:val="1"/>
    <w:qFormat/>
    <w:uiPriority w:val="0"/>
    <w:pPr>
      <w:adjustRightInd w:val="0"/>
      <w:snapToGrid w:val="0"/>
      <w:spacing w:line="600" w:lineRule="atLeast"/>
      <w:ind w:firstLine="645"/>
    </w:pPr>
    <w:rPr>
      <w:rFonts w:ascii="仿宋_GB2312" w:eastAsia="仿宋_GB2312"/>
      <w:sz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2802</Words>
  <Characters>2859</Characters>
  <Lines>0</Lines>
  <Paragraphs>0</Paragraphs>
  <TotalTime>0</TotalTime>
  <ScaleCrop>false</ScaleCrop>
  <LinksUpToDate>false</LinksUpToDate>
  <CharactersWithSpaces>2897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2021-04-09T14:45:00Z</dcterms:created>
  <dc:creator>Dust</dc:creator>
  <cp:lastModifiedBy>杨倩怡</cp:lastModifiedBy>
  <dcterms:modified xsi:type="dcterms:W3CDTF">2023-06-06T09:44:09Z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C684013317124C5B8F4036E9A5989C15</vt:lpwstr>
  </property>
  <property fmtid="{D5CDD505-2E9C-101B-9397-08002B2CF9AE}" pid="4" name="KSOSaveFontToCloudKey">
    <vt:lpwstr>368900049_cloud</vt:lpwstr>
  </property>
</Properties>
</file>