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9</w:t>
      </w:r>
    </w:p>
    <w:p>
      <w:pPr>
        <w:spacing w:line="600" w:lineRule="exact"/>
        <w:jc w:val="center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小标宋_GBK" w:cs="方正小标宋_GBK"/>
          <w:bCs/>
          <w:color w:val="000000"/>
          <w:sz w:val="44"/>
          <w:szCs w:val="44"/>
        </w:rPr>
        <w:t>渝北区202</w:t>
      </w:r>
      <w:r>
        <w:rPr>
          <w:rFonts w:hint="eastAsia" w:eastAsia="方正小标宋_GBK" w:cs="方正小标宋_GBK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eastAsia="方正小标宋_GBK" w:cs="方正小标宋_GBK"/>
          <w:bCs/>
          <w:color w:val="000000"/>
          <w:sz w:val="44"/>
          <w:szCs w:val="44"/>
        </w:rPr>
        <w:t>年渔业资源增殖放流项目</w:t>
      </w:r>
    </w:p>
    <w:p>
      <w:pPr>
        <w:spacing w:line="600" w:lineRule="exact"/>
        <w:jc w:val="center"/>
        <w:rPr>
          <w:rFonts w:hint="eastAsia" w:eastAsia="方正小标宋_GBK" w:cs="方正小标宋_GBK"/>
          <w:bCs/>
          <w:color w:val="000000"/>
          <w:sz w:val="44"/>
          <w:szCs w:val="44"/>
        </w:rPr>
      </w:pPr>
      <w:r>
        <w:rPr>
          <w:rFonts w:hint="eastAsia" w:eastAsia="方正小标宋_GBK" w:cs="方正小标宋_GBK"/>
          <w:bCs/>
          <w:color w:val="000000"/>
          <w:sz w:val="44"/>
          <w:szCs w:val="44"/>
        </w:rPr>
        <w:t>实施方案</w:t>
      </w:r>
    </w:p>
    <w:p>
      <w:pPr>
        <w:spacing w:line="600" w:lineRule="exact"/>
        <w:jc w:val="center"/>
        <w:rPr>
          <w:rFonts w:eastAsia="新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根据《关于做好202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年中央粮油生产保障等项目实施工作的通知》（渝农发〔202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〕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97</w:t>
      </w:r>
      <w:r>
        <w:rPr>
          <w:rFonts w:hint="eastAsia" w:eastAsia="方正仿宋_GBK" w:cs="方正仿宋_GBK"/>
          <w:sz w:val="32"/>
          <w:szCs w:val="32"/>
        </w:rPr>
        <w:t>号）及</w:t>
      </w:r>
      <w:r>
        <w:rPr>
          <w:rFonts w:hint="eastAsia" w:ascii="方正仿宋_GBK" w:hAnsi="微软雅黑" w:eastAsia="方正仿宋_GBK" w:cs="宋体"/>
          <w:bCs/>
          <w:color w:val="000000"/>
          <w:kern w:val="36"/>
          <w:sz w:val="32"/>
          <w:szCs w:val="32"/>
        </w:rPr>
        <w:t>《关于进一步规范长江流域水生生物增殖放流工作的通知》（</w:t>
      </w:r>
      <w:r>
        <w:rPr>
          <w:rFonts w:hint="eastAsia" w:eastAsia="方正仿宋_GBK" w:cs="方正仿宋_GBK"/>
          <w:sz w:val="32"/>
          <w:szCs w:val="32"/>
        </w:rPr>
        <w:t>长渔发〔2020〕10号）文件要求，为了确保项目顺利实施，结合农业部《水生生物增殖放流管理规定》，特制定本实施方案。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黑体_GBK" w:cs="方正黑体_GBK"/>
          <w:sz w:val="32"/>
          <w:szCs w:val="32"/>
        </w:rPr>
      </w:pPr>
      <w:r>
        <w:rPr>
          <w:rFonts w:hint="eastAsia" w:eastAsia="方正黑体_GBK" w:cs="方正黑体_GBK"/>
          <w:sz w:val="32"/>
          <w:szCs w:val="32"/>
        </w:rPr>
        <w:t>一、项目任务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楷体_GBK" w:cs="方正楷体_GBK"/>
          <w:sz w:val="32"/>
          <w:szCs w:val="32"/>
        </w:rPr>
      </w:pPr>
      <w:r>
        <w:rPr>
          <w:rFonts w:hint="eastAsia" w:eastAsia="方正楷体_GBK" w:cs="方正楷体_GBK"/>
          <w:sz w:val="32"/>
          <w:szCs w:val="32"/>
        </w:rPr>
        <w:t>（一）增殖放流数量、品种、规格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增殖放流项目资金10万元，计划放流鱼种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17</w:t>
      </w:r>
      <w:r>
        <w:rPr>
          <w:rFonts w:hint="eastAsia" w:eastAsia="方正仿宋_GBK" w:cs="方正仿宋_GBK"/>
          <w:sz w:val="32"/>
          <w:szCs w:val="32"/>
        </w:rPr>
        <w:t xml:space="preserve">万尾，放流鱼种规格见表，计划投放情况如下表： </w:t>
      </w:r>
      <w:bookmarkStart w:id="0" w:name="_GoBack"/>
      <w:bookmarkEnd w:id="0"/>
    </w:p>
    <w:tbl>
      <w:tblPr>
        <w:tblStyle w:val="5"/>
        <w:tblW w:w="98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07"/>
        <w:gridCol w:w="1377"/>
        <w:gridCol w:w="1252"/>
        <w:gridCol w:w="1252"/>
        <w:gridCol w:w="1252"/>
        <w:gridCol w:w="1252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黑体_GBK" w:cs="Times New Roman"/>
                <w:szCs w:val="21"/>
              </w:rPr>
            </w:pPr>
            <w:r>
              <w:rPr>
                <w:rFonts w:hint="default" w:ascii="Times New Roman" w:hAnsi="Times New Roman" w:eastAsia="方正黑体_GBK" w:cs="Times New Roman"/>
                <w:szCs w:val="21"/>
              </w:rPr>
              <w:t>放流水域</w:t>
            </w:r>
          </w:p>
        </w:tc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黑体_GBK" w:cs="Times New Roman"/>
                <w:szCs w:val="21"/>
              </w:rPr>
            </w:pPr>
            <w:r>
              <w:rPr>
                <w:rFonts w:hint="default" w:ascii="Times New Roman" w:hAnsi="Times New Roman" w:eastAsia="方正黑体_GBK" w:cs="Times New Roman"/>
                <w:szCs w:val="21"/>
              </w:rPr>
              <w:t>放流地点</w:t>
            </w:r>
          </w:p>
        </w:tc>
        <w:tc>
          <w:tcPr>
            <w:tcW w:w="82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黑体_GBK" w:cs="Times New Roman"/>
                <w:szCs w:val="21"/>
              </w:rPr>
            </w:pPr>
            <w:r>
              <w:rPr>
                <w:rFonts w:hint="default" w:ascii="Times New Roman" w:hAnsi="Times New Roman" w:eastAsia="方正黑体_GBK" w:cs="Times New Roman"/>
                <w:szCs w:val="21"/>
              </w:rPr>
              <w:t>放流苗种及数量（万尾）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岩原鲤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≥10厘米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胭脂鱼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≥10厘米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铜鱼</w:t>
            </w:r>
            <w:r>
              <w:rPr>
                <w:rFonts w:hint="default" w:ascii="Times New Roman" w:hAnsi="Times New Roman" w:eastAsia="方正仿宋_GBK" w:cs="Times New Roman"/>
                <w:szCs w:val="21"/>
              </w:rPr>
              <w:t>≥10厘米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大鳍鳠≥5厘米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瓦氏黄颡鱼≥5厘米</w:t>
            </w:r>
          </w:p>
        </w:tc>
        <w:tc>
          <w:tcPr>
            <w:tcW w:w="1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合计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长江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洛碛轮渡码头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</w:rPr>
              <w:t>2</w:t>
            </w: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御临河</w:t>
            </w:r>
          </w:p>
        </w:tc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石船镇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</w:p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黄尾鲴≥10厘米</w:t>
            </w:r>
          </w:p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both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长吻鮠≥10厘米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大鳍鳠≥5厘米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瓦氏黄颡鱼≥5厘米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/>
              </w:rPr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  <w:t>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楷体_GBK" w:cs="方正楷体_GBK"/>
          <w:sz w:val="32"/>
          <w:szCs w:val="32"/>
        </w:rPr>
      </w:pPr>
      <w:r>
        <w:rPr>
          <w:rFonts w:hint="eastAsia" w:eastAsia="方正楷体_GBK" w:cs="方正楷体_GBK"/>
          <w:sz w:val="32"/>
          <w:szCs w:val="32"/>
        </w:rPr>
        <w:t>（二）实施时间与范围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1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增殖放流时间：202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年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10</w:t>
      </w:r>
      <w:r>
        <w:rPr>
          <w:rFonts w:hint="eastAsia" w:eastAsia="方正仿宋_GBK" w:cs="方正仿宋_GBK"/>
          <w:sz w:val="32"/>
          <w:szCs w:val="32"/>
        </w:rPr>
        <w:t>月底。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主要实施地点：洛碛轮渡码头</w:t>
      </w:r>
      <w:r>
        <w:rPr>
          <w:rFonts w:hint="eastAsia" w:eastAsia="方正仿宋_GBK" w:cs="方正仿宋_GBK"/>
          <w:sz w:val="32"/>
          <w:szCs w:val="32"/>
          <w:lang w:eastAsia="zh-CN"/>
        </w:rPr>
        <w:t>、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石船镇</w:t>
      </w:r>
      <w:r>
        <w:rPr>
          <w:rFonts w:hint="eastAsia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黑体_GBK" w:cs="方正黑体_GBK"/>
          <w:sz w:val="32"/>
          <w:szCs w:val="32"/>
        </w:rPr>
      </w:pPr>
      <w:r>
        <w:rPr>
          <w:rFonts w:hint="eastAsia" w:eastAsia="方正黑体_GBK" w:cs="方正黑体_GBK"/>
          <w:sz w:val="32"/>
          <w:szCs w:val="32"/>
        </w:rPr>
        <w:t>二、进度安排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1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年7月完成项目实施方案的制定。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年9月，招投标选择供种单位。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3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年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10</w:t>
      </w:r>
      <w:r>
        <w:rPr>
          <w:rFonts w:hint="eastAsia" w:eastAsia="方正仿宋_GBK" w:cs="方正仿宋_GBK"/>
          <w:sz w:val="32"/>
          <w:szCs w:val="32"/>
        </w:rPr>
        <w:t>月，举行增殖放流活动，一次性放流鱼种19万尾。活动邀请区级有关部门、当地政府、渔民、社区居民等方面的代表参加，并做好有关影像资料的收集和放流活动的及时报道。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4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年11月，完成增殖放流工作总结。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黑体_GBK" w:cs="方正黑体_GBK"/>
          <w:sz w:val="32"/>
          <w:szCs w:val="32"/>
        </w:rPr>
      </w:pPr>
      <w:r>
        <w:rPr>
          <w:rFonts w:hint="eastAsia" w:eastAsia="方正黑体_GBK" w:cs="方正黑体_GBK"/>
          <w:sz w:val="32"/>
          <w:szCs w:val="32"/>
        </w:rPr>
        <w:t>三、资金使用计划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项目资金10万元，全部用于购买放流苗种1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eastAsia="方正仿宋_GBK" w:cs="方正仿宋_GBK"/>
          <w:sz w:val="32"/>
          <w:szCs w:val="32"/>
        </w:rPr>
        <w:t>万尾。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黑体_GBK" w:cs="方正黑体_GBK"/>
          <w:sz w:val="32"/>
          <w:szCs w:val="32"/>
        </w:rPr>
      </w:pPr>
      <w:r>
        <w:rPr>
          <w:rFonts w:hint="eastAsia" w:eastAsia="方正黑体_GBK" w:cs="方正黑体_GBK"/>
          <w:sz w:val="32"/>
          <w:szCs w:val="32"/>
        </w:rPr>
        <w:t>四、工作措施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1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加强组织领导。区农业农村委成立增殖放流项目专家技术组，负责选定增殖放流区域、放流苗种计量等工作，具体负责增殖放流工作的日常事务。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广泛深入宣传。增殖放流项目实施期间，充分利用电视、网络、报纸等新闻媒体，大力宣传增殖放流是保护水生生物资源和生态环境，利国利民，为渔民群众谋利益的公益事业，是一项民生工程，切实提高社会各界对水生生物的养护意识。项目实施期间，精心安排，认真组织好各阶段的增殖放流活动，广泛邀请环保人士、渔民等参与，扩大社会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3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加强放流苗种管理。放流苗种必须是体质健壮、无病无伤的原种或原种子一代，严禁采购杂交种、转基因种及外来种，确保水域生态安全。种苗生产供应单位，应具有水产种苗生产许可证，且信誉好、生产技术水平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4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加强项目监督管理。苗种生产供应单位由渝北区农委按照“公开、公平、公正”的原则，依法通过招标的方式确定。对放流过程、放流品种、数量、规格等实质内容，向社会予以公示，接受社会监督。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5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强化项目资金管理。严格执行财务管理制度，设置增殖放流项目资金使用明细帐，切实做到专款专用。实行财政报账制度，邀请区财政局全程加强项目资金管理，严格监管资金流向。主动接受区监察局、区审计局监管，确保项目资金专款专用。注重资金使用绩效，杜绝骗取、截留、挤占、滞留和挪用现象，确保项目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6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推进规范化建设。根据《水生生物增殖放流管理规定》，结合我区水域实际，制定完善增殖放流技术规范，所制定的技术规范要求做到内容具体、流程科学、可操作性强，为项目顺利实施提供技术保障。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7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eastAsia="方正仿宋_GBK" w:cs="方正仿宋_GBK"/>
          <w:sz w:val="32"/>
          <w:szCs w:val="32"/>
        </w:rPr>
        <w:t>抓好放流水域渔政管理。从放流鱼种开始，区农业综合执法大队应开展渔业资源工作的宣传，并开展对放流水域的集中整治，对放流水域捕鱼行为进行排查，严厉打击非法炸鱼、电鱼、毒鱼等违法行为，坚决取缔禁用渔具、渔法，为放流鱼种创造良好的自然资源环境，提高鱼种放流成活率。放流地上下3公里的河段1周之内设立临时保护区，由渔政执法部门进行日常管护，相应水域实行禁渔。加强放流后期执法监管工作,严厉打击各类偷捕和破坏放流苗种的行为，确保增殖放流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40" w:firstLineChars="200"/>
        <w:jc w:val="right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重庆市渝北区畜牧水产站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40" w:firstLineChars="200"/>
        <w:jc w:val="center"/>
        <w:textAlignment w:val="auto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eastAsia="方正仿宋_GBK" w:cs="方正仿宋_GBK"/>
          <w:sz w:val="32"/>
          <w:szCs w:val="32"/>
        </w:rPr>
        <w:t>202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 w:cs="方正仿宋_GBK"/>
          <w:sz w:val="32"/>
          <w:szCs w:val="32"/>
        </w:rPr>
        <w:t>年7月21日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 w:start="10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GUzZDAxZjM5YzdlZjFjOWU0NDc5MzU2N2JjZjcifQ=="/>
  </w:docVars>
  <w:rsids>
    <w:rsidRoot w:val="00172A27"/>
    <w:rsid w:val="00022A5A"/>
    <w:rsid w:val="00024F65"/>
    <w:rsid w:val="0006365F"/>
    <w:rsid w:val="00130754"/>
    <w:rsid w:val="00182E41"/>
    <w:rsid w:val="00190B14"/>
    <w:rsid w:val="001941D9"/>
    <w:rsid w:val="0019607E"/>
    <w:rsid w:val="001966D5"/>
    <w:rsid w:val="0020726B"/>
    <w:rsid w:val="00232273"/>
    <w:rsid w:val="00281885"/>
    <w:rsid w:val="002A01E3"/>
    <w:rsid w:val="002C3ACD"/>
    <w:rsid w:val="002F4585"/>
    <w:rsid w:val="003012C3"/>
    <w:rsid w:val="00356873"/>
    <w:rsid w:val="00370A4E"/>
    <w:rsid w:val="003725D6"/>
    <w:rsid w:val="003C50D8"/>
    <w:rsid w:val="003D66BE"/>
    <w:rsid w:val="004000D8"/>
    <w:rsid w:val="004139C4"/>
    <w:rsid w:val="00474D92"/>
    <w:rsid w:val="004A6085"/>
    <w:rsid w:val="00510499"/>
    <w:rsid w:val="00514820"/>
    <w:rsid w:val="00535F6A"/>
    <w:rsid w:val="00621F12"/>
    <w:rsid w:val="00626EC2"/>
    <w:rsid w:val="00627567"/>
    <w:rsid w:val="006304C6"/>
    <w:rsid w:val="00637997"/>
    <w:rsid w:val="00684D3F"/>
    <w:rsid w:val="006F7C82"/>
    <w:rsid w:val="007167F4"/>
    <w:rsid w:val="0078705D"/>
    <w:rsid w:val="008B6683"/>
    <w:rsid w:val="008C52CD"/>
    <w:rsid w:val="008F0460"/>
    <w:rsid w:val="0090216A"/>
    <w:rsid w:val="00912A4D"/>
    <w:rsid w:val="009229D9"/>
    <w:rsid w:val="00994E38"/>
    <w:rsid w:val="00A0122D"/>
    <w:rsid w:val="00A329C4"/>
    <w:rsid w:val="00A63BD0"/>
    <w:rsid w:val="00B05A97"/>
    <w:rsid w:val="00B175F6"/>
    <w:rsid w:val="00B53FB5"/>
    <w:rsid w:val="00BB4BB7"/>
    <w:rsid w:val="00BD56B4"/>
    <w:rsid w:val="00C33D4F"/>
    <w:rsid w:val="00C45E10"/>
    <w:rsid w:val="00CA4EB7"/>
    <w:rsid w:val="00CB1727"/>
    <w:rsid w:val="00CC1ECB"/>
    <w:rsid w:val="00CF24BC"/>
    <w:rsid w:val="00CF483A"/>
    <w:rsid w:val="00D66158"/>
    <w:rsid w:val="00D74873"/>
    <w:rsid w:val="00DB441C"/>
    <w:rsid w:val="00DF5CF7"/>
    <w:rsid w:val="00E7534A"/>
    <w:rsid w:val="00EB16F3"/>
    <w:rsid w:val="00EB32C9"/>
    <w:rsid w:val="00EE66A8"/>
    <w:rsid w:val="00F04515"/>
    <w:rsid w:val="00F94BCA"/>
    <w:rsid w:val="00FB7A89"/>
    <w:rsid w:val="030D0383"/>
    <w:rsid w:val="05E10571"/>
    <w:rsid w:val="07FD3A68"/>
    <w:rsid w:val="08B909CE"/>
    <w:rsid w:val="09CF0CE1"/>
    <w:rsid w:val="15AD3B03"/>
    <w:rsid w:val="190B4363"/>
    <w:rsid w:val="20AE7F7C"/>
    <w:rsid w:val="2814604F"/>
    <w:rsid w:val="28DD7E3B"/>
    <w:rsid w:val="2DDF294D"/>
    <w:rsid w:val="2FC322C4"/>
    <w:rsid w:val="3BE817BC"/>
    <w:rsid w:val="3C493C23"/>
    <w:rsid w:val="3D983B41"/>
    <w:rsid w:val="3F943384"/>
    <w:rsid w:val="45493F68"/>
    <w:rsid w:val="45CD373F"/>
    <w:rsid w:val="45FF25A0"/>
    <w:rsid w:val="498006C1"/>
    <w:rsid w:val="49FC5DF9"/>
    <w:rsid w:val="50013EE6"/>
    <w:rsid w:val="50C077A5"/>
    <w:rsid w:val="5216186D"/>
    <w:rsid w:val="55847A86"/>
    <w:rsid w:val="55CD06A1"/>
    <w:rsid w:val="571A7B3C"/>
    <w:rsid w:val="58130A69"/>
    <w:rsid w:val="58CE36A1"/>
    <w:rsid w:val="59B40D7C"/>
    <w:rsid w:val="5E5C3E0F"/>
    <w:rsid w:val="645F5FDE"/>
    <w:rsid w:val="65D1521D"/>
    <w:rsid w:val="67B13911"/>
    <w:rsid w:val="67F76E6F"/>
    <w:rsid w:val="6C7D7F5A"/>
    <w:rsid w:val="6CEC4132"/>
    <w:rsid w:val="6DFC1CE0"/>
    <w:rsid w:val="6F970A44"/>
    <w:rsid w:val="701901CD"/>
    <w:rsid w:val="705D12B2"/>
    <w:rsid w:val="7160038F"/>
    <w:rsid w:val="7D3748CF"/>
    <w:rsid w:val="7F67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1420</Words>
  <Characters>1467</Characters>
  <Lines>10</Lines>
  <Paragraphs>2</Paragraphs>
  <TotalTime>15</TotalTime>
  <ScaleCrop>false</ScaleCrop>
  <LinksUpToDate>false</LinksUpToDate>
  <CharactersWithSpaces>1468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2023-07-21T02:19:00Z</dcterms:created>
  <dc:creator>Administrator</dc:creator>
  <cp:lastModifiedBy>Administrator</cp:lastModifiedBy>
  <cp:lastPrinted>2022-02-07T08:28:00Z</cp:lastPrinted>
  <dcterms:modified xsi:type="dcterms:W3CDTF">2024-09-23T01:38:26Z</dcterms:modified>
  <dc:title>重庆市渝北区农业委员会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550FD85526124493B61FAACABB51FFD0_13</vt:lpwstr>
  </property>
</Properties>
</file>