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86626">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仿宋_GBK" w:cs="Times New Roman"/>
          <w:sz w:val="32"/>
          <w:szCs w:val="32"/>
        </w:rPr>
      </w:pPr>
    </w:p>
    <w:p w14:paraId="0E82B7D9">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仿宋_GBK" w:cs="Times New Roman"/>
          <w:sz w:val="32"/>
          <w:szCs w:val="32"/>
        </w:rPr>
      </w:pPr>
    </w:p>
    <w:p w14:paraId="5C0F839E">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重庆市渝北区农业农村委员会</w:t>
      </w:r>
    </w:p>
    <w:p w14:paraId="37B5519B">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关于印发《渝北区2021年政策性农业保险</w:t>
      </w:r>
    </w:p>
    <w:p w14:paraId="3B06B73A">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工作方案》的通知</w:t>
      </w:r>
    </w:p>
    <w:p w14:paraId="474253DE">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渝北农发〔202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rPr>
        <w:t>号</w:t>
      </w:r>
    </w:p>
    <w:p w14:paraId="4794D3A7">
      <w:pPr>
        <w:keepNext w:val="0"/>
        <w:keepLines w:val="0"/>
        <w:pageBreakBefore w:val="0"/>
        <w:kinsoku/>
        <w:overflowPunct/>
        <w:topLinePunct w:val="0"/>
        <w:autoSpaceDE/>
        <w:autoSpaceDN/>
        <w:bidi w:val="0"/>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p>
    <w:p w14:paraId="2445A615">
      <w:pPr>
        <w:keepNext w:val="0"/>
        <w:keepLines w:val="0"/>
        <w:pageBreakBefore w:val="0"/>
        <w:kinsoku/>
        <w:overflowPunct/>
        <w:topLinePunct w:val="0"/>
        <w:autoSpaceDE/>
        <w:autoSpaceDN/>
        <w:bidi w:val="0"/>
        <w:spacing w:beforeAutospacing="0" w:after="0" w:afterAutospacing="0" w:line="600" w:lineRule="exact"/>
        <w:jc w:val="both"/>
        <w:textAlignment w:val="auto"/>
        <w:rPr>
          <w:rFonts w:hint="eastAsia"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各镇人民政府，各街道办事处，区属各国有公司，有关单位：</w:t>
      </w:r>
    </w:p>
    <w:p w14:paraId="772D4112">
      <w:pPr>
        <w:keepNext w:val="0"/>
        <w:keepLines w:val="0"/>
        <w:pageBreakBefore w:val="0"/>
        <w:widowControl w:val="0"/>
        <w:kinsoku/>
        <w:overflowPunct/>
        <w:topLinePunct w:val="0"/>
        <w:autoSpaceDE/>
        <w:autoSpaceDN/>
        <w:bidi w:val="0"/>
        <w:adjustRightInd/>
        <w:snapToGrid/>
        <w:spacing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rPr>
        <w:t>经区政府研究同意，现将《渝北区2021年政策性农业保险工作方案》印发给你们，请遵照执行。</w:t>
      </w:r>
    </w:p>
    <w:p w14:paraId="07494341">
      <w:pPr>
        <w:keepNext w:val="0"/>
        <w:keepLines w:val="0"/>
        <w:pageBreakBefore w:val="0"/>
        <w:widowControl w:val="0"/>
        <w:kinsoku/>
        <w:wordWrap w:val="0"/>
        <w:overflowPunct/>
        <w:topLinePunct w:val="0"/>
        <w:autoSpaceDE/>
        <w:autoSpaceDN/>
        <w:bidi w:val="0"/>
        <w:adjustRightInd/>
        <w:snapToGrid/>
        <w:spacing w:beforeAutospacing="0" w:after="0" w:afterAutospacing="0" w:line="600" w:lineRule="exact"/>
        <w:ind w:right="1280"/>
        <w:textAlignment w:val="auto"/>
        <w:rPr>
          <w:rFonts w:hint="eastAsia" w:ascii="方正仿宋_GBK" w:hAnsi="方正仿宋_GBK" w:eastAsia="方正仿宋_GBK" w:cs="方正仿宋_GBK"/>
          <w:color w:val="000000"/>
          <w:sz w:val="32"/>
          <w:szCs w:val="32"/>
        </w:rPr>
      </w:pPr>
    </w:p>
    <w:p w14:paraId="445BB557">
      <w:pPr>
        <w:keepNext w:val="0"/>
        <w:keepLines w:val="0"/>
        <w:pageBreakBefore w:val="0"/>
        <w:widowControl/>
        <w:kinsoku/>
        <w:wordWrap w:val="0"/>
        <w:overflowPunct/>
        <w:topLinePunct w:val="0"/>
        <w:autoSpaceDE/>
        <w:autoSpaceDN/>
        <w:bidi w:val="0"/>
        <w:spacing w:beforeAutospacing="0" w:after="0" w:afterAutospacing="0" w:line="600" w:lineRule="exact"/>
        <w:jc w:val="right"/>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重庆市渝北区农业农村委员会       重庆市渝北区财政局    </w:t>
      </w:r>
    </w:p>
    <w:p w14:paraId="5B9F6C4C">
      <w:pPr>
        <w:pStyle w:val="2"/>
        <w:keepNext w:val="0"/>
        <w:keepLines w:val="0"/>
        <w:pageBreakBefore w:val="0"/>
        <w:widowControl/>
        <w:kinsoku/>
        <w:overflowPunct/>
        <w:topLinePunct w:val="0"/>
        <w:autoSpaceDE/>
        <w:autoSpaceDN/>
        <w:bidi w:val="0"/>
        <w:spacing w:beforeAutospacing="0" w:after="0" w:afterAutospacing="0" w:line="600" w:lineRule="exact"/>
        <w:textAlignment w:val="auto"/>
        <w:rPr>
          <w:rFonts w:hint="eastAsia" w:ascii="方正仿宋_GBK" w:hAnsi="方正仿宋_GBK" w:eastAsia="方正仿宋_GBK" w:cs="方正仿宋_GBK"/>
          <w:sz w:val="32"/>
          <w:szCs w:val="32"/>
        </w:rPr>
      </w:pPr>
    </w:p>
    <w:p w14:paraId="0D7AB9AC">
      <w:pPr>
        <w:keepNext w:val="0"/>
        <w:keepLines w:val="0"/>
        <w:pageBreakBefore w:val="0"/>
        <w:widowControl/>
        <w:kinsoku/>
        <w:wordWrap w:val="0"/>
        <w:overflowPunct/>
        <w:topLinePunct w:val="0"/>
        <w:autoSpaceDE/>
        <w:autoSpaceDN/>
        <w:bidi w:val="0"/>
        <w:spacing w:beforeAutospacing="0" w:after="0" w:afterAutospacing="0" w:line="600" w:lineRule="exact"/>
        <w:jc w:val="right"/>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重庆市渝北区金融工作办公室       重庆市渝北区林业局    </w:t>
      </w:r>
    </w:p>
    <w:p w14:paraId="6F819213">
      <w:pPr>
        <w:pStyle w:val="2"/>
        <w:keepNext w:val="0"/>
        <w:keepLines w:val="0"/>
        <w:pageBreakBefore w:val="0"/>
        <w:widowControl/>
        <w:kinsoku/>
        <w:overflowPunct/>
        <w:topLinePunct w:val="0"/>
        <w:autoSpaceDE/>
        <w:autoSpaceDN/>
        <w:bidi w:val="0"/>
        <w:spacing w:beforeAutospacing="0" w:after="0" w:afterAutospacing="0" w:line="600" w:lineRule="exact"/>
        <w:textAlignment w:val="auto"/>
        <w:rPr>
          <w:rFonts w:hint="eastAsia" w:ascii="方正仿宋_GBK" w:hAnsi="方正仿宋_GBK" w:eastAsia="方正仿宋_GBK" w:cs="方正仿宋_GBK"/>
          <w:sz w:val="32"/>
          <w:szCs w:val="32"/>
        </w:rPr>
      </w:pPr>
    </w:p>
    <w:p w14:paraId="1437BB04">
      <w:pPr>
        <w:keepNext w:val="0"/>
        <w:keepLines w:val="0"/>
        <w:pageBreakBefore w:val="0"/>
        <w:widowControl/>
        <w:kinsoku/>
        <w:wordWrap w:val="0"/>
        <w:overflowPunct/>
        <w:topLinePunct w:val="0"/>
        <w:autoSpaceDE/>
        <w:autoSpaceDN/>
        <w:bidi w:val="0"/>
        <w:spacing w:beforeAutospacing="0" w:after="0" w:afterAutospacing="0" w:line="600" w:lineRule="exact"/>
        <w:jc w:val="right"/>
        <w:textAlignment w:val="auto"/>
        <w:rPr>
          <w:rFonts w:hint="eastAsia" w:ascii="方正仿宋_GBK" w:hAnsi="方正仿宋_GBK" w:eastAsia="方正仿宋_GBK" w:cs="方正仿宋_GBK"/>
          <w:kern w:val="2"/>
          <w:sz w:val="32"/>
          <w:szCs w:val="32"/>
        </w:rPr>
      </w:pPr>
    </w:p>
    <w:p w14:paraId="61A9BA3A">
      <w:pPr>
        <w:keepNext w:val="0"/>
        <w:keepLines w:val="0"/>
        <w:pageBreakBefore w:val="0"/>
        <w:widowControl/>
        <w:kinsoku/>
        <w:wordWrap w:val="0"/>
        <w:overflowPunct/>
        <w:topLinePunct w:val="0"/>
        <w:autoSpaceDE/>
        <w:autoSpaceDN/>
        <w:bidi w:val="0"/>
        <w:spacing w:beforeAutospacing="0" w:after="0" w:afterAutospacing="0" w:line="600" w:lineRule="exact"/>
        <w:jc w:val="right"/>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重庆市渝北区供销合作社    </w:t>
      </w:r>
    </w:p>
    <w:p w14:paraId="2C12E1C9">
      <w:pPr>
        <w:keepNext w:val="0"/>
        <w:keepLines w:val="0"/>
        <w:pageBreakBefore w:val="0"/>
        <w:widowControl/>
        <w:kinsoku/>
        <w:wordWrap w:val="0"/>
        <w:overflowPunct/>
        <w:topLinePunct w:val="0"/>
        <w:autoSpaceDE/>
        <w:autoSpaceDN/>
        <w:bidi w:val="0"/>
        <w:spacing w:beforeAutospacing="0" w:after="0" w:afterAutospacing="0" w:line="600" w:lineRule="exact"/>
        <w:jc w:val="right"/>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2021年3月18日</w:t>
      </w:r>
      <w:r>
        <w:rPr>
          <w:rFonts w:hint="eastAsia" w:ascii="方正仿宋_GBK" w:hAnsi="方正仿宋_GBK" w:eastAsia="方正仿宋_GBK" w:cs="方正仿宋_GBK"/>
          <w:kern w:val="2"/>
          <w:sz w:val="32"/>
          <w:szCs w:val="32"/>
          <w:lang w:val="en-US" w:eastAsia="zh-CN"/>
        </w:rPr>
        <w:t xml:space="preserve">      </w:t>
      </w:r>
    </w:p>
    <w:p w14:paraId="0BEC7AF3">
      <w:pPr>
        <w:keepNext w:val="0"/>
        <w:keepLines w:val="0"/>
        <w:pageBreakBefore w:val="0"/>
        <w:widowControl/>
        <w:kinsoku/>
        <w:overflowPunct/>
        <w:topLinePunct w:val="0"/>
        <w:autoSpaceDE/>
        <w:autoSpaceDN/>
        <w:bidi w:val="0"/>
        <w:adjustRightInd/>
        <w:snapToGrid/>
        <w:spacing w:beforeAutospacing="0" w:after="0" w:afterAutospacing="0" w:line="600" w:lineRule="exact"/>
        <w:jc w:val="left"/>
        <w:textAlignment w:val="auto"/>
        <w:rPr>
          <w:rFonts w:hint="eastAsia" w:ascii="方正仿宋_GBK" w:hAnsi="方正仿宋_GBK" w:eastAsia="方正仿宋_GBK" w:cs="方正仿宋_GBK"/>
          <w:sz w:val="32"/>
          <w:szCs w:val="32"/>
        </w:rPr>
      </w:pPr>
    </w:p>
    <w:p w14:paraId="51FC7825">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小标宋_GBK" w:cs="Times New Roman"/>
          <w:sz w:val="44"/>
          <w:szCs w:val="44"/>
        </w:rPr>
      </w:pPr>
    </w:p>
    <w:p w14:paraId="71E9974A">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渝北区2021年政策性农业保险工作方案</w:t>
      </w:r>
    </w:p>
    <w:p w14:paraId="49F20BF0">
      <w:pPr>
        <w:pStyle w:val="2"/>
        <w:keepNext w:val="0"/>
        <w:keepLines w:val="0"/>
        <w:pageBreakBefore w:val="0"/>
        <w:kinsoku/>
        <w:wordWrap/>
        <w:overflowPunct/>
        <w:topLinePunct w:val="0"/>
        <w:autoSpaceDE/>
        <w:autoSpaceDN/>
        <w:bidi w:val="0"/>
        <w:spacing w:beforeAutospacing="0" w:after="0" w:afterAutospacing="0" w:line="600" w:lineRule="exact"/>
        <w:textAlignment w:val="auto"/>
        <w:rPr>
          <w:rFonts w:hint="default" w:ascii="Times New Roman" w:hAnsi="Times New Roman" w:cs="Times New Roman"/>
          <w:sz w:val="32"/>
          <w:szCs w:val="32"/>
        </w:rPr>
      </w:pPr>
    </w:p>
    <w:p w14:paraId="221C4475">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为充分发挥农业保险在农业生产经营中的风险保障作用，鼓励支持农业生产主体做大做强特色主导产业，进一步促进我区双“十万”工程建设和农业高质量发展，</w:t>
      </w:r>
      <w:r>
        <w:rPr>
          <w:rStyle w:val="13"/>
          <w:rFonts w:hint="default" w:ascii="Times New Roman" w:hAnsi="Times New Roman" w:eastAsia="方正仿宋_GBK" w:cs="Times New Roman"/>
          <w:color w:val="000000"/>
          <w:sz w:val="32"/>
          <w:szCs w:val="32"/>
          <w:lang w:val="zh-CN"/>
        </w:rPr>
        <w:t>根据市政府《关于印发重庆市农业保险保费保障倍增计划实施方案的通知》（渝府办发〔2018〕93号）、市财政局等5部门《关于印发〈关于加快农业保险高质量发展工作方案〉的通知》（渝财规〔2020〕11号）等文件精神</w:t>
      </w:r>
      <w:r>
        <w:rPr>
          <w:rFonts w:hint="default" w:ascii="Times New Roman" w:hAnsi="Times New Roman" w:eastAsia="方正仿宋_GBK" w:cs="Times New Roman"/>
          <w:kern w:val="2"/>
          <w:sz w:val="32"/>
          <w:szCs w:val="32"/>
        </w:rPr>
        <w:t>，现制定渝北区2021年政策性农业保险工作方案。</w:t>
      </w:r>
    </w:p>
    <w:p w14:paraId="2E31931D">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一、开展政策性农业保险目标</w:t>
      </w:r>
    </w:p>
    <w:p w14:paraId="7BF13F41">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大力开展中央、市级财政补贴范围内的农业保险基础上，积极探索实施我区特色农业生产灾害保险和农产品收益保险，稳步扩大农业保险覆盖面。2021年，我区将新增水稻、玉米、小龙虾、牛、柑橘、经济林木（主要包括李子、桃子、蓝莓、杨梅、梨子）等种养殖业生产灾害损失保险3大类15个保险品种，保险范围基本覆盖区内重点特色农业产业，力争参保率达30%以上，基本满足多层次、多样化的农业保险需求，为全区农业保险高质量发展注入新动能。</w:t>
      </w:r>
    </w:p>
    <w:p w14:paraId="6D8E092A">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二、实施方案及保费承担比例</w:t>
      </w:r>
    </w:p>
    <w:p w14:paraId="7A5654D9">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（一）水稻种植保险</w:t>
      </w:r>
    </w:p>
    <w:p w14:paraId="180CB474">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1.保险责任</w:t>
      </w:r>
    </w:p>
    <w:p w14:paraId="47A13442">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在保险期间内，由于下列原因直接造成保险水稻的损失，且损失率达到25%（含）以上的，保险人按照保险合同的约定负责赔偿：</w:t>
      </w:r>
    </w:p>
    <w:p w14:paraId="3C2C946F">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（1）暴雨、洪水（政府行蓄洪除外）、内涝；</w:t>
      </w:r>
    </w:p>
    <w:p w14:paraId="3919D180">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（2）风灾、冻灾、雹灾；</w:t>
      </w:r>
    </w:p>
    <w:p w14:paraId="2AE2C91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（3）病虫草鼠害。</w:t>
      </w:r>
    </w:p>
    <w:p w14:paraId="7A70DE88">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2.保险金额及保险费</w:t>
      </w:r>
    </w:p>
    <w:p w14:paraId="54357A1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600元/亩。</w:t>
      </w:r>
    </w:p>
    <w:p w14:paraId="09369E27">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保险费率：6%。</w:t>
      </w:r>
    </w:p>
    <w:p w14:paraId="6EBED35D">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保险费：36元/亩，其中市区财政补助27元/亩，种植业主承担9元/亩。</w:t>
      </w:r>
    </w:p>
    <w:p w14:paraId="6AB4A09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3.保险理赔</w:t>
      </w:r>
    </w:p>
    <w:p w14:paraId="37256013">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保险水稻发生保险责任范围内的损失，保险人按照保险水稻不同生长期的最高赔偿标准、损失率及受损面积计算赔偿。</w:t>
      </w:r>
    </w:p>
    <w:p w14:paraId="4CB4093C">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保险水稻的损失率在80%以下（不含）时，保险人按照以下方式计算赔偿：赔偿金额=不同生长期的最高赔偿标准×损失率×受损面积；</w:t>
      </w:r>
    </w:p>
    <w:p w14:paraId="6EB9387D">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保险水稻的损失率在80%以上（含）时，视为全部损失，保险人按照以下方式计算赔偿：赔偿金额=不同生长期的最高赔偿标准×受损面积。</w:t>
      </w:r>
    </w:p>
    <w:p w14:paraId="110CB489">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损失率=单位面积植株损失数量（或平均损失产量）/单位面积平均植株数量（或平均正常产量）；平均正常产量参照当地水稻前三年产量的平均值，由保险人与被保险人协商确定，并在保险单中载明。</w:t>
      </w:r>
    </w:p>
    <w:p w14:paraId="546D6417">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水稻各生长阶段最高赔付标准</w:t>
      </w:r>
    </w:p>
    <w:tbl>
      <w:tblPr>
        <w:tblStyle w:val="8"/>
        <w:tblW w:w="8789" w:type="dxa"/>
        <w:tblInd w:w="108" w:type="dxa"/>
        <w:tblLayout w:type="fixed"/>
        <w:tblCellMar>
          <w:top w:w="0" w:type="dxa"/>
          <w:left w:w="108" w:type="dxa"/>
          <w:bottom w:w="0" w:type="dxa"/>
          <w:right w:w="108" w:type="dxa"/>
        </w:tblCellMar>
      </w:tblPr>
      <w:tblGrid>
        <w:gridCol w:w="3969"/>
        <w:gridCol w:w="4820"/>
      </w:tblGrid>
      <w:tr w14:paraId="2B3B3348">
        <w:tblPrEx>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14:paraId="74B3C311">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生长期</w:t>
            </w:r>
          </w:p>
        </w:tc>
        <w:tc>
          <w:tcPr>
            <w:tcW w:w="4820" w:type="dxa"/>
            <w:tcBorders>
              <w:top w:val="single" w:color="auto" w:sz="4" w:space="0"/>
              <w:left w:val="nil"/>
              <w:bottom w:val="single" w:color="auto" w:sz="4" w:space="0"/>
              <w:right w:val="single" w:color="auto" w:sz="4" w:space="0"/>
            </w:tcBorders>
          </w:tcPr>
          <w:p w14:paraId="1A1D36D7">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每亩最高赔偿标准</w:t>
            </w:r>
          </w:p>
        </w:tc>
      </w:tr>
      <w:tr w14:paraId="63C486E3">
        <w:tblPrEx>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14:paraId="289EF275">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移栽成活—分孽期</w:t>
            </w:r>
          </w:p>
        </w:tc>
        <w:tc>
          <w:tcPr>
            <w:tcW w:w="4820" w:type="dxa"/>
            <w:tcBorders>
              <w:top w:val="single" w:color="auto" w:sz="4" w:space="0"/>
              <w:left w:val="nil"/>
              <w:bottom w:val="single" w:color="auto" w:sz="4" w:space="0"/>
              <w:right w:val="single" w:color="auto" w:sz="4" w:space="0"/>
            </w:tcBorders>
          </w:tcPr>
          <w:p w14:paraId="19EDE895">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每亩保险金额×40%</w:t>
            </w:r>
          </w:p>
        </w:tc>
      </w:tr>
      <w:tr w14:paraId="41DD95B7">
        <w:tblPrEx>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14:paraId="63E332C9">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拨节期—抽穗期</w:t>
            </w:r>
          </w:p>
        </w:tc>
        <w:tc>
          <w:tcPr>
            <w:tcW w:w="4820" w:type="dxa"/>
            <w:tcBorders>
              <w:top w:val="single" w:color="auto" w:sz="4" w:space="0"/>
              <w:left w:val="nil"/>
              <w:bottom w:val="single" w:color="auto" w:sz="4" w:space="0"/>
              <w:right w:val="single" w:color="auto" w:sz="4" w:space="0"/>
            </w:tcBorders>
          </w:tcPr>
          <w:p w14:paraId="191AACE0">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每亩保险金额×70%</w:t>
            </w:r>
          </w:p>
        </w:tc>
      </w:tr>
      <w:tr w14:paraId="1371FD75">
        <w:tblPrEx>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14:paraId="7E5318D1">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扬花灌浆期—成熟期</w:t>
            </w:r>
          </w:p>
        </w:tc>
        <w:tc>
          <w:tcPr>
            <w:tcW w:w="4820" w:type="dxa"/>
            <w:tcBorders>
              <w:top w:val="single" w:color="auto" w:sz="4" w:space="0"/>
              <w:left w:val="nil"/>
              <w:bottom w:val="single" w:color="auto" w:sz="4" w:space="0"/>
              <w:right w:val="single" w:color="auto" w:sz="4" w:space="0"/>
            </w:tcBorders>
          </w:tcPr>
          <w:p w14:paraId="1893B939">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每亩保险金额×100%</w:t>
            </w:r>
          </w:p>
        </w:tc>
      </w:tr>
    </w:tbl>
    <w:p w14:paraId="6343051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在发生损失后难以立即确定损失率的情况下，实行两次定损。第一次定损先将灾情和初步定损结果记录在案，经一定时间观察期后二次定损，以确定损失程度。</w:t>
      </w:r>
    </w:p>
    <w:p w14:paraId="4697FA6E">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（二）玉米种植保险</w:t>
      </w:r>
    </w:p>
    <w:p w14:paraId="647E9C00">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1.保险责任</w:t>
      </w:r>
    </w:p>
    <w:p w14:paraId="3BD7868B">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在保险期间内，由于下列原因直接造成保险玉米的损失，且损失率达到25%（含）以上的，保险人按照保险合同的约定负责赔偿：</w:t>
      </w:r>
    </w:p>
    <w:p w14:paraId="1FF70CE6">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（1）暴雨、洪水（政府行蓄洪除外）、内涝、风灾、雹灾、冻灾、旱灾、地震、泥石流、山体滑坡、火灾；</w:t>
      </w:r>
    </w:p>
    <w:p w14:paraId="5B51892C">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（2）病虫草鼠害。</w:t>
      </w:r>
    </w:p>
    <w:p w14:paraId="353D6CB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2.保险金额及保险费</w:t>
      </w:r>
    </w:p>
    <w:p w14:paraId="120F7552">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600元/亩。</w:t>
      </w:r>
    </w:p>
    <w:p w14:paraId="13C3F50E">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保险费率：6%。</w:t>
      </w:r>
    </w:p>
    <w:p w14:paraId="380676E0">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保险费：36元/亩，其中市区财政补助27元/亩，种植业主承担9元/亩。</w:t>
      </w:r>
    </w:p>
    <w:p w14:paraId="4B41BF09">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3.保险理赔</w:t>
      </w:r>
    </w:p>
    <w:p w14:paraId="0AE7F691">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保险玉米发生保险责任范围内的损失，保险人按以下方式计算赔偿。</w:t>
      </w:r>
    </w:p>
    <w:p w14:paraId="1A3A094A">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保险玉米的损失率在80%以下（不含）时，保险人按照以下方式计算赔偿：赔偿金额=不同生长期的最高赔偿标准×损失率×受损面积；</w:t>
      </w:r>
    </w:p>
    <w:p w14:paraId="05D04AFD">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保险玉米的损失率在80%以上（含）时，视为全部损失，保险人按照以下方式计算赔偿：赔偿金额=不同生长期的最高赔偿标准×受损面积。</w:t>
      </w:r>
    </w:p>
    <w:p w14:paraId="7466CA69">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损失率=单位面积植株损失数量（或平均损失产量）/单位面积平均植株数量（或平均正常产量）；平均正常产量参照当地玉米前三年产量的平均值，由保险人与被保险人协商确定，并在保险单中载明。</w:t>
      </w:r>
    </w:p>
    <w:p w14:paraId="4B8CA034">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玉米不同生长期的赔偿标准</w:t>
      </w:r>
    </w:p>
    <w:tbl>
      <w:tblPr>
        <w:tblStyle w:val="8"/>
        <w:tblW w:w="7600" w:type="dxa"/>
        <w:jc w:val="center"/>
        <w:tblLayout w:type="fixed"/>
        <w:tblCellMar>
          <w:top w:w="0" w:type="dxa"/>
          <w:left w:w="108" w:type="dxa"/>
          <w:bottom w:w="0" w:type="dxa"/>
          <w:right w:w="108" w:type="dxa"/>
        </w:tblCellMar>
      </w:tblPr>
      <w:tblGrid>
        <w:gridCol w:w="3339"/>
        <w:gridCol w:w="4261"/>
      </w:tblGrid>
      <w:tr w14:paraId="7EC942B5">
        <w:tblPrEx>
          <w:tblCellMar>
            <w:top w:w="0" w:type="dxa"/>
            <w:left w:w="108" w:type="dxa"/>
            <w:bottom w:w="0" w:type="dxa"/>
            <w:right w:w="108" w:type="dxa"/>
          </w:tblCellMar>
        </w:tblPrEx>
        <w:trPr>
          <w:jc w:val="center"/>
        </w:trPr>
        <w:tc>
          <w:tcPr>
            <w:tcW w:w="3339" w:type="dxa"/>
            <w:tcBorders>
              <w:top w:val="single" w:color="auto" w:sz="4" w:space="0"/>
              <w:left w:val="single" w:color="auto" w:sz="4" w:space="0"/>
              <w:bottom w:val="single" w:color="auto" w:sz="4" w:space="0"/>
              <w:right w:val="single" w:color="auto" w:sz="4" w:space="0"/>
            </w:tcBorders>
          </w:tcPr>
          <w:p w14:paraId="24AF44C4">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生长期</w:t>
            </w:r>
          </w:p>
        </w:tc>
        <w:tc>
          <w:tcPr>
            <w:tcW w:w="4261" w:type="dxa"/>
            <w:tcBorders>
              <w:top w:val="single" w:color="auto" w:sz="4" w:space="0"/>
              <w:left w:val="nil"/>
              <w:bottom w:val="single" w:color="auto" w:sz="4" w:space="0"/>
              <w:right w:val="single" w:color="auto" w:sz="4" w:space="0"/>
            </w:tcBorders>
          </w:tcPr>
          <w:p w14:paraId="257770C0">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每亩最高赔偿标准</w:t>
            </w:r>
          </w:p>
        </w:tc>
      </w:tr>
      <w:tr w14:paraId="66E5CD00">
        <w:tblPrEx>
          <w:tblCellMar>
            <w:top w:w="0" w:type="dxa"/>
            <w:left w:w="108" w:type="dxa"/>
            <w:bottom w:w="0" w:type="dxa"/>
            <w:right w:w="108" w:type="dxa"/>
          </w:tblCellMar>
        </w:tblPrEx>
        <w:trPr>
          <w:jc w:val="center"/>
        </w:trPr>
        <w:tc>
          <w:tcPr>
            <w:tcW w:w="3339" w:type="dxa"/>
            <w:tcBorders>
              <w:top w:val="single" w:color="auto" w:sz="4" w:space="0"/>
              <w:left w:val="single" w:color="auto" w:sz="4" w:space="0"/>
              <w:bottom w:val="single" w:color="auto" w:sz="4" w:space="0"/>
              <w:right w:val="single" w:color="auto" w:sz="4" w:space="0"/>
            </w:tcBorders>
          </w:tcPr>
          <w:p w14:paraId="0EF23B77">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定苗期</w:t>
            </w:r>
          </w:p>
        </w:tc>
        <w:tc>
          <w:tcPr>
            <w:tcW w:w="4261" w:type="dxa"/>
            <w:tcBorders>
              <w:top w:val="single" w:color="auto" w:sz="4" w:space="0"/>
              <w:left w:val="nil"/>
              <w:bottom w:val="single" w:color="auto" w:sz="4" w:space="0"/>
              <w:right w:val="single" w:color="auto" w:sz="4" w:space="0"/>
            </w:tcBorders>
          </w:tcPr>
          <w:p w14:paraId="288FE29C">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每亩保险金额×40%</w:t>
            </w:r>
          </w:p>
        </w:tc>
      </w:tr>
      <w:tr w14:paraId="1D820552">
        <w:tblPrEx>
          <w:tblCellMar>
            <w:top w:w="0" w:type="dxa"/>
            <w:left w:w="108" w:type="dxa"/>
            <w:bottom w:w="0" w:type="dxa"/>
            <w:right w:w="108" w:type="dxa"/>
          </w:tblCellMar>
        </w:tblPrEx>
        <w:trPr>
          <w:jc w:val="center"/>
        </w:trPr>
        <w:tc>
          <w:tcPr>
            <w:tcW w:w="3339" w:type="dxa"/>
            <w:tcBorders>
              <w:top w:val="single" w:color="auto" w:sz="4" w:space="0"/>
              <w:left w:val="single" w:color="auto" w:sz="4" w:space="0"/>
              <w:bottom w:val="single" w:color="auto" w:sz="4" w:space="0"/>
              <w:right w:val="single" w:color="auto" w:sz="4" w:space="0"/>
            </w:tcBorders>
          </w:tcPr>
          <w:p w14:paraId="6E692D83">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拔节期</w:t>
            </w:r>
          </w:p>
        </w:tc>
        <w:tc>
          <w:tcPr>
            <w:tcW w:w="4261" w:type="dxa"/>
            <w:tcBorders>
              <w:top w:val="single" w:color="auto" w:sz="4" w:space="0"/>
              <w:left w:val="nil"/>
              <w:bottom w:val="single" w:color="auto" w:sz="4" w:space="0"/>
              <w:right w:val="single" w:color="auto" w:sz="4" w:space="0"/>
            </w:tcBorders>
          </w:tcPr>
          <w:p w14:paraId="20831057">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每亩保险金额×50%</w:t>
            </w:r>
          </w:p>
        </w:tc>
      </w:tr>
      <w:tr w14:paraId="25C9F37F">
        <w:tblPrEx>
          <w:tblCellMar>
            <w:top w:w="0" w:type="dxa"/>
            <w:left w:w="108" w:type="dxa"/>
            <w:bottom w:w="0" w:type="dxa"/>
            <w:right w:w="108" w:type="dxa"/>
          </w:tblCellMar>
        </w:tblPrEx>
        <w:trPr>
          <w:jc w:val="center"/>
        </w:trPr>
        <w:tc>
          <w:tcPr>
            <w:tcW w:w="3339" w:type="dxa"/>
            <w:tcBorders>
              <w:top w:val="single" w:color="auto" w:sz="4" w:space="0"/>
              <w:left w:val="single" w:color="auto" w:sz="4" w:space="0"/>
              <w:bottom w:val="single" w:color="auto" w:sz="4" w:space="0"/>
              <w:right w:val="single" w:color="auto" w:sz="4" w:space="0"/>
            </w:tcBorders>
          </w:tcPr>
          <w:p w14:paraId="65D8B6B7">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吐丝期</w:t>
            </w:r>
          </w:p>
        </w:tc>
        <w:tc>
          <w:tcPr>
            <w:tcW w:w="4261" w:type="dxa"/>
            <w:tcBorders>
              <w:top w:val="single" w:color="auto" w:sz="4" w:space="0"/>
              <w:left w:val="nil"/>
              <w:bottom w:val="single" w:color="auto" w:sz="4" w:space="0"/>
              <w:right w:val="single" w:color="auto" w:sz="4" w:space="0"/>
            </w:tcBorders>
          </w:tcPr>
          <w:p w14:paraId="555A892E">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每亩保险金额×70%</w:t>
            </w:r>
          </w:p>
        </w:tc>
      </w:tr>
      <w:tr w14:paraId="279F4553">
        <w:tblPrEx>
          <w:tblCellMar>
            <w:top w:w="0" w:type="dxa"/>
            <w:left w:w="108" w:type="dxa"/>
            <w:bottom w:w="0" w:type="dxa"/>
            <w:right w:w="108" w:type="dxa"/>
          </w:tblCellMar>
        </w:tblPrEx>
        <w:trPr>
          <w:jc w:val="center"/>
        </w:trPr>
        <w:tc>
          <w:tcPr>
            <w:tcW w:w="3339" w:type="dxa"/>
            <w:tcBorders>
              <w:top w:val="single" w:color="auto" w:sz="4" w:space="0"/>
              <w:left w:val="single" w:color="auto" w:sz="4" w:space="0"/>
              <w:bottom w:val="single" w:color="auto" w:sz="4" w:space="0"/>
              <w:right w:val="single" w:color="auto" w:sz="4" w:space="0"/>
            </w:tcBorders>
          </w:tcPr>
          <w:p w14:paraId="2244AB82">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成熟期</w:t>
            </w:r>
          </w:p>
        </w:tc>
        <w:tc>
          <w:tcPr>
            <w:tcW w:w="4261" w:type="dxa"/>
            <w:tcBorders>
              <w:top w:val="single" w:color="auto" w:sz="4" w:space="0"/>
              <w:left w:val="nil"/>
              <w:bottom w:val="single" w:color="auto" w:sz="4" w:space="0"/>
              <w:right w:val="single" w:color="auto" w:sz="4" w:space="0"/>
            </w:tcBorders>
          </w:tcPr>
          <w:p w14:paraId="7C3E8ABA">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每亩保险金额×100%</w:t>
            </w:r>
          </w:p>
        </w:tc>
      </w:tr>
    </w:tbl>
    <w:p w14:paraId="62B1E7C3">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在发生损失后难以立即确定损失率的情况下，实行两次定损。第一次定损先将灾情和初步定损结果记录在案，经一定时间观察期后二次定损，以确定确切损失程度。</w:t>
      </w:r>
    </w:p>
    <w:p w14:paraId="2A1E681A">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（三）能繁母猪养殖保险</w:t>
      </w:r>
    </w:p>
    <w:p w14:paraId="3D435C3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1.保险责任</w:t>
      </w:r>
    </w:p>
    <w:p w14:paraId="215ECC56">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在保险期间内，由于下列原因直接造成保险母猪死亡，保险人按照保险合同的约定负责赔偿：</w:t>
      </w:r>
    </w:p>
    <w:p w14:paraId="51E9217D">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（1）火灾、爆炸；</w:t>
      </w:r>
    </w:p>
    <w:p w14:paraId="6DA8EB80">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（2）暴雨、洪水（政府行蓄洪除外）、风灾、雷击、地震、冰雹、冻灾；</w:t>
      </w:r>
    </w:p>
    <w:p w14:paraId="4811065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（3）山体滑坡、泥石流；</w:t>
      </w:r>
    </w:p>
    <w:p w14:paraId="424AF6DE">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（4）建筑物倒塌、空中运行物体坠落；</w:t>
      </w:r>
    </w:p>
    <w:p w14:paraId="1C5E75AF">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5）猪丹毒、猪肺疫、猪水泡病、猪链球菌、猪乙型脑炎、附红细胞体病、伪狂犬病、猪细小病毒、猪传染性萎缩性鼻炎、猪支原体肺炎、旋毛虫病、猪囊尾蚴病、猪副伤寒、猪圆环病毒病、猪传染性胃肠炎、猪魏氏梭菌病，口蹄疫、猪瘟、高致病性蓝耳病及其强制免疫副反应等疫病、疾病。</w:t>
      </w:r>
    </w:p>
    <w:p w14:paraId="5045E20E">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2.保险金额</w:t>
      </w:r>
    </w:p>
    <w:p w14:paraId="638806A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2000元/头。</w:t>
      </w:r>
    </w:p>
    <w:p w14:paraId="4C752993">
      <w:pPr>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保险费率及保险费</w:t>
      </w:r>
    </w:p>
    <w:p w14:paraId="7A4DC3ED">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保险费率：6%。</w:t>
      </w:r>
    </w:p>
    <w:p w14:paraId="578D8BF6">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保险费：120元/头，其中中央财政补助60元/头，市级财政补助18元/头，区财政补助18元/头，养殖业主承担24元/头。</w:t>
      </w:r>
    </w:p>
    <w:p w14:paraId="3B6217ED">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4.赔偿计算</w:t>
      </w:r>
    </w:p>
    <w:p w14:paraId="034810F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保险母猪发生保险责任范围内的死亡，保险人按以下方式计算赔偿：</w:t>
      </w:r>
    </w:p>
    <w:p w14:paraId="3EDDBAAF">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赔偿金额=死亡数量×每头保险金额</w:t>
      </w:r>
    </w:p>
    <w:p w14:paraId="554700E2">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（四）生猪养殖保险</w:t>
      </w:r>
    </w:p>
    <w:p w14:paraId="265FA063">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1.保险责任</w:t>
      </w:r>
    </w:p>
    <w:p w14:paraId="3179948E">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在保险期间内，由于下列原因直接造成保险生猪死亡，保险人按照保险合同的约定负责赔偿：</w:t>
      </w:r>
    </w:p>
    <w:p w14:paraId="2848222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（1）火灾、爆炸；</w:t>
      </w:r>
    </w:p>
    <w:p w14:paraId="43526A7A">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（2）雷击、暴雨、洪水（政府行蓄洪除外）、风灾、冰雹、地震、冻灾；</w:t>
      </w:r>
    </w:p>
    <w:p w14:paraId="648EC200">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（3）山体滑坡、泥石流；</w:t>
      </w:r>
    </w:p>
    <w:p w14:paraId="7A9DD04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（4）建筑物倒塌、空中运行物体坠落；</w:t>
      </w:r>
    </w:p>
    <w:p w14:paraId="2947BC28">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5）猪丹毒、猪肺疫、猪水泡病、猪链球菌、猪乙型脑炎、附红细胞体病、伪狂犬病、猪细小病毒、猪传染性萎缩性鼻炎、猪支原体肺炎、旋毛虫病、猪囊尾蚴病、猪副伤寒、猪圆环病毒病、猪传染性胃肠炎、猪魏氏梭菌病，口蹄疫、猪瘟、高致病性蓝耳病及其强制免疫副反应等疾病、疫病。</w:t>
      </w:r>
    </w:p>
    <w:p w14:paraId="709578D3">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2.保险金额</w:t>
      </w:r>
    </w:p>
    <w:p w14:paraId="2E8912A6">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1000元/头。</w:t>
      </w:r>
    </w:p>
    <w:p w14:paraId="0FF2241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3.保险费率及保险费</w:t>
      </w:r>
    </w:p>
    <w:p w14:paraId="2E581945">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保险费率：6%</w:t>
      </w:r>
    </w:p>
    <w:p w14:paraId="4AB87BC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保险费：60元/头，其中中央财政补助30元/头，市级财政补助9元/头，区财政补助9元/头，养殖业主承担12元/头。</w:t>
      </w:r>
    </w:p>
    <w:p w14:paraId="0E02A23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4.赔偿计算</w:t>
      </w:r>
    </w:p>
    <w:p w14:paraId="019EE66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保险生猪发生保险责任范围内的死亡，保险人按以下方式计算赔偿：</w:t>
      </w:r>
    </w:p>
    <w:p w14:paraId="423F0A08">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每头赔偿金额=每头保险金额×不同阶段赔偿比例</w:t>
      </w:r>
    </w:p>
    <w:p w14:paraId="77B41E23">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赔偿金额=∑每头赔偿金额</w:t>
      </w:r>
    </w:p>
    <w:p w14:paraId="04FDEFAA">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（五）渔业养殖保险</w:t>
      </w:r>
    </w:p>
    <w:p w14:paraId="30717D35">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1.保险责任</w:t>
      </w:r>
    </w:p>
    <w:p w14:paraId="525BA64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在保险期间内，由于下列原因直接造成保险渔业水产死亡，保险人按照保险合同的约定负责赔偿：</w:t>
      </w:r>
    </w:p>
    <w:p w14:paraId="761C3054">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（1）由于疾病、旱灾、暴雨、洪水、泥石流、山体滑坡原因直接造成保险水产在保险单载明的养殖地点内死亡，且死亡率超过起赔线；</w:t>
      </w:r>
    </w:p>
    <w:p w14:paraId="172A9D88">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（2）由于暴雨、洪水、泥石流、山体滑坡导致渔塘漫堤或垮塌直接造成保险水产在保险单载明的养殖地点内逃逸的损失（需提供区县及以上气象部门的灾害记录、报告或公布的灾害信息书面证明）。</w:t>
      </w:r>
    </w:p>
    <w:p w14:paraId="626FF2F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下列原因造成的损失、费用，不属于保险责任范畴，保险人不负责赔偿：投保人及其家庭成员、被保险人及其家庭成员、投保人或被保险人雇用人员的故意行为、管理不善；行政行为或司法行为；核辐射及其他放射性污染；防病治病施药过量，或过量投放饵料引起中毒；哄抢、窃捞、投毒、塘水污染；供电部门的停电致使增氧机、供（排）水系统无法正常工作导致的逃逸和死亡；保险水产未按照国家相关规定进行无害化处理和其他不属于本保险责任范围内的损失和费用，保险水产在运输途中的死亡，保险人不负责赔偿。</w:t>
      </w:r>
    </w:p>
    <w:p w14:paraId="4BC4AB45">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2.保险金额</w:t>
      </w:r>
    </w:p>
    <w:p w14:paraId="665696E4">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4000元/亩。</w:t>
      </w:r>
    </w:p>
    <w:p w14:paraId="28DB0A2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3.保险费率及保险费</w:t>
      </w:r>
    </w:p>
    <w:p w14:paraId="5A49C7EE">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保险费率：5%</w:t>
      </w:r>
    </w:p>
    <w:p w14:paraId="27B0DAFA">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保险费：200元/亩，其中市区财政补助140元/亩，养殖业主承担60元/亩。</w:t>
      </w:r>
    </w:p>
    <w:p w14:paraId="2D478E94">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4.赔偿计算</w:t>
      </w:r>
    </w:p>
    <w:p w14:paraId="580F7AF4">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保险渔业发生保险责任范围内的死亡，保险人按以下方式计算赔偿：</w:t>
      </w:r>
    </w:p>
    <w:p w14:paraId="4FC32563">
      <w:pPr>
        <w:keepNext w:val="0"/>
        <w:keepLines w:val="0"/>
        <w:pageBreakBefore w:val="0"/>
        <w:kinsoku/>
        <w:wordWrap/>
        <w:overflowPunct/>
        <w:topLinePunct w:val="0"/>
        <w:autoSpaceDE/>
        <w:autoSpaceDN/>
        <w:bidi w:val="0"/>
        <w:adjustRightIn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每口渔塘赔偿金额=每口渔塘保险金额×每口渔塘死亡率</w:t>
      </w:r>
    </w:p>
    <w:p w14:paraId="1D84C30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赔偿金额=∑每口渔塘赔偿金额</w:t>
      </w:r>
    </w:p>
    <w:p w14:paraId="6CD73C18">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（六）小龙虾养殖保险</w:t>
      </w:r>
    </w:p>
    <w:p w14:paraId="31D03DAD">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1.保险责任</w:t>
      </w:r>
    </w:p>
    <w:p w14:paraId="121E12C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（1）暴雨；</w:t>
      </w:r>
    </w:p>
    <w:p w14:paraId="0E8E652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（2）洪水（政府行蓄洪除外）；</w:t>
      </w:r>
    </w:p>
    <w:p w14:paraId="4FC42E7A">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（3）旱灾。</w:t>
      </w:r>
    </w:p>
    <w:p w14:paraId="4C28313E">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在保险期间内，由于连续5天以上（含）高温在37℃以上（含）造成保险淡水小龙虾损失，保险人按照本保险合同的约定负责赔偿。</w:t>
      </w:r>
    </w:p>
    <w:p w14:paraId="67696E7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2.保险金额</w:t>
      </w:r>
    </w:p>
    <w:p w14:paraId="254202F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淡水小龙虾的保险金额为2000元/亩，并在保险单中载明。</w:t>
      </w:r>
    </w:p>
    <w:p w14:paraId="155D56EE">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3.保险费率及保险费</w:t>
      </w:r>
    </w:p>
    <w:p w14:paraId="023E012F">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保险费率：5%</w:t>
      </w:r>
    </w:p>
    <w:p w14:paraId="45B2B30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保险费：100元/亩，其中区财政补助70元/亩，养殖业主承担30元/亩。</w:t>
      </w:r>
    </w:p>
    <w:p w14:paraId="45A83193">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3.保险理赔</w:t>
      </w:r>
    </w:p>
    <w:p w14:paraId="43EE8E16">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保险淡水小龙虾发生保险责任范围内的损失时，保险人按以下方式计算赔偿：</w:t>
      </w:r>
    </w:p>
    <w:p w14:paraId="68C6CBE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（1）发生以上列明保险责任的保险事故，保险人按照如下约定进行赔偿：</w:t>
      </w:r>
    </w:p>
    <w:p w14:paraId="39F2435F">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赔偿金额＝损失面积（亩）×每亩保险金额（元/亩）×[1-损失范围内亩均已收获成虾重量（斤）/标准亩产量（斤/亩）]×不同时期赔付比例损失范围内亩均已收获成虾重量=损失面积中已收获成虾重量/损失面积。</w:t>
      </w:r>
    </w:p>
    <w:p w14:paraId="62EFB4F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不同时期赔付比例</w:t>
      </w:r>
    </w:p>
    <w:tbl>
      <w:tblPr>
        <w:tblStyle w:val="8"/>
        <w:tblW w:w="88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569"/>
        <w:gridCol w:w="1212"/>
        <w:gridCol w:w="1213"/>
        <w:gridCol w:w="1213"/>
        <w:gridCol w:w="1212"/>
        <w:gridCol w:w="1213"/>
        <w:gridCol w:w="1213"/>
      </w:tblGrid>
      <w:tr w14:paraId="4173BD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9" w:type="dxa"/>
            <w:tcBorders>
              <w:top w:val="single" w:color="auto" w:sz="8" w:space="0"/>
              <w:left w:val="single" w:color="auto" w:sz="8" w:space="0"/>
              <w:bottom w:val="single" w:color="auto" w:sz="6" w:space="0"/>
              <w:right w:val="single" w:color="auto" w:sz="6" w:space="0"/>
            </w:tcBorders>
            <w:vAlign w:val="center"/>
          </w:tcPr>
          <w:p w14:paraId="5CAC6AE3">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放养月份</w:t>
            </w:r>
          </w:p>
        </w:tc>
        <w:tc>
          <w:tcPr>
            <w:tcW w:w="1212" w:type="dxa"/>
            <w:tcBorders>
              <w:top w:val="single" w:color="auto" w:sz="8" w:space="0"/>
              <w:left w:val="single" w:color="auto" w:sz="6" w:space="0"/>
              <w:bottom w:val="single" w:color="auto" w:sz="6" w:space="0"/>
              <w:right w:val="single" w:color="auto" w:sz="6" w:space="0"/>
            </w:tcBorders>
            <w:vAlign w:val="center"/>
          </w:tcPr>
          <w:p w14:paraId="59F2D065">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１个月</w:t>
            </w:r>
          </w:p>
        </w:tc>
        <w:tc>
          <w:tcPr>
            <w:tcW w:w="1213" w:type="dxa"/>
            <w:tcBorders>
              <w:top w:val="single" w:color="auto" w:sz="8" w:space="0"/>
              <w:left w:val="single" w:color="auto" w:sz="6" w:space="0"/>
              <w:bottom w:val="single" w:color="auto" w:sz="6" w:space="0"/>
              <w:right w:val="single" w:color="auto" w:sz="6" w:space="0"/>
            </w:tcBorders>
            <w:vAlign w:val="center"/>
          </w:tcPr>
          <w:p w14:paraId="5C32086A">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２个月</w:t>
            </w:r>
          </w:p>
        </w:tc>
        <w:tc>
          <w:tcPr>
            <w:tcW w:w="1213" w:type="dxa"/>
            <w:tcBorders>
              <w:top w:val="single" w:color="auto" w:sz="8" w:space="0"/>
              <w:left w:val="single" w:color="auto" w:sz="6" w:space="0"/>
              <w:bottom w:val="single" w:color="auto" w:sz="6" w:space="0"/>
              <w:right w:val="single" w:color="auto" w:sz="6" w:space="0"/>
            </w:tcBorders>
            <w:vAlign w:val="center"/>
          </w:tcPr>
          <w:p w14:paraId="33360F7E">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３个月</w:t>
            </w:r>
          </w:p>
        </w:tc>
        <w:tc>
          <w:tcPr>
            <w:tcW w:w="1212" w:type="dxa"/>
            <w:tcBorders>
              <w:top w:val="single" w:color="auto" w:sz="8" w:space="0"/>
              <w:left w:val="single" w:color="auto" w:sz="6" w:space="0"/>
              <w:bottom w:val="single" w:color="auto" w:sz="6" w:space="0"/>
              <w:right w:val="single" w:color="auto" w:sz="6" w:space="0"/>
            </w:tcBorders>
            <w:vAlign w:val="center"/>
          </w:tcPr>
          <w:p w14:paraId="75BBCB72">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４个月</w:t>
            </w:r>
          </w:p>
        </w:tc>
        <w:tc>
          <w:tcPr>
            <w:tcW w:w="1213" w:type="dxa"/>
            <w:tcBorders>
              <w:top w:val="single" w:color="auto" w:sz="8" w:space="0"/>
              <w:left w:val="single" w:color="auto" w:sz="6" w:space="0"/>
              <w:bottom w:val="single" w:color="auto" w:sz="6" w:space="0"/>
              <w:right w:val="single" w:color="auto" w:sz="6" w:space="0"/>
            </w:tcBorders>
            <w:vAlign w:val="center"/>
          </w:tcPr>
          <w:p w14:paraId="6D5551D9">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５个月</w:t>
            </w:r>
          </w:p>
        </w:tc>
        <w:tc>
          <w:tcPr>
            <w:tcW w:w="1213" w:type="dxa"/>
            <w:tcBorders>
              <w:top w:val="single" w:color="auto" w:sz="8" w:space="0"/>
              <w:left w:val="single" w:color="auto" w:sz="6" w:space="0"/>
              <w:bottom w:val="single" w:color="auto" w:sz="6" w:space="0"/>
              <w:right w:val="single" w:color="auto" w:sz="8" w:space="0"/>
            </w:tcBorders>
            <w:vAlign w:val="center"/>
          </w:tcPr>
          <w:p w14:paraId="00DF719B">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６个月</w:t>
            </w:r>
          </w:p>
        </w:tc>
      </w:tr>
      <w:tr w14:paraId="233C9A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9" w:type="dxa"/>
            <w:tcBorders>
              <w:top w:val="single" w:color="auto" w:sz="6" w:space="0"/>
              <w:left w:val="single" w:color="auto" w:sz="8" w:space="0"/>
              <w:bottom w:val="single" w:color="auto" w:sz="8" w:space="0"/>
              <w:right w:val="single" w:color="auto" w:sz="6" w:space="0"/>
            </w:tcBorders>
            <w:vAlign w:val="center"/>
          </w:tcPr>
          <w:p w14:paraId="53084B22">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赔付比例</w:t>
            </w:r>
          </w:p>
        </w:tc>
        <w:tc>
          <w:tcPr>
            <w:tcW w:w="1212" w:type="dxa"/>
            <w:tcBorders>
              <w:top w:val="single" w:color="auto" w:sz="6" w:space="0"/>
              <w:left w:val="single" w:color="auto" w:sz="6" w:space="0"/>
              <w:bottom w:val="single" w:color="auto" w:sz="6" w:space="0"/>
              <w:right w:val="single" w:color="auto" w:sz="6" w:space="0"/>
            </w:tcBorders>
            <w:vAlign w:val="center"/>
          </w:tcPr>
          <w:p w14:paraId="2274FFA3">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25%</w:t>
            </w:r>
          </w:p>
        </w:tc>
        <w:tc>
          <w:tcPr>
            <w:tcW w:w="1213" w:type="dxa"/>
            <w:tcBorders>
              <w:top w:val="single" w:color="auto" w:sz="6" w:space="0"/>
              <w:left w:val="single" w:color="auto" w:sz="6" w:space="0"/>
              <w:bottom w:val="single" w:color="auto" w:sz="6" w:space="0"/>
              <w:right w:val="single" w:color="auto" w:sz="6" w:space="0"/>
            </w:tcBorders>
            <w:vAlign w:val="center"/>
          </w:tcPr>
          <w:p w14:paraId="472F55F8">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40%</w:t>
            </w:r>
          </w:p>
        </w:tc>
        <w:tc>
          <w:tcPr>
            <w:tcW w:w="1213" w:type="dxa"/>
            <w:tcBorders>
              <w:top w:val="single" w:color="auto" w:sz="6" w:space="0"/>
              <w:left w:val="single" w:color="auto" w:sz="6" w:space="0"/>
              <w:bottom w:val="single" w:color="auto" w:sz="6" w:space="0"/>
              <w:right w:val="single" w:color="auto" w:sz="6" w:space="0"/>
            </w:tcBorders>
            <w:vAlign w:val="center"/>
          </w:tcPr>
          <w:p w14:paraId="3AD39A1E">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55%</w:t>
            </w:r>
          </w:p>
        </w:tc>
        <w:tc>
          <w:tcPr>
            <w:tcW w:w="1212" w:type="dxa"/>
            <w:tcBorders>
              <w:top w:val="single" w:color="auto" w:sz="6" w:space="0"/>
              <w:left w:val="single" w:color="auto" w:sz="6" w:space="0"/>
              <w:bottom w:val="single" w:color="auto" w:sz="6" w:space="0"/>
              <w:right w:val="single" w:color="auto" w:sz="6" w:space="0"/>
            </w:tcBorders>
            <w:vAlign w:val="center"/>
          </w:tcPr>
          <w:p w14:paraId="2B995723">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70%</w:t>
            </w:r>
          </w:p>
        </w:tc>
        <w:tc>
          <w:tcPr>
            <w:tcW w:w="1213" w:type="dxa"/>
            <w:tcBorders>
              <w:top w:val="single" w:color="auto" w:sz="6" w:space="0"/>
              <w:left w:val="single" w:color="auto" w:sz="6" w:space="0"/>
              <w:bottom w:val="single" w:color="auto" w:sz="6" w:space="0"/>
              <w:right w:val="single" w:color="auto" w:sz="6" w:space="0"/>
            </w:tcBorders>
            <w:vAlign w:val="center"/>
          </w:tcPr>
          <w:p w14:paraId="1A469183">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85%</w:t>
            </w:r>
          </w:p>
        </w:tc>
        <w:tc>
          <w:tcPr>
            <w:tcW w:w="1213" w:type="dxa"/>
            <w:tcBorders>
              <w:top w:val="single" w:color="auto" w:sz="6" w:space="0"/>
              <w:left w:val="single" w:color="auto" w:sz="6" w:space="0"/>
              <w:bottom w:val="single" w:color="auto" w:sz="8" w:space="0"/>
              <w:right w:val="single" w:color="auto" w:sz="8" w:space="0"/>
            </w:tcBorders>
            <w:vAlign w:val="center"/>
          </w:tcPr>
          <w:p w14:paraId="34C9B13E">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100%</w:t>
            </w:r>
          </w:p>
        </w:tc>
      </w:tr>
    </w:tbl>
    <w:p w14:paraId="2201F66D">
      <w:pPr>
        <w:keepNext w:val="0"/>
        <w:keepLines w:val="0"/>
        <w:pageBreakBefore w:val="0"/>
        <w:kinsoku/>
        <w:wordWrap/>
        <w:overflowPunct/>
        <w:topLinePunct w:val="0"/>
        <w:autoSpaceDE/>
        <w:autoSpaceDN/>
        <w:bidi w:val="0"/>
        <w:adjustRightInd/>
        <w:snapToGrid/>
        <w:spacing w:beforeAutospacing="0" w:after="0" w:afterAutospacing="0" w:line="600" w:lineRule="exact"/>
        <w:ind w:firstLine="641"/>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（2）发生高温导致渔业死亡保险事故，保险人按照如下约定进行赔偿：</w:t>
      </w:r>
    </w:p>
    <w:p w14:paraId="335EE68E">
      <w:pPr>
        <w:keepNext w:val="0"/>
        <w:keepLines w:val="0"/>
        <w:pageBreakBefore w:val="0"/>
        <w:kinsoku/>
        <w:wordWrap/>
        <w:overflowPunct/>
        <w:topLinePunct w:val="0"/>
        <w:autoSpaceDE/>
        <w:autoSpaceDN/>
        <w:bidi w:val="0"/>
        <w:adjustRightInd/>
        <w:snapToGrid/>
        <w:spacing w:beforeAutospacing="0" w:after="0" w:afterAutospacing="0" w:line="600" w:lineRule="exact"/>
        <w:ind w:firstLine="641"/>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赔偿金额＝∑单个池塘赔偿金额</w:t>
      </w:r>
    </w:p>
    <w:p w14:paraId="01118AC5">
      <w:pPr>
        <w:keepNext w:val="0"/>
        <w:keepLines w:val="0"/>
        <w:pageBreakBefore w:val="0"/>
        <w:kinsoku/>
        <w:wordWrap/>
        <w:overflowPunct/>
        <w:topLinePunct w:val="0"/>
        <w:autoSpaceDE/>
        <w:autoSpaceDN/>
        <w:bidi w:val="0"/>
        <w:adjustRightInd/>
        <w:snapToGrid/>
        <w:spacing w:beforeAutospacing="0" w:after="0" w:afterAutospacing="0" w:line="600" w:lineRule="exact"/>
        <w:ind w:firstLine="641"/>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单个池塘赔偿金额=损失面积（亩）×高温对应赔偿金额（元/亩）×（1-绝对免赔率）</w:t>
      </w:r>
    </w:p>
    <w:p w14:paraId="3B93A029">
      <w:pPr>
        <w:keepNext w:val="0"/>
        <w:keepLines w:val="0"/>
        <w:pageBreakBefore w:val="0"/>
        <w:kinsoku/>
        <w:wordWrap/>
        <w:overflowPunct/>
        <w:topLinePunct w:val="0"/>
        <w:autoSpaceDE/>
        <w:autoSpaceDN/>
        <w:bidi w:val="0"/>
        <w:adjustRightInd/>
        <w:snapToGrid/>
        <w:spacing w:beforeAutospacing="0" w:after="0" w:afterAutospacing="0" w:line="600" w:lineRule="exact"/>
        <w:ind w:firstLine="641"/>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高温对应赔偿金额</w:t>
      </w:r>
    </w:p>
    <w:tbl>
      <w:tblPr>
        <w:tblStyle w:val="8"/>
        <w:tblW w:w="89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2568"/>
        <w:gridCol w:w="2126"/>
        <w:gridCol w:w="2268"/>
        <w:gridCol w:w="2011"/>
      </w:tblGrid>
      <w:tr w14:paraId="16CE3B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2568" w:type="dxa"/>
            <w:tcBorders>
              <w:top w:val="single" w:color="auto" w:sz="8" w:space="0"/>
              <w:left w:val="single" w:color="auto" w:sz="8" w:space="0"/>
              <w:bottom w:val="single" w:color="auto" w:sz="6" w:space="0"/>
              <w:right w:val="single" w:color="auto" w:sz="6" w:space="0"/>
            </w:tcBorders>
            <w:vAlign w:val="center"/>
          </w:tcPr>
          <w:p w14:paraId="3C30FD8D">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连续高温天数</w:t>
            </w:r>
          </w:p>
        </w:tc>
        <w:tc>
          <w:tcPr>
            <w:tcW w:w="2126" w:type="dxa"/>
            <w:tcBorders>
              <w:top w:val="single" w:color="auto" w:sz="8" w:space="0"/>
              <w:left w:val="single" w:color="auto" w:sz="6" w:space="0"/>
              <w:bottom w:val="single" w:color="auto" w:sz="6" w:space="0"/>
              <w:right w:val="single" w:color="auto" w:sz="6" w:space="0"/>
            </w:tcBorders>
            <w:vAlign w:val="center"/>
          </w:tcPr>
          <w:p w14:paraId="234FEDBE">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5天（含）-10天（不含）</w:t>
            </w:r>
          </w:p>
        </w:tc>
        <w:tc>
          <w:tcPr>
            <w:tcW w:w="2268" w:type="dxa"/>
            <w:tcBorders>
              <w:top w:val="single" w:color="auto" w:sz="8" w:space="0"/>
              <w:left w:val="single" w:color="auto" w:sz="6" w:space="0"/>
              <w:bottom w:val="single" w:color="auto" w:sz="6" w:space="0"/>
              <w:right w:val="single" w:color="auto" w:sz="6" w:space="0"/>
            </w:tcBorders>
            <w:vAlign w:val="center"/>
          </w:tcPr>
          <w:p w14:paraId="45D2EEE5">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10天（含）-15天（不含）</w:t>
            </w:r>
          </w:p>
        </w:tc>
        <w:tc>
          <w:tcPr>
            <w:tcW w:w="2011" w:type="dxa"/>
            <w:tcBorders>
              <w:top w:val="single" w:color="auto" w:sz="8" w:space="0"/>
              <w:left w:val="single" w:color="auto" w:sz="6" w:space="0"/>
              <w:bottom w:val="single" w:color="auto" w:sz="6" w:space="0"/>
              <w:right w:val="single" w:color="auto" w:sz="8" w:space="0"/>
            </w:tcBorders>
            <w:vAlign w:val="center"/>
          </w:tcPr>
          <w:p w14:paraId="5696ECE7">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15天以上（含）</w:t>
            </w:r>
          </w:p>
        </w:tc>
      </w:tr>
      <w:tr w14:paraId="6B0020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2568" w:type="dxa"/>
            <w:tcBorders>
              <w:top w:val="single" w:color="auto" w:sz="6" w:space="0"/>
              <w:left w:val="single" w:color="auto" w:sz="8" w:space="0"/>
              <w:bottom w:val="single" w:color="auto" w:sz="8" w:space="0"/>
              <w:right w:val="single" w:color="auto" w:sz="6" w:space="0"/>
            </w:tcBorders>
            <w:vAlign w:val="center"/>
          </w:tcPr>
          <w:p w14:paraId="394B6F00">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赔付金额（元/亩）</w:t>
            </w:r>
          </w:p>
        </w:tc>
        <w:tc>
          <w:tcPr>
            <w:tcW w:w="2126" w:type="dxa"/>
            <w:tcBorders>
              <w:top w:val="single" w:color="auto" w:sz="6" w:space="0"/>
              <w:left w:val="single" w:color="auto" w:sz="6" w:space="0"/>
              <w:bottom w:val="single" w:color="auto" w:sz="6" w:space="0"/>
              <w:right w:val="single" w:color="auto" w:sz="6" w:space="0"/>
            </w:tcBorders>
            <w:vAlign w:val="center"/>
          </w:tcPr>
          <w:p w14:paraId="062569A0">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w:t>
            </w:r>
          </w:p>
        </w:tc>
        <w:tc>
          <w:tcPr>
            <w:tcW w:w="2268" w:type="dxa"/>
            <w:tcBorders>
              <w:top w:val="single" w:color="auto" w:sz="6" w:space="0"/>
              <w:left w:val="single" w:color="auto" w:sz="6" w:space="0"/>
              <w:bottom w:val="single" w:color="auto" w:sz="6" w:space="0"/>
              <w:right w:val="single" w:color="auto" w:sz="6" w:space="0"/>
            </w:tcBorders>
            <w:vAlign w:val="center"/>
          </w:tcPr>
          <w:p w14:paraId="35280384">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40</w:t>
            </w:r>
          </w:p>
        </w:tc>
        <w:tc>
          <w:tcPr>
            <w:tcW w:w="2011" w:type="dxa"/>
            <w:tcBorders>
              <w:top w:val="single" w:color="auto" w:sz="6" w:space="0"/>
              <w:left w:val="single" w:color="auto" w:sz="6" w:space="0"/>
              <w:bottom w:val="single" w:color="auto" w:sz="8" w:space="0"/>
              <w:right w:val="single" w:color="auto" w:sz="8" w:space="0"/>
            </w:tcBorders>
            <w:vAlign w:val="center"/>
          </w:tcPr>
          <w:p w14:paraId="529B239D">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60</w:t>
            </w:r>
          </w:p>
        </w:tc>
      </w:tr>
    </w:tbl>
    <w:p w14:paraId="1E24AACE">
      <w:pPr>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发生保险事故时，保险单载明的保险数量小于其可保数量时，若无法区分保险淡水小龙虾与非保险淡水小龙虾的，保险人按保险单载明的保险数量与可保数量的比例计算赔偿（详见保险条款）。</w:t>
      </w:r>
    </w:p>
    <w:p w14:paraId="729405AD">
      <w:pPr>
        <w:keepNext w:val="0"/>
        <w:keepLines w:val="0"/>
        <w:pageBreakBefore w:val="0"/>
        <w:kinsoku/>
        <w:wordWrap/>
        <w:overflowPunct/>
        <w:topLinePunct w:val="0"/>
        <w:autoSpaceDE/>
        <w:autoSpaceDN/>
        <w:bidi w:val="0"/>
        <w:adjustRightInd/>
        <w:snapToGrid/>
        <w:spacing w:beforeAutospacing="0" w:after="0" w:afterAutospacing="0" w:line="600" w:lineRule="exact"/>
        <w:ind w:firstLine="480" w:firstLineChars="150"/>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（七）牛养殖保险</w:t>
      </w:r>
    </w:p>
    <w:p w14:paraId="4238AE88">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1.保险责任</w:t>
      </w:r>
    </w:p>
    <w:p w14:paraId="554C9400">
      <w:pPr>
        <w:keepNext w:val="0"/>
        <w:keepLines w:val="0"/>
        <w:pageBreakBefore w:val="0"/>
        <w:kinsoku/>
        <w:wordWrap/>
        <w:overflowPunct/>
        <w:topLinePunct w:val="0"/>
        <w:autoSpaceDE/>
        <w:autoSpaceDN/>
        <w:bidi w:val="0"/>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（1）火灾、爆炸；</w:t>
      </w:r>
    </w:p>
    <w:p w14:paraId="75152EA6">
      <w:pPr>
        <w:keepNext w:val="0"/>
        <w:keepLines w:val="0"/>
        <w:pageBreakBefore w:val="0"/>
        <w:kinsoku/>
        <w:wordWrap/>
        <w:overflowPunct/>
        <w:topLinePunct w:val="0"/>
        <w:autoSpaceDE/>
        <w:autoSpaceDN/>
        <w:bidi w:val="0"/>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（2）雷电、暴雨、洪水（政府行蓄洪除外）、风灾、冰雹、地震、冻灾；</w:t>
      </w:r>
    </w:p>
    <w:p w14:paraId="1D0E4033">
      <w:pPr>
        <w:keepNext w:val="0"/>
        <w:keepLines w:val="0"/>
        <w:pageBreakBefore w:val="0"/>
        <w:kinsoku/>
        <w:wordWrap/>
        <w:overflowPunct/>
        <w:topLinePunct w:val="0"/>
        <w:autoSpaceDE/>
        <w:autoSpaceDN/>
        <w:bidi w:val="0"/>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（3）山体滑坡、泥石流；</w:t>
      </w:r>
    </w:p>
    <w:p w14:paraId="735ABDB6">
      <w:pPr>
        <w:keepNext w:val="0"/>
        <w:keepLines w:val="0"/>
        <w:pageBreakBefore w:val="0"/>
        <w:kinsoku/>
        <w:wordWrap/>
        <w:overflowPunct/>
        <w:topLinePunct w:val="0"/>
        <w:autoSpaceDE/>
        <w:autoSpaceDN/>
        <w:bidi w:val="0"/>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（4）建筑物倒塌、空中运行物体坠落；</w:t>
      </w:r>
    </w:p>
    <w:p w14:paraId="246FC93F">
      <w:pPr>
        <w:keepNext w:val="0"/>
        <w:keepLines w:val="0"/>
        <w:pageBreakBefore w:val="0"/>
        <w:kinsoku/>
        <w:wordWrap/>
        <w:overflowPunct/>
        <w:topLinePunct w:val="0"/>
        <w:autoSpaceDE/>
        <w:autoSpaceDN/>
        <w:bidi w:val="0"/>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（5）一般性疾病：败血症、炭疽杆病菌、气仲疽、支气管肺炎、牛传染性胸膜炎、吞食尖锐硬物引起的创伤性网胃炎或创伤性心包炎、创伤性网胃炎或创伤性心包炎继发的腹膜炎或胸膜炎、难产等。</w:t>
      </w:r>
    </w:p>
    <w:p w14:paraId="49EB659B">
      <w:pPr>
        <w:keepNext w:val="0"/>
        <w:keepLines w:val="0"/>
        <w:pageBreakBefore w:val="0"/>
        <w:kinsoku/>
        <w:wordWrap/>
        <w:overflowPunct/>
        <w:topLinePunct w:val="0"/>
        <w:autoSpaceDE/>
        <w:autoSpaceDN/>
        <w:bidi w:val="0"/>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（6）传染性疾病：牛瘟、疯牛病（牛海绵状脑病）、结核病、布氏杆菌病、口蹄疫。</w:t>
      </w:r>
    </w:p>
    <w:p w14:paraId="0AA771C9">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2.保险金额</w:t>
      </w:r>
    </w:p>
    <w:p w14:paraId="4229B4A3">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3000元/头。</w:t>
      </w:r>
    </w:p>
    <w:p w14:paraId="0FE6016D">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3.保险费率及保险费</w:t>
      </w:r>
    </w:p>
    <w:p w14:paraId="5B7CA79B">
      <w:pPr>
        <w:keepNext w:val="0"/>
        <w:keepLines w:val="0"/>
        <w:pageBreakBefore w:val="0"/>
        <w:kinsoku/>
        <w:wordWrap/>
        <w:overflowPunct/>
        <w:topLinePunct w:val="0"/>
        <w:autoSpaceDE/>
        <w:autoSpaceDN/>
        <w:bidi w:val="0"/>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保险费率：7%</w:t>
      </w:r>
    </w:p>
    <w:p w14:paraId="1F22A0B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保险费：210元/头，其中区财政补助168元/头，养殖业主承担42元/头。</w:t>
      </w:r>
    </w:p>
    <w:p w14:paraId="6C289176">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4.保险理赔</w:t>
      </w:r>
    </w:p>
    <w:p w14:paraId="54C72011">
      <w:pPr>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（1）保险种牛、能繁母牛</w:t>
      </w:r>
    </w:p>
    <w:p w14:paraId="1574C5D7">
      <w:pPr>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发生以上列明保险责任的保险事故，赔偿金额计算如下：赔偿金额=每头保险金额×实际死亡数量-免赔额；或赔偿金额=每头保险金额×实际死亡数量×（1-免赔率）。</w:t>
      </w:r>
    </w:p>
    <w:p w14:paraId="42D10FA4">
      <w:pPr>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扑杀事故，赔偿金额计算如下：赔偿金额=（每头保险金额-每头牛政府扑杀专项补贴金额）×实际死亡数量-免赔额；或赔偿金额=（每头保险金额-每头牛政府扑杀专项补贴金额）×实际死亡数量×（1-免赔率）。</w:t>
      </w:r>
    </w:p>
    <w:p w14:paraId="12EA1D94">
      <w:pPr>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（2）保险育肥牛</w:t>
      </w:r>
    </w:p>
    <w:p w14:paraId="24084BF9">
      <w:pPr>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发生以上列明保险责任的保险事故，赔偿金额计算如下：赔偿金额=每头保险金额×实际死亡数量×不同阶段赔偿比例-免赔额；或赔偿金额=每头保险金额×实际死亡数量×不同阶段赔偿比例×（1-免赔率）。</w:t>
      </w:r>
    </w:p>
    <w:p w14:paraId="3B73BDC7">
      <w:pPr>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扑杀事故，赔偿金额计算如下：赔偿金额=（每头保险金额-每头牛政府扑杀专项补贴金额）×实际死亡数量×不同阶段赔偿比例-免赔额；或赔偿金额=（每头保险金额-每头牛政府扑杀专项补贴金额）×实际死亡数量×不同阶段赔偿比例×（1-免赔率）。</w:t>
      </w:r>
    </w:p>
    <w:p w14:paraId="60163F90">
      <w:pPr>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（3）因各地饲养的育肥牛品种不同，投保人与保险人可自行协商保险育肥牛的不同阶段赔偿比例，并在保险单中载明。</w:t>
      </w:r>
    </w:p>
    <w:p w14:paraId="7C2C88D0">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3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（八）柑橘种植保险</w:t>
      </w:r>
    </w:p>
    <w:p w14:paraId="20B0A5FA">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1.保险责任</w:t>
      </w:r>
    </w:p>
    <w:p w14:paraId="0B89DC7A">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在保险期间内，由于下列原因直接造成保险柑橘树死亡、折枝、落花、落叶、落果、萎蔫等情况导致保险柑橘减产的，保险人应按照合同的约定负责赔偿：</w:t>
      </w:r>
    </w:p>
    <w:p w14:paraId="42CFAEC4">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（1）旱灾、风灾、内涝、冻灾、雹灾、洪水（政府行蓄洪除外）、暴雨等人力无法抗拒的自然灾害；</w:t>
      </w:r>
    </w:p>
    <w:p w14:paraId="1D3C888D">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（2）非检疫性病虫害。</w:t>
      </w:r>
    </w:p>
    <w:p w14:paraId="4C6F913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由于人为的故意破坏、管理不善、行政行为、司法行为、战争、军事行动、检疫性病虫害造成的损失保险人不负责赔偿责任。</w:t>
      </w:r>
    </w:p>
    <w:p w14:paraId="6E6EE3A7">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2.保险金额及保险费</w:t>
      </w:r>
    </w:p>
    <w:p w14:paraId="714313A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1000元/亩。</w:t>
      </w:r>
    </w:p>
    <w:p w14:paraId="28C07AE5">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保险费率：2%。</w:t>
      </w:r>
    </w:p>
    <w:p w14:paraId="3A31E7D9">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保险费：20元/亩，其中市区财政补助14元/亩，种植业主承担6元/亩。</w:t>
      </w:r>
    </w:p>
    <w:p w14:paraId="0621059A">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3.保险理赔</w:t>
      </w:r>
    </w:p>
    <w:p w14:paraId="2254BD88">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保险柑橘发生保险责任范围内的损失，按以下方式计算赔偿：</w:t>
      </w:r>
    </w:p>
    <w:p w14:paraId="08FE2CC5">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赔款=每亩保险金额×受损面积×赔付比例</w:t>
      </w:r>
    </w:p>
    <w:p w14:paraId="38BC228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受损面积=种植面积×受损率</w:t>
      </w:r>
    </w:p>
    <w:p w14:paraId="6AD4B8B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受损率为单位面积受损株树/单位面积种植株树，可采用抽样法确定。</w:t>
      </w:r>
    </w:p>
    <w:p w14:paraId="66F36D6F">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赔付比例由投保柑橘受损程度确定：</w:t>
      </w:r>
    </w:p>
    <w:p w14:paraId="39229717">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（1）柑橘树死亡的，赔付比例为100%。</w:t>
      </w:r>
    </w:p>
    <w:p w14:paraId="7B8E7177">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（2）折枝、落花、落叶、落果、萎蔫等情况按照轻度、中度、重度三个受灾级别评价，确定相应的赔付比例，两种或两种以上症状造成的损失按照最严重的受灾级别赔付，不累加赔付。</w:t>
      </w:r>
    </w:p>
    <w:p w14:paraId="5382A189">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①折枝。</w:t>
      </w:r>
    </w:p>
    <w:tbl>
      <w:tblPr>
        <w:tblStyle w:val="8"/>
        <w:tblW w:w="0" w:type="auto"/>
        <w:jc w:val="center"/>
        <w:tblLayout w:type="fixed"/>
        <w:tblCellMar>
          <w:top w:w="0" w:type="dxa"/>
          <w:left w:w="108" w:type="dxa"/>
          <w:bottom w:w="0" w:type="dxa"/>
          <w:right w:w="108" w:type="dxa"/>
        </w:tblCellMar>
      </w:tblPr>
      <w:tblGrid>
        <w:gridCol w:w="1101"/>
        <w:gridCol w:w="4860"/>
        <w:gridCol w:w="2026"/>
      </w:tblGrid>
      <w:tr w14:paraId="776AA8E5">
        <w:tblPrEx>
          <w:tblCellMar>
            <w:top w:w="0" w:type="dxa"/>
            <w:left w:w="108" w:type="dxa"/>
            <w:bottom w:w="0" w:type="dxa"/>
            <w:right w:w="108" w:type="dxa"/>
          </w:tblCellMar>
        </w:tblPrEx>
        <w:trPr>
          <w:trHeight w:val="267" w:hRule="atLeast"/>
          <w:jc w:val="center"/>
        </w:trPr>
        <w:tc>
          <w:tcPr>
            <w:tcW w:w="1101" w:type="dxa"/>
            <w:tcBorders>
              <w:top w:val="single" w:color="auto" w:sz="8" w:space="0"/>
              <w:left w:val="single" w:color="auto" w:sz="8" w:space="0"/>
              <w:bottom w:val="single" w:color="auto" w:sz="8" w:space="0"/>
              <w:right w:val="single" w:color="auto" w:sz="8" w:space="0"/>
            </w:tcBorders>
            <w:vAlign w:val="center"/>
          </w:tcPr>
          <w:p w14:paraId="5B97805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受灾</w:t>
            </w:r>
          </w:p>
          <w:p w14:paraId="71267BCE">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级别</w:t>
            </w:r>
          </w:p>
        </w:tc>
        <w:tc>
          <w:tcPr>
            <w:tcW w:w="4860" w:type="dxa"/>
            <w:tcBorders>
              <w:top w:val="single" w:color="auto" w:sz="8" w:space="0"/>
              <w:left w:val="nil"/>
              <w:bottom w:val="single" w:color="auto" w:sz="8" w:space="0"/>
              <w:right w:val="single" w:color="auto" w:sz="8" w:space="0"/>
            </w:tcBorders>
            <w:vAlign w:val="center"/>
          </w:tcPr>
          <w:p w14:paraId="2F6451C4">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420"/>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损失情况</w:t>
            </w:r>
          </w:p>
        </w:tc>
        <w:tc>
          <w:tcPr>
            <w:tcW w:w="2026" w:type="dxa"/>
            <w:tcBorders>
              <w:top w:val="single" w:color="auto" w:sz="8" w:space="0"/>
              <w:left w:val="nil"/>
              <w:bottom w:val="single" w:color="auto" w:sz="8" w:space="0"/>
              <w:right w:val="single" w:color="auto" w:sz="8" w:space="0"/>
            </w:tcBorders>
            <w:vAlign w:val="center"/>
          </w:tcPr>
          <w:p w14:paraId="1A7BEF49">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赔付比例</w:t>
            </w:r>
          </w:p>
        </w:tc>
      </w:tr>
      <w:tr w14:paraId="0FDB8DD4">
        <w:tblPrEx>
          <w:tblCellMar>
            <w:top w:w="0" w:type="dxa"/>
            <w:left w:w="108" w:type="dxa"/>
            <w:bottom w:w="0" w:type="dxa"/>
            <w:right w:w="108" w:type="dxa"/>
          </w:tblCellMar>
        </w:tblPrEx>
        <w:trPr>
          <w:jc w:val="center"/>
        </w:trPr>
        <w:tc>
          <w:tcPr>
            <w:tcW w:w="1101" w:type="dxa"/>
            <w:tcBorders>
              <w:top w:val="single" w:color="auto" w:sz="8" w:space="0"/>
              <w:left w:val="single" w:color="auto" w:sz="8" w:space="0"/>
              <w:bottom w:val="single" w:color="auto" w:sz="8" w:space="0"/>
              <w:right w:val="single" w:color="auto" w:sz="8" w:space="0"/>
            </w:tcBorders>
            <w:vAlign w:val="center"/>
          </w:tcPr>
          <w:p w14:paraId="520ED078">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轻度</w:t>
            </w:r>
          </w:p>
        </w:tc>
        <w:tc>
          <w:tcPr>
            <w:tcW w:w="4860" w:type="dxa"/>
            <w:tcBorders>
              <w:top w:val="single" w:color="auto" w:sz="8" w:space="0"/>
              <w:left w:val="nil"/>
              <w:bottom w:val="single" w:color="auto" w:sz="8" w:space="0"/>
              <w:right w:val="single" w:color="auto" w:sz="8" w:space="0"/>
            </w:tcBorders>
            <w:vAlign w:val="center"/>
          </w:tcPr>
          <w:p w14:paraId="1F9E1DD2">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其树枝折断比例占整棵树30%以下，对其产量影响较小。</w:t>
            </w:r>
          </w:p>
        </w:tc>
        <w:tc>
          <w:tcPr>
            <w:tcW w:w="2026" w:type="dxa"/>
            <w:tcBorders>
              <w:top w:val="single" w:color="auto" w:sz="8" w:space="0"/>
              <w:left w:val="nil"/>
              <w:bottom w:val="single" w:color="auto" w:sz="8" w:space="0"/>
              <w:right w:val="single" w:color="auto" w:sz="8" w:space="0"/>
            </w:tcBorders>
            <w:vAlign w:val="center"/>
          </w:tcPr>
          <w:p w14:paraId="0256C4B7">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1%-10%</w:t>
            </w:r>
          </w:p>
        </w:tc>
      </w:tr>
      <w:tr w14:paraId="473D0C3A">
        <w:tblPrEx>
          <w:tblCellMar>
            <w:top w:w="0" w:type="dxa"/>
            <w:left w:w="108" w:type="dxa"/>
            <w:bottom w:w="0" w:type="dxa"/>
            <w:right w:w="108" w:type="dxa"/>
          </w:tblCellMar>
        </w:tblPrEx>
        <w:trPr>
          <w:jc w:val="center"/>
        </w:trPr>
        <w:tc>
          <w:tcPr>
            <w:tcW w:w="1101" w:type="dxa"/>
            <w:tcBorders>
              <w:top w:val="single" w:color="auto" w:sz="8" w:space="0"/>
              <w:left w:val="single" w:color="auto" w:sz="8" w:space="0"/>
              <w:bottom w:val="single" w:color="auto" w:sz="8" w:space="0"/>
              <w:right w:val="single" w:color="auto" w:sz="8" w:space="0"/>
            </w:tcBorders>
            <w:vAlign w:val="center"/>
          </w:tcPr>
          <w:p w14:paraId="183CDAE9">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中度</w:t>
            </w:r>
          </w:p>
        </w:tc>
        <w:tc>
          <w:tcPr>
            <w:tcW w:w="4860" w:type="dxa"/>
            <w:tcBorders>
              <w:top w:val="single" w:color="auto" w:sz="8" w:space="0"/>
              <w:left w:val="nil"/>
              <w:bottom w:val="single" w:color="auto" w:sz="8" w:space="0"/>
              <w:right w:val="single" w:color="auto" w:sz="8" w:space="0"/>
            </w:tcBorders>
            <w:vAlign w:val="center"/>
          </w:tcPr>
          <w:p w14:paraId="70C3E76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其树枝折断比例占整棵树30%-60%，对其产量影响较大。</w:t>
            </w:r>
          </w:p>
        </w:tc>
        <w:tc>
          <w:tcPr>
            <w:tcW w:w="2026" w:type="dxa"/>
            <w:tcBorders>
              <w:top w:val="single" w:color="auto" w:sz="8" w:space="0"/>
              <w:left w:val="nil"/>
              <w:bottom w:val="single" w:color="auto" w:sz="8" w:space="0"/>
              <w:right w:val="single" w:color="auto" w:sz="8" w:space="0"/>
            </w:tcBorders>
            <w:vAlign w:val="center"/>
          </w:tcPr>
          <w:p w14:paraId="4ABBA46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10%-30%</w:t>
            </w:r>
          </w:p>
        </w:tc>
      </w:tr>
      <w:tr w14:paraId="01A57C65">
        <w:tblPrEx>
          <w:tblCellMar>
            <w:top w:w="0" w:type="dxa"/>
            <w:left w:w="108" w:type="dxa"/>
            <w:bottom w:w="0" w:type="dxa"/>
            <w:right w:w="108" w:type="dxa"/>
          </w:tblCellMar>
        </w:tblPrEx>
        <w:trPr>
          <w:jc w:val="center"/>
        </w:trPr>
        <w:tc>
          <w:tcPr>
            <w:tcW w:w="1101" w:type="dxa"/>
            <w:tcBorders>
              <w:top w:val="single" w:color="auto" w:sz="8" w:space="0"/>
              <w:left w:val="single" w:color="auto" w:sz="8" w:space="0"/>
              <w:bottom w:val="single" w:color="auto" w:sz="8" w:space="0"/>
              <w:right w:val="single" w:color="auto" w:sz="8" w:space="0"/>
            </w:tcBorders>
            <w:vAlign w:val="center"/>
          </w:tcPr>
          <w:p w14:paraId="184D6DE2">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重度</w:t>
            </w:r>
          </w:p>
        </w:tc>
        <w:tc>
          <w:tcPr>
            <w:tcW w:w="4860" w:type="dxa"/>
            <w:tcBorders>
              <w:top w:val="single" w:color="auto" w:sz="8" w:space="0"/>
              <w:left w:val="nil"/>
              <w:bottom w:val="single" w:color="auto" w:sz="8" w:space="0"/>
              <w:right w:val="single" w:color="auto" w:sz="8" w:space="0"/>
            </w:tcBorders>
            <w:vAlign w:val="center"/>
          </w:tcPr>
          <w:p w14:paraId="63C56267">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其树枝折断比例占整棵树60%-100%，已严重影响了其生长和产量。</w:t>
            </w:r>
          </w:p>
        </w:tc>
        <w:tc>
          <w:tcPr>
            <w:tcW w:w="2026" w:type="dxa"/>
            <w:tcBorders>
              <w:top w:val="single" w:color="auto" w:sz="8" w:space="0"/>
              <w:left w:val="nil"/>
              <w:bottom w:val="single" w:color="auto" w:sz="8" w:space="0"/>
              <w:right w:val="single" w:color="auto" w:sz="8" w:space="0"/>
            </w:tcBorders>
            <w:vAlign w:val="center"/>
          </w:tcPr>
          <w:p w14:paraId="09E85C3A">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30%-50%</w:t>
            </w:r>
          </w:p>
        </w:tc>
      </w:tr>
    </w:tbl>
    <w:p w14:paraId="2FDACA9A">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②落花、落叶、落果。</w:t>
      </w:r>
    </w:p>
    <w:tbl>
      <w:tblPr>
        <w:tblStyle w:val="8"/>
        <w:tblW w:w="0" w:type="auto"/>
        <w:tblInd w:w="653" w:type="dxa"/>
        <w:tblLayout w:type="fixed"/>
        <w:tblCellMar>
          <w:top w:w="0" w:type="dxa"/>
          <w:left w:w="108" w:type="dxa"/>
          <w:bottom w:w="0" w:type="dxa"/>
          <w:right w:w="108" w:type="dxa"/>
        </w:tblCellMar>
      </w:tblPr>
      <w:tblGrid>
        <w:gridCol w:w="1080"/>
        <w:gridCol w:w="5134"/>
        <w:gridCol w:w="1625"/>
      </w:tblGrid>
      <w:tr w14:paraId="482B6AC5">
        <w:tblPrEx>
          <w:tblCellMar>
            <w:top w:w="0" w:type="dxa"/>
            <w:left w:w="108" w:type="dxa"/>
            <w:bottom w:w="0" w:type="dxa"/>
            <w:right w:w="108" w:type="dxa"/>
          </w:tblCellMar>
        </w:tblPrEx>
        <w:tc>
          <w:tcPr>
            <w:tcW w:w="1080" w:type="dxa"/>
            <w:tcBorders>
              <w:top w:val="single" w:color="auto" w:sz="8" w:space="0"/>
              <w:left w:val="single" w:color="auto" w:sz="8" w:space="0"/>
              <w:bottom w:val="single" w:color="auto" w:sz="4" w:space="0"/>
              <w:right w:val="single" w:color="auto" w:sz="4" w:space="0"/>
            </w:tcBorders>
            <w:vAlign w:val="center"/>
          </w:tcPr>
          <w:p w14:paraId="01B4B24F">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受灾</w:t>
            </w:r>
          </w:p>
          <w:p w14:paraId="3A1604E6">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级别</w:t>
            </w:r>
          </w:p>
        </w:tc>
        <w:tc>
          <w:tcPr>
            <w:tcW w:w="5134" w:type="dxa"/>
            <w:tcBorders>
              <w:top w:val="single" w:color="auto" w:sz="8" w:space="0"/>
              <w:left w:val="single" w:color="auto" w:sz="4" w:space="0"/>
              <w:bottom w:val="single" w:color="auto" w:sz="4" w:space="0"/>
              <w:right w:val="single" w:color="auto" w:sz="4" w:space="0"/>
            </w:tcBorders>
            <w:vAlign w:val="center"/>
          </w:tcPr>
          <w:p w14:paraId="10D77128">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损失情况</w:t>
            </w:r>
          </w:p>
        </w:tc>
        <w:tc>
          <w:tcPr>
            <w:tcW w:w="1625" w:type="dxa"/>
            <w:tcBorders>
              <w:top w:val="single" w:color="auto" w:sz="8" w:space="0"/>
              <w:left w:val="single" w:color="auto" w:sz="4" w:space="0"/>
              <w:bottom w:val="single" w:color="auto" w:sz="4" w:space="0"/>
              <w:right w:val="single" w:color="auto" w:sz="8" w:space="0"/>
            </w:tcBorders>
            <w:vAlign w:val="center"/>
          </w:tcPr>
          <w:p w14:paraId="79B36D2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160" w:firstLineChars="50"/>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赔付比例</w:t>
            </w:r>
          </w:p>
        </w:tc>
      </w:tr>
      <w:tr w14:paraId="29324942">
        <w:tblPrEx>
          <w:tblCellMar>
            <w:top w:w="0" w:type="dxa"/>
            <w:left w:w="108" w:type="dxa"/>
            <w:bottom w:w="0" w:type="dxa"/>
            <w:right w:w="108" w:type="dxa"/>
          </w:tblCellMar>
        </w:tblPrEx>
        <w:trPr>
          <w:trHeight w:val="601" w:hRule="atLeast"/>
        </w:trPr>
        <w:tc>
          <w:tcPr>
            <w:tcW w:w="1080" w:type="dxa"/>
            <w:tcBorders>
              <w:top w:val="single" w:color="auto" w:sz="4" w:space="0"/>
              <w:left w:val="single" w:color="auto" w:sz="8" w:space="0"/>
              <w:bottom w:val="single" w:color="auto" w:sz="4" w:space="0"/>
              <w:right w:val="single" w:color="auto" w:sz="4" w:space="0"/>
            </w:tcBorders>
            <w:vAlign w:val="center"/>
          </w:tcPr>
          <w:p w14:paraId="78BE1DD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轻度</w:t>
            </w:r>
          </w:p>
        </w:tc>
        <w:tc>
          <w:tcPr>
            <w:tcW w:w="5134" w:type="dxa"/>
            <w:tcBorders>
              <w:top w:val="single" w:color="auto" w:sz="4" w:space="0"/>
              <w:left w:val="single" w:color="auto" w:sz="4" w:space="0"/>
              <w:bottom w:val="single" w:color="auto" w:sz="4" w:space="0"/>
              <w:right w:val="single" w:color="auto" w:sz="4" w:space="0"/>
            </w:tcBorders>
            <w:vAlign w:val="center"/>
          </w:tcPr>
          <w:p w14:paraId="583F299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10%-30%花掉落；10%-20%叶片掉落；10%-30%的果掉落。</w:t>
            </w:r>
          </w:p>
        </w:tc>
        <w:tc>
          <w:tcPr>
            <w:tcW w:w="1625" w:type="dxa"/>
            <w:tcBorders>
              <w:top w:val="single" w:color="auto" w:sz="4" w:space="0"/>
              <w:left w:val="single" w:color="auto" w:sz="4" w:space="0"/>
              <w:bottom w:val="single" w:color="auto" w:sz="4" w:space="0"/>
              <w:right w:val="single" w:color="auto" w:sz="8" w:space="0"/>
            </w:tcBorders>
            <w:vAlign w:val="center"/>
          </w:tcPr>
          <w:p w14:paraId="1F884797">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1%-5％</w:t>
            </w:r>
          </w:p>
        </w:tc>
      </w:tr>
      <w:tr w14:paraId="571A792C">
        <w:tblPrEx>
          <w:tblCellMar>
            <w:top w:w="0" w:type="dxa"/>
            <w:left w:w="108" w:type="dxa"/>
            <w:bottom w:w="0" w:type="dxa"/>
            <w:right w:w="108" w:type="dxa"/>
          </w:tblCellMar>
        </w:tblPrEx>
        <w:tc>
          <w:tcPr>
            <w:tcW w:w="1080" w:type="dxa"/>
            <w:tcBorders>
              <w:top w:val="single" w:color="auto" w:sz="4" w:space="0"/>
              <w:left w:val="single" w:color="auto" w:sz="8" w:space="0"/>
              <w:bottom w:val="single" w:color="auto" w:sz="4" w:space="0"/>
              <w:right w:val="single" w:color="auto" w:sz="4" w:space="0"/>
            </w:tcBorders>
            <w:vAlign w:val="center"/>
          </w:tcPr>
          <w:p w14:paraId="41524C4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中度</w:t>
            </w:r>
          </w:p>
        </w:tc>
        <w:tc>
          <w:tcPr>
            <w:tcW w:w="5134" w:type="dxa"/>
            <w:tcBorders>
              <w:top w:val="single" w:color="auto" w:sz="4" w:space="0"/>
              <w:left w:val="single" w:color="auto" w:sz="4" w:space="0"/>
              <w:bottom w:val="single" w:color="auto" w:sz="4" w:space="0"/>
              <w:right w:val="single" w:color="auto" w:sz="4" w:space="0"/>
            </w:tcBorders>
            <w:vAlign w:val="center"/>
          </w:tcPr>
          <w:p w14:paraId="7CCA1E87">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30%-50%花掉落；20%-30%叶片掉落；30%-50%的果掉落。</w:t>
            </w:r>
          </w:p>
        </w:tc>
        <w:tc>
          <w:tcPr>
            <w:tcW w:w="1625" w:type="dxa"/>
            <w:tcBorders>
              <w:top w:val="single" w:color="auto" w:sz="4" w:space="0"/>
              <w:left w:val="single" w:color="auto" w:sz="4" w:space="0"/>
              <w:bottom w:val="single" w:color="auto" w:sz="4" w:space="0"/>
              <w:right w:val="single" w:color="auto" w:sz="8" w:space="0"/>
            </w:tcBorders>
            <w:vAlign w:val="center"/>
          </w:tcPr>
          <w:p w14:paraId="7FC8AC1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5％-25%</w:t>
            </w:r>
          </w:p>
        </w:tc>
      </w:tr>
      <w:tr w14:paraId="4894BB9B">
        <w:tblPrEx>
          <w:tblCellMar>
            <w:top w:w="0" w:type="dxa"/>
            <w:left w:w="108" w:type="dxa"/>
            <w:bottom w:w="0" w:type="dxa"/>
            <w:right w:w="108" w:type="dxa"/>
          </w:tblCellMar>
        </w:tblPrEx>
        <w:tc>
          <w:tcPr>
            <w:tcW w:w="1080" w:type="dxa"/>
            <w:tcBorders>
              <w:top w:val="single" w:color="auto" w:sz="4" w:space="0"/>
              <w:left w:val="single" w:color="auto" w:sz="8" w:space="0"/>
              <w:bottom w:val="single" w:color="auto" w:sz="8" w:space="0"/>
              <w:right w:val="single" w:color="auto" w:sz="4" w:space="0"/>
            </w:tcBorders>
            <w:vAlign w:val="center"/>
          </w:tcPr>
          <w:p w14:paraId="0D6B62D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重度</w:t>
            </w:r>
          </w:p>
        </w:tc>
        <w:tc>
          <w:tcPr>
            <w:tcW w:w="5134" w:type="dxa"/>
            <w:tcBorders>
              <w:top w:val="single" w:color="auto" w:sz="4" w:space="0"/>
              <w:left w:val="single" w:color="auto" w:sz="4" w:space="0"/>
              <w:bottom w:val="single" w:color="auto" w:sz="8" w:space="0"/>
              <w:right w:val="single" w:color="auto" w:sz="4" w:space="0"/>
            </w:tcBorders>
            <w:vAlign w:val="center"/>
          </w:tcPr>
          <w:p w14:paraId="1D900485">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50%以上花掉落；30%以上叶片掉落；50%以上的果掉落。</w:t>
            </w:r>
          </w:p>
        </w:tc>
        <w:tc>
          <w:tcPr>
            <w:tcW w:w="1625" w:type="dxa"/>
            <w:tcBorders>
              <w:top w:val="single" w:color="auto" w:sz="4" w:space="0"/>
              <w:left w:val="single" w:color="auto" w:sz="4" w:space="0"/>
              <w:bottom w:val="single" w:color="auto" w:sz="8" w:space="0"/>
              <w:right w:val="single" w:color="auto" w:sz="8" w:space="0"/>
            </w:tcBorders>
            <w:vAlign w:val="center"/>
          </w:tcPr>
          <w:p w14:paraId="2B005227">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25%-50%</w:t>
            </w:r>
          </w:p>
        </w:tc>
      </w:tr>
    </w:tbl>
    <w:p w14:paraId="5EF9E9F9">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③萎蔫。</w:t>
      </w:r>
    </w:p>
    <w:tbl>
      <w:tblPr>
        <w:tblStyle w:val="8"/>
        <w:tblW w:w="0" w:type="auto"/>
        <w:tblInd w:w="629" w:type="dxa"/>
        <w:tblLayout w:type="fixed"/>
        <w:tblCellMar>
          <w:top w:w="0" w:type="dxa"/>
          <w:left w:w="108" w:type="dxa"/>
          <w:bottom w:w="0" w:type="dxa"/>
          <w:right w:w="108" w:type="dxa"/>
        </w:tblCellMar>
      </w:tblPr>
      <w:tblGrid>
        <w:gridCol w:w="1104"/>
        <w:gridCol w:w="5134"/>
        <w:gridCol w:w="1637"/>
      </w:tblGrid>
      <w:tr w14:paraId="42C44BBE">
        <w:tblPrEx>
          <w:tblCellMar>
            <w:top w:w="0" w:type="dxa"/>
            <w:left w:w="108" w:type="dxa"/>
            <w:bottom w:w="0" w:type="dxa"/>
            <w:right w:w="108" w:type="dxa"/>
          </w:tblCellMar>
        </w:tblPrEx>
        <w:trPr>
          <w:trHeight w:val="438" w:hRule="atLeast"/>
        </w:trPr>
        <w:tc>
          <w:tcPr>
            <w:tcW w:w="1104" w:type="dxa"/>
            <w:tcBorders>
              <w:top w:val="single" w:color="auto" w:sz="8" w:space="0"/>
              <w:left w:val="single" w:color="auto" w:sz="8" w:space="0"/>
              <w:bottom w:val="single" w:color="auto" w:sz="4" w:space="0"/>
              <w:right w:val="single" w:color="auto" w:sz="4" w:space="0"/>
            </w:tcBorders>
            <w:vAlign w:val="center"/>
          </w:tcPr>
          <w:p w14:paraId="69EA22D4">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受灾</w:t>
            </w:r>
          </w:p>
          <w:p w14:paraId="5165AC54">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级别</w:t>
            </w:r>
          </w:p>
        </w:tc>
        <w:tc>
          <w:tcPr>
            <w:tcW w:w="5134" w:type="dxa"/>
            <w:tcBorders>
              <w:top w:val="single" w:color="auto" w:sz="8" w:space="0"/>
              <w:left w:val="single" w:color="auto" w:sz="4" w:space="0"/>
              <w:bottom w:val="single" w:color="auto" w:sz="4" w:space="0"/>
              <w:right w:val="single" w:color="auto" w:sz="4" w:space="0"/>
            </w:tcBorders>
            <w:vAlign w:val="center"/>
          </w:tcPr>
          <w:p w14:paraId="07E8429E">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损失情况</w:t>
            </w:r>
          </w:p>
        </w:tc>
        <w:tc>
          <w:tcPr>
            <w:tcW w:w="1637" w:type="dxa"/>
            <w:tcBorders>
              <w:top w:val="single" w:color="auto" w:sz="8" w:space="0"/>
              <w:left w:val="single" w:color="auto" w:sz="4" w:space="0"/>
              <w:bottom w:val="single" w:color="auto" w:sz="4" w:space="0"/>
              <w:right w:val="single" w:color="auto" w:sz="8" w:space="0"/>
            </w:tcBorders>
            <w:vAlign w:val="center"/>
          </w:tcPr>
          <w:p w14:paraId="54D21F1E">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赔付比例</w:t>
            </w:r>
          </w:p>
        </w:tc>
      </w:tr>
      <w:tr w14:paraId="0E21C641">
        <w:tblPrEx>
          <w:tblCellMar>
            <w:top w:w="0" w:type="dxa"/>
            <w:left w:w="108" w:type="dxa"/>
            <w:bottom w:w="0" w:type="dxa"/>
            <w:right w:w="108" w:type="dxa"/>
          </w:tblCellMar>
        </w:tblPrEx>
        <w:trPr>
          <w:trHeight w:val="612" w:hRule="atLeast"/>
        </w:trPr>
        <w:tc>
          <w:tcPr>
            <w:tcW w:w="1104" w:type="dxa"/>
            <w:tcBorders>
              <w:top w:val="single" w:color="auto" w:sz="4" w:space="0"/>
              <w:left w:val="single" w:color="auto" w:sz="8" w:space="0"/>
              <w:bottom w:val="single" w:color="auto" w:sz="4" w:space="0"/>
              <w:right w:val="single" w:color="auto" w:sz="4" w:space="0"/>
            </w:tcBorders>
            <w:vAlign w:val="center"/>
          </w:tcPr>
          <w:p w14:paraId="3028F43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轻度</w:t>
            </w:r>
          </w:p>
        </w:tc>
        <w:tc>
          <w:tcPr>
            <w:tcW w:w="5134" w:type="dxa"/>
            <w:tcBorders>
              <w:top w:val="single" w:color="auto" w:sz="4" w:space="0"/>
              <w:left w:val="single" w:color="auto" w:sz="4" w:space="0"/>
              <w:bottom w:val="single" w:color="auto" w:sz="4" w:space="0"/>
              <w:right w:val="single" w:color="auto" w:sz="4" w:space="0"/>
            </w:tcBorders>
          </w:tcPr>
          <w:p w14:paraId="5D463F9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其嫩叶片卷曲，傍晚或清晨能及时恢复的，对树体影响不大。</w:t>
            </w:r>
          </w:p>
        </w:tc>
        <w:tc>
          <w:tcPr>
            <w:tcW w:w="1637" w:type="dxa"/>
            <w:tcBorders>
              <w:top w:val="single" w:color="auto" w:sz="4" w:space="0"/>
              <w:left w:val="single" w:color="auto" w:sz="4" w:space="0"/>
              <w:bottom w:val="single" w:color="auto" w:sz="4" w:space="0"/>
              <w:right w:val="single" w:color="auto" w:sz="8" w:space="0"/>
            </w:tcBorders>
            <w:vAlign w:val="center"/>
          </w:tcPr>
          <w:p w14:paraId="461C17E0">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0</w:t>
            </w:r>
          </w:p>
        </w:tc>
      </w:tr>
      <w:tr w14:paraId="51A4A922">
        <w:tblPrEx>
          <w:tblCellMar>
            <w:top w:w="0" w:type="dxa"/>
            <w:left w:w="108" w:type="dxa"/>
            <w:bottom w:w="0" w:type="dxa"/>
            <w:right w:w="108" w:type="dxa"/>
          </w:tblCellMar>
        </w:tblPrEx>
        <w:tc>
          <w:tcPr>
            <w:tcW w:w="1104" w:type="dxa"/>
            <w:tcBorders>
              <w:top w:val="single" w:color="auto" w:sz="4" w:space="0"/>
              <w:left w:val="single" w:color="auto" w:sz="8" w:space="0"/>
              <w:bottom w:val="single" w:color="auto" w:sz="4" w:space="0"/>
              <w:right w:val="single" w:color="auto" w:sz="4" w:space="0"/>
            </w:tcBorders>
            <w:vAlign w:val="center"/>
          </w:tcPr>
          <w:p w14:paraId="3B79D3D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中度</w:t>
            </w:r>
          </w:p>
        </w:tc>
        <w:tc>
          <w:tcPr>
            <w:tcW w:w="5134" w:type="dxa"/>
            <w:tcBorders>
              <w:top w:val="single" w:color="auto" w:sz="4" w:space="0"/>
              <w:left w:val="single" w:color="auto" w:sz="4" w:space="0"/>
              <w:bottom w:val="single" w:color="auto" w:sz="4" w:space="0"/>
              <w:right w:val="single" w:color="auto" w:sz="4" w:space="0"/>
            </w:tcBorders>
          </w:tcPr>
          <w:p w14:paraId="6169CCEE">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其叶片卷曲，傍晚或清晨不能及时恢复的，对树体生长造成一定影响。</w:t>
            </w:r>
          </w:p>
        </w:tc>
        <w:tc>
          <w:tcPr>
            <w:tcW w:w="1637" w:type="dxa"/>
            <w:tcBorders>
              <w:top w:val="single" w:color="auto" w:sz="4" w:space="0"/>
              <w:left w:val="single" w:color="auto" w:sz="4" w:space="0"/>
              <w:bottom w:val="single" w:color="auto" w:sz="4" w:space="0"/>
              <w:right w:val="single" w:color="auto" w:sz="8" w:space="0"/>
            </w:tcBorders>
            <w:vAlign w:val="center"/>
          </w:tcPr>
          <w:p w14:paraId="0035091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0-20%</w:t>
            </w:r>
          </w:p>
        </w:tc>
      </w:tr>
      <w:tr w14:paraId="551C3C71">
        <w:tblPrEx>
          <w:tblCellMar>
            <w:top w:w="0" w:type="dxa"/>
            <w:left w:w="108" w:type="dxa"/>
            <w:bottom w:w="0" w:type="dxa"/>
            <w:right w:w="108" w:type="dxa"/>
          </w:tblCellMar>
        </w:tblPrEx>
        <w:tc>
          <w:tcPr>
            <w:tcW w:w="1104" w:type="dxa"/>
            <w:tcBorders>
              <w:top w:val="single" w:color="auto" w:sz="4" w:space="0"/>
              <w:left w:val="single" w:color="auto" w:sz="8" w:space="0"/>
              <w:bottom w:val="single" w:color="auto" w:sz="8" w:space="0"/>
              <w:right w:val="single" w:color="auto" w:sz="4" w:space="0"/>
            </w:tcBorders>
            <w:vAlign w:val="center"/>
          </w:tcPr>
          <w:p w14:paraId="5084C42F">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重度</w:t>
            </w:r>
          </w:p>
        </w:tc>
        <w:tc>
          <w:tcPr>
            <w:tcW w:w="5134" w:type="dxa"/>
            <w:tcBorders>
              <w:top w:val="single" w:color="auto" w:sz="4" w:space="0"/>
              <w:left w:val="single" w:color="auto" w:sz="4" w:space="0"/>
              <w:bottom w:val="single" w:color="auto" w:sz="8" w:space="0"/>
              <w:right w:val="single" w:color="auto" w:sz="4" w:space="0"/>
            </w:tcBorders>
          </w:tcPr>
          <w:p w14:paraId="6360C2E4">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其整树叶片卷曲，果子皱缩失水，枝条失水，严重影响其生长和产量。</w:t>
            </w:r>
          </w:p>
        </w:tc>
        <w:tc>
          <w:tcPr>
            <w:tcW w:w="1637" w:type="dxa"/>
            <w:tcBorders>
              <w:top w:val="single" w:color="auto" w:sz="4" w:space="0"/>
              <w:left w:val="single" w:color="auto" w:sz="4" w:space="0"/>
              <w:bottom w:val="single" w:color="auto" w:sz="8" w:space="0"/>
              <w:right w:val="single" w:color="auto" w:sz="8" w:space="0"/>
            </w:tcBorders>
            <w:vAlign w:val="center"/>
          </w:tcPr>
          <w:p w14:paraId="7D1A82C4">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20%-50%</w:t>
            </w:r>
          </w:p>
        </w:tc>
      </w:tr>
    </w:tbl>
    <w:p w14:paraId="30DBBE82">
      <w:pPr>
        <w:keepNext w:val="0"/>
        <w:keepLines w:val="0"/>
        <w:pageBreakBefore w:val="0"/>
        <w:kinsoku/>
        <w:wordWrap/>
        <w:overflowPunct/>
        <w:topLinePunct w:val="0"/>
        <w:autoSpaceDE/>
        <w:autoSpaceDN/>
        <w:bidi w:val="0"/>
        <w:spacing w:beforeAutospacing="0" w:after="0" w:afterAutospacing="0" w:line="6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在发生保险事故后难以立即确定损失的情况下，实行两次定损。第一次定损先将灾情和初步定损结果记录在案，经一定时间观察期后二次定损，以确定确切损失程度。</w:t>
      </w:r>
    </w:p>
    <w:p w14:paraId="1A043066">
      <w:pPr>
        <w:keepNext w:val="0"/>
        <w:keepLines w:val="0"/>
        <w:pageBreakBefore w:val="0"/>
        <w:kinsoku/>
        <w:wordWrap/>
        <w:overflowPunct/>
        <w:topLinePunct w:val="0"/>
        <w:autoSpaceDE/>
        <w:autoSpaceDN/>
        <w:bidi w:val="0"/>
        <w:spacing w:beforeAutospacing="0" w:after="0" w:afterAutospacing="0" w:line="600" w:lineRule="exact"/>
        <w:ind w:firstLine="64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（九）经济林种植保险</w:t>
      </w:r>
    </w:p>
    <w:p w14:paraId="252DE308">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1.投保条件：投保时经济林（主要包括李子、桃子、蓝莓、杨梅和梨子）种植面积不少于50亩，同时符合下列条件的经济林业主可作为保险合同的保险标的（以下统称“保险经济林”）：</w:t>
      </w:r>
    </w:p>
    <w:p w14:paraId="182DB054">
      <w:pPr>
        <w:keepNext w:val="0"/>
        <w:keepLines w:val="0"/>
        <w:pageBreakBefore w:val="0"/>
        <w:widowControl w:val="0"/>
        <w:kinsoku/>
        <w:wordWrap/>
        <w:overflowPunct/>
        <w:topLinePunct w:val="0"/>
        <w:autoSpaceDE/>
        <w:autoSpaceDN/>
        <w:bidi w:val="0"/>
        <w:spacing w:beforeAutospacing="0" w:after="0" w:afterAutospacing="0" w:line="600" w:lineRule="exact"/>
        <w:ind w:firstLine="480" w:firstLineChars="1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（1）集中连片种植且生长和管理正常；</w:t>
      </w:r>
    </w:p>
    <w:p w14:paraId="3662DDB4">
      <w:pPr>
        <w:keepNext w:val="0"/>
        <w:keepLines w:val="0"/>
        <w:pageBreakBefore w:val="0"/>
        <w:widowControl w:val="0"/>
        <w:kinsoku/>
        <w:wordWrap/>
        <w:overflowPunct/>
        <w:topLinePunct w:val="0"/>
        <w:autoSpaceDE/>
        <w:autoSpaceDN/>
        <w:bidi w:val="0"/>
        <w:spacing w:beforeAutospacing="0" w:after="0" w:afterAutospacing="0" w:line="600" w:lineRule="exact"/>
        <w:ind w:firstLine="480" w:firstLineChars="1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（2）投保地块权属和经营权明确，且四至界限清晰，具体投保位置明确；</w:t>
      </w:r>
    </w:p>
    <w:p w14:paraId="0B3E6863">
      <w:pPr>
        <w:keepNext w:val="0"/>
        <w:keepLines w:val="0"/>
        <w:pageBreakBefore w:val="0"/>
        <w:widowControl w:val="0"/>
        <w:kinsoku/>
        <w:wordWrap/>
        <w:overflowPunct/>
        <w:topLinePunct w:val="0"/>
        <w:autoSpaceDE/>
        <w:autoSpaceDN/>
        <w:bidi w:val="0"/>
        <w:spacing w:beforeAutospacing="0" w:after="0" w:afterAutospacing="0" w:line="600" w:lineRule="exact"/>
        <w:ind w:firstLine="480" w:firstLineChars="150"/>
        <w:jc w:val="both"/>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（3）其中投保的经济林品种必须在当地种植3年（含）以上且最小面积50亩（含）以上</w:t>
      </w:r>
      <w:r>
        <w:rPr>
          <w:rFonts w:hint="default" w:ascii="Times New Roman" w:hAnsi="Times New Roman" w:eastAsia="方正仿宋_GBK" w:cs="Times New Roman"/>
          <w:sz w:val="32"/>
          <w:szCs w:val="32"/>
          <w:lang w:val="zh-CN"/>
        </w:rPr>
        <w:t>。</w:t>
      </w:r>
    </w:p>
    <w:p w14:paraId="3B8A288D">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2.保险责任：</w:t>
      </w:r>
      <w:r>
        <w:rPr>
          <w:rFonts w:hint="default" w:ascii="Times New Roman" w:hAnsi="Times New Roman" w:eastAsia="方正仿宋_GBK" w:cs="Times New Roman"/>
          <w:kern w:val="2"/>
          <w:sz w:val="32"/>
          <w:szCs w:val="32"/>
          <w:lang w:val="zh-CN"/>
        </w:rPr>
        <w:t>在保险期间内，</w:t>
      </w:r>
      <w:r>
        <w:rPr>
          <w:rFonts w:hint="default" w:ascii="Times New Roman" w:hAnsi="Times New Roman" w:eastAsia="方正仿宋_GBK" w:cs="Times New Roman"/>
          <w:kern w:val="2"/>
          <w:sz w:val="32"/>
          <w:szCs w:val="32"/>
        </w:rPr>
        <w:t>由于下列原因直接造成保险经济林流失、被掩埋、主干折断、倒伏或者死亡，保险人按照保险合同的约定负责赔偿：</w:t>
      </w:r>
    </w:p>
    <w:p w14:paraId="077BCAC9">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（1）旱灾、火灾；</w:t>
      </w:r>
    </w:p>
    <w:p w14:paraId="7815C9C6">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（2）滑坡、干热风、地震、暴雨、暴风、洪水、泥石流、冰雹、冰冻、霜冻、暴雪；</w:t>
      </w:r>
    </w:p>
    <w:p w14:paraId="22754AFD">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（3）非检疫性病虫害。</w:t>
      </w:r>
    </w:p>
    <w:p w14:paraId="3E5AB33E">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3.保险金额及保险费率</w:t>
      </w:r>
    </w:p>
    <w:p w14:paraId="110346EF">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保险金额每亩1000元</w:t>
      </w:r>
    </w:p>
    <w:p w14:paraId="4A10061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费率5%</w:t>
      </w:r>
    </w:p>
    <w:p w14:paraId="4C45EB2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保费：50元/亩，其中区财政补助35元/亩，种植业主承担15元/亩</w:t>
      </w:r>
    </w:p>
    <w:p w14:paraId="5C0642C3">
      <w:pPr>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600" w:lineRule="exact"/>
        <w:ind w:firstLine="56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赔偿计算</w:t>
      </w:r>
    </w:p>
    <w:p w14:paraId="283625B9">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赔偿金额=每亩保险金额×损失程度×受损面积</w:t>
      </w:r>
    </w:p>
    <w:p w14:paraId="27C75313">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损失程度=平均单位面积损失株数/单位面积株数</w:t>
      </w:r>
    </w:p>
    <w:p w14:paraId="0FB25AC3">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发生保险事故时，保险单载明的保险面积小于其可保面积时，若无法区分保险经济林与非保险经济林的，保险人按保险单载明的保险面积与可保面积的比例计算赔偿。</w:t>
      </w:r>
    </w:p>
    <w:p w14:paraId="44F8C42E">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保险单载明的保险面积大于其可保面积时，保险人以可保面积为赔偿计算标准。</w:t>
      </w:r>
    </w:p>
    <w:p w14:paraId="333B159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（十）经济林产量保险（主要包括</w:t>
      </w:r>
      <w:r>
        <w:rPr>
          <w:rStyle w:val="13"/>
          <w:rFonts w:hint="default" w:ascii="Times New Roman" w:hAnsi="Times New Roman" w:eastAsia="方正楷体_GBK" w:cs="Times New Roman"/>
          <w:color w:val="000000"/>
          <w:kern w:val="2"/>
          <w:sz w:val="32"/>
          <w:szCs w:val="32"/>
          <w:lang w:val="zh-CN"/>
        </w:rPr>
        <w:t>李子、桃子、蓝莓、杨梅、梨子等5种经济林木</w:t>
      </w:r>
      <w:r>
        <w:rPr>
          <w:rFonts w:hint="default" w:ascii="Times New Roman" w:hAnsi="Times New Roman" w:eastAsia="方正楷体_GBK" w:cs="Times New Roman"/>
          <w:kern w:val="2"/>
          <w:sz w:val="32"/>
          <w:szCs w:val="32"/>
        </w:rPr>
        <w:t>）</w:t>
      </w:r>
    </w:p>
    <w:p w14:paraId="1ECF9792">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1.保险责任</w:t>
      </w:r>
    </w:p>
    <w:p w14:paraId="2204BED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在保险期间内，</w:t>
      </w:r>
      <w:r>
        <w:rPr>
          <w:rStyle w:val="13"/>
          <w:rFonts w:hint="default" w:ascii="Times New Roman" w:hAnsi="Times New Roman" w:eastAsia="方正仿宋_GBK" w:cs="Times New Roman"/>
          <w:bCs/>
          <w:color w:val="000000"/>
          <w:kern w:val="2"/>
          <w:sz w:val="32"/>
          <w:szCs w:val="32"/>
          <w:lang w:val="zh-CN"/>
        </w:rPr>
        <w:t>因风灾、雹灾、暴雨直接造成李子、桃子、杨梅、蓝莓、梨子等经济林木实际产量低于约定的产量（保险金额）时</w:t>
      </w:r>
      <w:r>
        <w:rPr>
          <w:rStyle w:val="13"/>
          <w:rFonts w:hint="default" w:ascii="Times New Roman" w:hAnsi="Times New Roman" w:eastAsia="方正仿宋_GBK" w:cs="Times New Roman"/>
          <w:color w:val="000000"/>
          <w:kern w:val="2"/>
          <w:sz w:val="32"/>
          <w:szCs w:val="32"/>
          <w:lang w:val="zh-CN"/>
        </w:rPr>
        <w:t>，</w:t>
      </w:r>
      <w:r>
        <w:rPr>
          <w:rStyle w:val="13"/>
          <w:rFonts w:hint="default" w:ascii="Times New Roman" w:hAnsi="Times New Roman" w:eastAsia="方正仿宋_GBK" w:cs="Times New Roman"/>
          <w:color w:val="000000"/>
          <w:sz w:val="32"/>
          <w:szCs w:val="32"/>
          <w:lang w:val="zh-CN"/>
        </w:rPr>
        <w:t>视为保险事故发生，</w:t>
      </w:r>
      <w:r>
        <w:rPr>
          <w:rStyle w:val="13"/>
          <w:rFonts w:hint="default" w:ascii="Times New Roman" w:hAnsi="Times New Roman" w:eastAsia="方正仿宋_GBK" w:cs="Times New Roman"/>
          <w:color w:val="000000"/>
          <w:kern w:val="2"/>
          <w:sz w:val="32"/>
          <w:szCs w:val="32"/>
          <w:lang w:val="zh-CN"/>
        </w:rPr>
        <w:t>保险人按照保险合同的约定负责赔偿。</w:t>
      </w:r>
    </w:p>
    <w:p w14:paraId="73308238">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2.保险金额及保险费</w:t>
      </w:r>
    </w:p>
    <w:p w14:paraId="0932206A">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李子保险金额1</w:t>
      </w:r>
      <w:r>
        <w:rPr>
          <w:rStyle w:val="13"/>
          <w:rFonts w:hint="default" w:ascii="Times New Roman" w:hAnsi="Times New Roman" w:eastAsia="方正仿宋_GBK" w:cs="Times New Roman"/>
          <w:color w:val="000000"/>
          <w:sz w:val="32"/>
          <w:szCs w:val="32"/>
        </w:rPr>
        <w:t>5</w:t>
      </w:r>
      <w:r>
        <w:rPr>
          <w:rStyle w:val="13"/>
          <w:rFonts w:hint="default" w:ascii="Times New Roman" w:hAnsi="Times New Roman" w:eastAsia="方正仿宋_GBK" w:cs="Times New Roman"/>
          <w:color w:val="000000"/>
          <w:sz w:val="32"/>
          <w:szCs w:val="32"/>
          <w:lang w:val="zh-CN"/>
        </w:rPr>
        <w:t>00元/亩（亩产2000斤/亩），桃子保险金额1</w:t>
      </w:r>
      <w:r>
        <w:rPr>
          <w:rStyle w:val="13"/>
          <w:rFonts w:hint="default" w:ascii="Times New Roman" w:hAnsi="Times New Roman" w:eastAsia="方正仿宋_GBK" w:cs="Times New Roman"/>
          <w:color w:val="000000"/>
          <w:sz w:val="32"/>
          <w:szCs w:val="32"/>
        </w:rPr>
        <w:t>5</w:t>
      </w:r>
      <w:r>
        <w:rPr>
          <w:rStyle w:val="13"/>
          <w:rFonts w:hint="default" w:ascii="Times New Roman" w:hAnsi="Times New Roman" w:eastAsia="方正仿宋_GBK" w:cs="Times New Roman"/>
          <w:color w:val="000000"/>
          <w:sz w:val="32"/>
          <w:szCs w:val="32"/>
          <w:lang w:val="zh-CN"/>
        </w:rPr>
        <w:t>00元/亩（亩产2000斤/亩），蓝莓保险金额1</w:t>
      </w:r>
      <w:r>
        <w:rPr>
          <w:rStyle w:val="13"/>
          <w:rFonts w:hint="default" w:ascii="Times New Roman" w:hAnsi="Times New Roman" w:eastAsia="方正仿宋_GBK" w:cs="Times New Roman"/>
          <w:color w:val="000000"/>
          <w:sz w:val="32"/>
          <w:szCs w:val="32"/>
        </w:rPr>
        <w:t>5</w:t>
      </w:r>
      <w:r>
        <w:rPr>
          <w:rStyle w:val="13"/>
          <w:rFonts w:hint="default" w:ascii="Times New Roman" w:hAnsi="Times New Roman" w:eastAsia="方正仿宋_GBK" w:cs="Times New Roman"/>
          <w:color w:val="000000"/>
          <w:sz w:val="32"/>
          <w:szCs w:val="32"/>
          <w:lang w:val="zh-CN"/>
        </w:rPr>
        <w:t>00元/亩（亩产500斤/亩），杨梅保险金额1</w:t>
      </w:r>
      <w:r>
        <w:rPr>
          <w:rStyle w:val="13"/>
          <w:rFonts w:hint="default" w:ascii="Times New Roman" w:hAnsi="Times New Roman" w:eastAsia="方正仿宋_GBK" w:cs="Times New Roman"/>
          <w:color w:val="000000"/>
          <w:sz w:val="32"/>
          <w:szCs w:val="32"/>
        </w:rPr>
        <w:t>3</w:t>
      </w:r>
      <w:r>
        <w:rPr>
          <w:rStyle w:val="13"/>
          <w:rFonts w:hint="default" w:ascii="Times New Roman" w:hAnsi="Times New Roman" w:eastAsia="方正仿宋_GBK" w:cs="Times New Roman"/>
          <w:color w:val="000000"/>
          <w:sz w:val="32"/>
          <w:szCs w:val="32"/>
          <w:lang w:val="zh-CN"/>
        </w:rPr>
        <w:t>00元/亩（亩产500斤/亩），梨子保险金额1200元/亩（亩产2000斤/亩）。</w:t>
      </w:r>
    </w:p>
    <w:p w14:paraId="5FB5AAD5">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保险费率：5%。</w:t>
      </w:r>
    </w:p>
    <w:p w14:paraId="10B57C18">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保险费：60－75元/亩，其中区财政补助80%，种植业主承担20%。</w:t>
      </w:r>
    </w:p>
    <w:p w14:paraId="3BDEDCE0">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3.保险理赔</w:t>
      </w:r>
    </w:p>
    <w:p w14:paraId="06410230">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jc w:val="both"/>
        <w:textAlignment w:val="auto"/>
        <w:rPr>
          <w:rStyle w:val="13"/>
          <w:rFonts w:hint="default" w:ascii="Times New Roman" w:hAnsi="Times New Roman" w:eastAsia="方正仿宋_GBK" w:cs="Times New Roman"/>
          <w:color w:val="000000"/>
          <w:sz w:val="32"/>
          <w:szCs w:val="32"/>
          <w:lang w:val="zh-CN"/>
        </w:rPr>
      </w:pPr>
      <w:r>
        <w:rPr>
          <w:rFonts w:hint="default" w:ascii="Times New Roman" w:hAnsi="Times New Roman" w:eastAsia="方正仿宋_GBK" w:cs="Times New Roman"/>
          <w:kern w:val="2"/>
          <w:sz w:val="32"/>
          <w:szCs w:val="32"/>
        </w:rPr>
        <w:t>（1）</w:t>
      </w:r>
      <w:r>
        <w:rPr>
          <w:rStyle w:val="13"/>
          <w:rFonts w:hint="default" w:ascii="Times New Roman" w:hAnsi="Times New Roman" w:eastAsia="方正仿宋_GBK" w:cs="Times New Roman"/>
          <w:color w:val="000000"/>
          <w:sz w:val="32"/>
          <w:szCs w:val="32"/>
          <w:lang w:val="zh-CN"/>
        </w:rPr>
        <w:t>全部损失赔付。发生保险责任范围内的损失时，保险经济林木发生全部损失时，保险人按经济林木不同生长期对应赔偿比例确定赔偿金额，按照下列方式赔偿：</w:t>
      </w:r>
    </w:p>
    <w:p w14:paraId="289E2C0B">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bCs/>
          <w:color w:val="000000"/>
          <w:kern w:val="2"/>
          <w:sz w:val="32"/>
          <w:szCs w:val="32"/>
          <w:lang w:val="zh-CN"/>
        </w:rPr>
      </w:pPr>
      <w:r>
        <w:rPr>
          <w:rStyle w:val="13"/>
          <w:rFonts w:hint="default" w:ascii="Times New Roman" w:hAnsi="Times New Roman" w:eastAsia="方正仿宋_GBK" w:cs="Times New Roman"/>
          <w:bCs/>
          <w:color w:val="000000"/>
          <w:sz w:val="32"/>
          <w:szCs w:val="32"/>
          <w:lang w:val="zh-CN"/>
        </w:rPr>
        <w:t>赔款金额=每亩保险金额×损失面积×不同生长期赔偿比例×（1-免赔率）</w:t>
      </w:r>
    </w:p>
    <w:tbl>
      <w:tblPr>
        <w:tblStyle w:val="8"/>
        <w:tblW w:w="8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8"/>
        <w:gridCol w:w="3355"/>
      </w:tblGrid>
      <w:tr w14:paraId="577B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8" w:type="dxa"/>
            <w:tcBorders>
              <w:top w:val="single" w:color="auto" w:sz="4" w:space="0"/>
              <w:left w:val="single" w:color="auto" w:sz="4" w:space="0"/>
              <w:bottom w:val="single" w:color="auto" w:sz="4" w:space="0"/>
              <w:right w:val="single" w:color="auto" w:sz="4" w:space="0"/>
            </w:tcBorders>
          </w:tcPr>
          <w:p w14:paraId="100389AE">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生长期</w:t>
            </w:r>
          </w:p>
        </w:tc>
        <w:tc>
          <w:tcPr>
            <w:tcW w:w="3355" w:type="dxa"/>
            <w:tcBorders>
              <w:top w:val="single" w:color="auto" w:sz="4" w:space="0"/>
              <w:left w:val="single" w:color="auto" w:sz="4" w:space="0"/>
              <w:bottom w:val="single" w:color="auto" w:sz="4" w:space="0"/>
              <w:right w:val="single" w:color="auto" w:sz="4" w:space="0"/>
            </w:tcBorders>
          </w:tcPr>
          <w:p w14:paraId="7E31282C">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不同生长期赔偿比例</w:t>
            </w:r>
          </w:p>
        </w:tc>
      </w:tr>
      <w:tr w14:paraId="7C62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8" w:type="dxa"/>
            <w:tcBorders>
              <w:top w:val="single" w:color="auto" w:sz="4" w:space="0"/>
              <w:left w:val="single" w:color="auto" w:sz="4" w:space="0"/>
              <w:bottom w:val="single" w:color="auto" w:sz="4" w:space="0"/>
              <w:right w:val="single" w:color="auto" w:sz="4" w:space="0"/>
            </w:tcBorders>
          </w:tcPr>
          <w:p w14:paraId="2B9EB817">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生理定果期-果实膨胀期（不含）</w:t>
            </w:r>
          </w:p>
        </w:tc>
        <w:tc>
          <w:tcPr>
            <w:tcW w:w="3355" w:type="dxa"/>
            <w:tcBorders>
              <w:top w:val="single" w:color="auto" w:sz="4" w:space="0"/>
              <w:left w:val="single" w:color="auto" w:sz="4" w:space="0"/>
              <w:bottom w:val="single" w:color="auto" w:sz="4" w:space="0"/>
              <w:right w:val="single" w:color="auto" w:sz="4" w:space="0"/>
            </w:tcBorders>
          </w:tcPr>
          <w:p w14:paraId="12170727">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70%</w:t>
            </w:r>
          </w:p>
        </w:tc>
      </w:tr>
      <w:tr w14:paraId="4610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8" w:type="dxa"/>
            <w:tcBorders>
              <w:top w:val="single" w:color="auto" w:sz="4" w:space="0"/>
              <w:left w:val="single" w:color="auto" w:sz="4" w:space="0"/>
              <w:bottom w:val="single" w:color="auto" w:sz="4" w:space="0"/>
              <w:right w:val="single" w:color="auto" w:sz="4" w:space="0"/>
            </w:tcBorders>
          </w:tcPr>
          <w:p w14:paraId="4C92EAC5">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果实膨胀期-成熟期（不含）</w:t>
            </w:r>
          </w:p>
        </w:tc>
        <w:tc>
          <w:tcPr>
            <w:tcW w:w="3355" w:type="dxa"/>
            <w:tcBorders>
              <w:top w:val="single" w:color="auto" w:sz="4" w:space="0"/>
              <w:left w:val="single" w:color="auto" w:sz="4" w:space="0"/>
              <w:bottom w:val="single" w:color="auto" w:sz="4" w:space="0"/>
              <w:right w:val="single" w:color="auto" w:sz="4" w:space="0"/>
            </w:tcBorders>
          </w:tcPr>
          <w:p w14:paraId="1DA2766D">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80%</w:t>
            </w:r>
          </w:p>
        </w:tc>
      </w:tr>
      <w:tr w14:paraId="0B2F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8" w:type="dxa"/>
            <w:tcBorders>
              <w:top w:val="single" w:color="auto" w:sz="4" w:space="0"/>
              <w:left w:val="single" w:color="auto" w:sz="4" w:space="0"/>
              <w:bottom w:val="single" w:color="auto" w:sz="4" w:space="0"/>
              <w:right w:val="single" w:color="auto" w:sz="4" w:space="0"/>
            </w:tcBorders>
          </w:tcPr>
          <w:p w14:paraId="06CE18B4">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成熟期-收获</w:t>
            </w:r>
          </w:p>
        </w:tc>
        <w:tc>
          <w:tcPr>
            <w:tcW w:w="3355" w:type="dxa"/>
            <w:tcBorders>
              <w:top w:val="single" w:color="auto" w:sz="4" w:space="0"/>
              <w:left w:val="single" w:color="auto" w:sz="4" w:space="0"/>
              <w:bottom w:val="single" w:color="auto" w:sz="4" w:space="0"/>
              <w:right w:val="single" w:color="auto" w:sz="4" w:space="0"/>
            </w:tcBorders>
          </w:tcPr>
          <w:p w14:paraId="7131BC2D">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100%</w:t>
            </w:r>
          </w:p>
        </w:tc>
      </w:tr>
    </w:tbl>
    <w:p w14:paraId="138E2B20">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出险时保险经济林木按所处的生长期对应赔偿比例确定赔偿金额，发生全部损失赔付后，保险责任自行终止。</w:t>
      </w:r>
    </w:p>
    <w:p w14:paraId="50A2F364">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保险经济林木发生保险责任范围内的损失，损失程度在80%以上的，视为全损，已采摘部分果实的保险经济林木，在赔偿时扣除已采摘部分的价值。</w:t>
      </w:r>
    </w:p>
    <w:p w14:paraId="4E5EEC5A">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Fonts w:hint="default" w:ascii="Times New Roman" w:hAnsi="Times New Roman" w:eastAsia="方正仿宋_GBK" w:cs="Times New Roman"/>
          <w:kern w:val="2"/>
          <w:sz w:val="32"/>
          <w:szCs w:val="32"/>
        </w:rPr>
        <w:t>（2）</w:t>
      </w:r>
      <w:r>
        <w:rPr>
          <w:rStyle w:val="13"/>
          <w:rFonts w:hint="default" w:ascii="Times New Roman" w:hAnsi="Times New Roman" w:eastAsia="方正仿宋_GBK" w:cs="Times New Roman"/>
          <w:color w:val="000000"/>
          <w:sz w:val="32"/>
          <w:szCs w:val="32"/>
          <w:lang w:val="zh-CN"/>
        </w:rPr>
        <w:t>部分损失赔付。保险经济林木发生保险责任范围内的部分损失，保险人按以下方式计算赔偿：</w:t>
      </w:r>
    </w:p>
    <w:p w14:paraId="6D8200A2">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保险人对受损的保险经济林木进行现场勘查后进行初步定损登记；保险经济林木连续受损，保险人可连续勘查定损。对于部分受损设恢复生长观察期，待保险经济林木收获后进行最终定损。</w:t>
      </w:r>
    </w:p>
    <w:p w14:paraId="6FF53E27">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按照承保前双方约定的保险经济林木单位平均产量和实际抽样定损测得单位产量作为计算损失程度的标准。</w:t>
      </w:r>
    </w:p>
    <w:p w14:paraId="07608A3A">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bCs/>
          <w:color w:val="000000"/>
          <w:sz w:val="32"/>
          <w:szCs w:val="32"/>
          <w:lang w:val="zh-CN"/>
        </w:rPr>
      </w:pPr>
      <w:r>
        <w:rPr>
          <w:rStyle w:val="13"/>
          <w:rFonts w:hint="default" w:ascii="Times New Roman" w:hAnsi="Times New Roman" w:eastAsia="方正仿宋_GBK" w:cs="Times New Roman"/>
          <w:bCs/>
          <w:color w:val="000000"/>
          <w:sz w:val="32"/>
          <w:szCs w:val="32"/>
          <w:lang w:val="zh-CN"/>
        </w:rPr>
        <w:t>赔偿金额=每亩保险金额×损失程度×受灾面积×（1-免赔率）</w:t>
      </w:r>
    </w:p>
    <w:p w14:paraId="51E4DC87">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损失程度=1-实际抽样测得单位产量/约定平均产量。</w:t>
      </w:r>
    </w:p>
    <w:p w14:paraId="7D72F62C">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每次事故的免赔率由投保人和被保险人协商确定，但不得低于10%。</w:t>
      </w:r>
    </w:p>
    <w:p w14:paraId="7DAF77D4">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（十一）农产品收益保险（主要包括竹笋、花椒和柑橘等）</w:t>
      </w:r>
    </w:p>
    <w:p w14:paraId="58F0131D">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1.保险责任</w:t>
      </w:r>
    </w:p>
    <w:p w14:paraId="70B49DB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kern w:val="2"/>
          <w:sz w:val="32"/>
          <w:szCs w:val="32"/>
          <w:lang w:val="zh-CN"/>
        </w:rPr>
        <w:t>在</w:t>
      </w:r>
      <w:r>
        <w:rPr>
          <w:rStyle w:val="13"/>
          <w:rFonts w:hint="default" w:ascii="Times New Roman" w:hAnsi="Times New Roman" w:eastAsia="方正仿宋_GBK" w:cs="Times New Roman"/>
          <w:color w:val="000000"/>
          <w:sz w:val="32"/>
          <w:szCs w:val="32"/>
          <w:lang w:val="zh-CN"/>
        </w:rPr>
        <w:t>保险期间内，</w:t>
      </w:r>
      <w:r>
        <w:rPr>
          <w:rStyle w:val="13"/>
          <w:rFonts w:hint="default" w:ascii="Times New Roman" w:hAnsi="Times New Roman" w:eastAsia="方正仿宋_GBK" w:cs="Times New Roman"/>
          <w:bCs/>
          <w:color w:val="000000"/>
          <w:kern w:val="2"/>
          <w:sz w:val="32"/>
          <w:szCs w:val="32"/>
          <w:lang w:val="zh-CN"/>
        </w:rPr>
        <w:t>因自然灾害、病虫害导致减产以及市场价格下跌造成竹笋、花椒、柑橘的销售收入低于约定的保险金额（预期收益）时</w:t>
      </w:r>
      <w:r>
        <w:rPr>
          <w:rStyle w:val="13"/>
          <w:rFonts w:hint="default" w:ascii="Times New Roman" w:hAnsi="Times New Roman" w:eastAsia="方正仿宋_GBK" w:cs="Times New Roman"/>
          <w:color w:val="000000"/>
          <w:kern w:val="2"/>
          <w:sz w:val="32"/>
          <w:szCs w:val="32"/>
          <w:lang w:val="zh-CN"/>
        </w:rPr>
        <w:t>，</w:t>
      </w:r>
      <w:r>
        <w:rPr>
          <w:rStyle w:val="13"/>
          <w:rFonts w:hint="default" w:ascii="Times New Roman" w:hAnsi="Times New Roman" w:eastAsia="方正仿宋_GBK" w:cs="Times New Roman"/>
          <w:color w:val="000000"/>
          <w:sz w:val="32"/>
          <w:szCs w:val="32"/>
          <w:lang w:val="zh-CN"/>
        </w:rPr>
        <w:t>视为保险事故发生，保险人按照保险合同约定负责赔偿。</w:t>
      </w:r>
    </w:p>
    <w:p w14:paraId="3795B0E9">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2.保险金额</w:t>
      </w:r>
    </w:p>
    <w:p w14:paraId="730D818E">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bCs/>
          <w:color w:val="000000"/>
          <w:kern w:val="2"/>
          <w:sz w:val="32"/>
          <w:szCs w:val="32"/>
          <w:lang w:val="zh-CN"/>
        </w:rPr>
      </w:pPr>
      <w:r>
        <w:rPr>
          <w:rStyle w:val="13"/>
          <w:rFonts w:hint="default" w:ascii="Times New Roman" w:hAnsi="Times New Roman" w:eastAsia="方正仿宋_GBK" w:cs="Times New Roman"/>
          <w:bCs/>
          <w:color w:val="000000"/>
          <w:kern w:val="2"/>
          <w:sz w:val="32"/>
          <w:szCs w:val="32"/>
          <w:lang w:val="zh-CN"/>
        </w:rPr>
        <w:t>竹笋（大叶麻竹）保险金额1500元/亩（价格0.3元/斤，亩产5000斤/亩），花椒保险金额3000元/亩（价格3元/斤，亩产1000斤/亩），柑橘保险金额2400元/亩（价格1.5元/斤，亩产1600斤/亩）。</w:t>
      </w:r>
    </w:p>
    <w:p w14:paraId="08BCD025">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保险费率：5%。</w:t>
      </w:r>
    </w:p>
    <w:p w14:paraId="0877B537">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保险费：75－150元/亩，其中区财政补助80%，种植业主承担20%。</w:t>
      </w:r>
    </w:p>
    <w:p w14:paraId="7D165214">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3.保险理赔</w:t>
      </w:r>
    </w:p>
    <w:p w14:paraId="4385216A">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Fonts w:hint="default" w:ascii="Times New Roman" w:hAnsi="Times New Roman" w:eastAsia="方正仿宋_GBK" w:cs="Times New Roman"/>
          <w:kern w:val="2"/>
          <w:sz w:val="32"/>
          <w:szCs w:val="32"/>
        </w:rPr>
        <w:t>（1）</w:t>
      </w:r>
      <w:r>
        <w:rPr>
          <w:rStyle w:val="13"/>
          <w:rFonts w:hint="default" w:ascii="Times New Roman" w:hAnsi="Times New Roman" w:eastAsia="方正仿宋_GBK" w:cs="Times New Roman"/>
          <w:bCs/>
          <w:color w:val="000000"/>
          <w:sz w:val="32"/>
          <w:szCs w:val="32"/>
          <w:lang w:val="zh-CN"/>
        </w:rPr>
        <w:t>竹笋（大叶麻竹）</w:t>
      </w:r>
    </w:p>
    <w:p w14:paraId="5DED65E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rPr>
      </w:pPr>
      <w:r>
        <w:rPr>
          <w:rStyle w:val="13"/>
          <w:rFonts w:hint="default" w:ascii="Times New Roman" w:hAnsi="Times New Roman" w:eastAsia="方正仿宋_GBK" w:cs="Times New Roman"/>
          <w:color w:val="000000"/>
          <w:sz w:val="32"/>
          <w:szCs w:val="32"/>
          <w:lang w:val="zh-CN"/>
        </w:rPr>
        <w:t>赔偿金额=保险金额-</w:t>
      </w:r>
      <w:r>
        <w:rPr>
          <w:rStyle w:val="13"/>
          <w:rFonts w:hint="default" w:ascii="Times New Roman" w:hAnsi="Times New Roman" w:eastAsia="方正仿宋_GBK" w:cs="Times New Roman"/>
          <w:color w:val="000000"/>
          <w:sz w:val="32"/>
          <w:szCs w:val="32"/>
        </w:rPr>
        <w:t>[</w:t>
      </w:r>
      <w:r>
        <w:rPr>
          <w:rStyle w:val="13"/>
          <w:rFonts w:hint="default" w:ascii="Times New Roman" w:hAnsi="Times New Roman" w:eastAsia="方正仿宋_GBK" w:cs="Times New Roman"/>
          <w:color w:val="000000"/>
          <w:sz w:val="32"/>
          <w:szCs w:val="32"/>
          <w:lang w:val="zh-CN"/>
        </w:rPr>
        <w:t>约定上市期间鲜毛竹笋市场平均价格（元/斤）×实际平均每亩产量（斤/亩）×保险面积（亩）</w:t>
      </w:r>
      <w:r>
        <w:rPr>
          <w:rStyle w:val="13"/>
          <w:rFonts w:hint="default" w:ascii="Times New Roman" w:hAnsi="Times New Roman" w:eastAsia="方正仿宋_GBK" w:cs="Times New Roman"/>
          <w:color w:val="000000"/>
          <w:sz w:val="32"/>
          <w:szCs w:val="32"/>
        </w:rPr>
        <w:t>]</w:t>
      </w:r>
    </w:p>
    <w:p w14:paraId="194C26F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bCs/>
          <w:color w:val="000000"/>
          <w:sz w:val="32"/>
          <w:szCs w:val="32"/>
        </w:rPr>
        <w:t>竹笋市场平均价格监测：</w:t>
      </w:r>
      <w:r>
        <w:rPr>
          <w:rStyle w:val="13"/>
          <w:rFonts w:hint="default" w:ascii="Times New Roman" w:hAnsi="Times New Roman" w:eastAsia="方正仿宋_GBK" w:cs="Times New Roman"/>
          <w:color w:val="000000"/>
          <w:sz w:val="32"/>
          <w:szCs w:val="32"/>
          <w:lang w:val="zh-CN"/>
        </w:rPr>
        <w:t>由保险公司牵头，1-2个主产区镇街作为见证方派员参与，组织1-2家以上投保人代表对市内竹笋农业加工企业、大宗农产品批发市场、集中交易中心</w:t>
      </w:r>
      <w:bookmarkStart w:id="0" w:name="_GoBack"/>
      <w:bookmarkEnd w:id="0"/>
      <w:r>
        <w:rPr>
          <w:rStyle w:val="13"/>
          <w:rFonts w:hint="default" w:ascii="Times New Roman" w:hAnsi="Times New Roman" w:eastAsia="方正仿宋_GBK" w:cs="Times New Roman"/>
          <w:color w:val="000000"/>
          <w:sz w:val="32"/>
          <w:szCs w:val="32"/>
          <w:lang w:val="zh-CN"/>
        </w:rPr>
        <w:t>及大户基地批发点进行价格监测，具体品种集中上市期间监测不低于3次。每次监测结果经监测参与人员签字确认后报有关镇街及区级业务主管部门备案。所有监测结果平均值作为</w:t>
      </w:r>
      <w:r>
        <w:rPr>
          <w:rStyle w:val="13"/>
          <w:rFonts w:hint="default" w:ascii="Times New Roman" w:hAnsi="Times New Roman" w:eastAsia="方正仿宋_GBK" w:cs="Times New Roman"/>
          <w:bCs/>
          <w:color w:val="000000"/>
          <w:sz w:val="32"/>
          <w:szCs w:val="32"/>
        </w:rPr>
        <w:t>竹笋</w:t>
      </w:r>
      <w:r>
        <w:rPr>
          <w:rStyle w:val="13"/>
          <w:rFonts w:hint="default" w:ascii="Times New Roman" w:hAnsi="Times New Roman" w:eastAsia="方正仿宋_GBK" w:cs="Times New Roman"/>
          <w:color w:val="000000"/>
          <w:sz w:val="32"/>
          <w:szCs w:val="32"/>
          <w:lang w:val="zh-CN"/>
        </w:rPr>
        <w:t>当年市场平均价格。</w:t>
      </w:r>
    </w:p>
    <w:p w14:paraId="00CA7D93">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bCs/>
          <w:color w:val="000000"/>
          <w:sz w:val="32"/>
          <w:szCs w:val="32"/>
          <w:lang w:val="zh-CN"/>
        </w:rPr>
      </w:pPr>
      <w:r>
        <w:rPr>
          <w:rFonts w:hint="default" w:ascii="Times New Roman" w:hAnsi="Times New Roman" w:eastAsia="方正仿宋_GBK" w:cs="Times New Roman"/>
          <w:kern w:val="2"/>
          <w:sz w:val="32"/>
          <w:szCs w:val="32"/>
        </w:rPr>
        <w:t>（2）</w:t>
      </w:r>
      <w:r>
        <w:rPr>
          <w:rStyle w:val="13"/>
          <w:rFonts w:hint="default" w:ascii="Times New Roman" w:hAnsi="Times New Roman" w:eastAsia="方正仿宋_GBK" w:cs="Times New Roman"/>
          <w:bCs/>
          <w:color w:val="000000"/>
          <w:sz w:val="32"/>
          <w:szCs w:val="32"/>
          <w:lang w:val="zh-CN"/>
        </w:rPr>
        <w:t>花椒</w:t>
      </w:r>
    </w:p>
    <w:p w14:paraId="6B8F0D41">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rPr>
      </w:pPr>
      <w:r>
        <w:rPr>
          <w:rStyle w:val="13"/>
          <w:rFonts w:hint="default" w:ascii="Times New Roman" w:hAnsi="Times New Roman" w:eastAsia="方正仿宋_GBK" w:cs="Times New Roman"/>
          <w:color w:val="000000"/>
          <w:sz w:val="32"/>
          <w:szCs w:val="32"/>
          <w:lang w:val="zh-CN"/>
        </w:rPr>
        <w:t>赔偿金额=保险金额-</w:t>
      </w:r>
      <w:r>
        <w:rPr>
          <w:rStyle w:val="13"/>
          <w:rFonts w:hint="default" w:ascii="Times New Roman" w:hAnsi="Times New Roman" w:eastAsia="方正仿宋_GBK" w:cs="Times New Roman"/>
          <w:color w:val="000000"/>
          <w:sz w:val="32"/>
          <w:szCs w:val="32"/>
        </w:rPr>
        <w:t>[</w:t>
      </w:r>
      <w:r>
        <w:rPr>
          <w:rStyle w:val="13"/>
          <w:rFonts w:hint="default" w:ascii="Times New Roman" w:hAnsi="Times New Roman" w:eastAsia="方正仿宋_GBK" w:cs="Times New Roman"/>
          <w:color w:val="000000"/>
          <w:sz w:val="32"/>
          <w:szCs w:val="32"/>
          <w:lang w:val="zh-CN"/>
        </w:rPr>
        <w:t>约定上市期间青椒（净椒）实际收购价（元/斤）×实际平均每亩产量（斤/亩）×保险面积（亩）</w:t>
      </w:r>
      <w:r>
        <w:rPr>
          <w:rStyle w:val="13"/>
          <w:rFonts w:hint="default" w:ascii="Times New Roman" w:hAnsi="Times New Roman" w:eastAsia="方正仿宋_GBK" w:cs="Times New Roman"/>
          <w:color w:val="000000"/>
          <w:sz w:val="32"/>
          <w:szCs w:val="32"/>
        </w:rPr>
        <w:t>]</w:t>
      </w:r>
    </w:p>
    <w:p w14:paraId="74ECC5E5">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bCs/>
          <w:color w:val="000000"/>
          <w:sz w:val="32"/>
          <w:szCs w:val="32"/>
        </w:rPr>
        <w:t>花椒市场平均价格监测：</w:t>
      </w:r>
      <w:r>
        <w:rPr>
          <w:rStyle w:val="13"/>
          <w:rFonts w:hint="default" w:ascii="Times New Roman" w:hAnsi="Times New Roman" w:eastAsia="方正仿宋_GBK" w:cs="Times New Roman"/>
          <w:bCs/>
          <w:color w:val="000000"/>
          <w:sz w:val="32"/>
          <w:szCs w:val="32"/>
          <w:lang w:val="zh-CN"/>
        </w:rPr>
        <w:t>由</w:t>
      </w:r>
      <w:r>
        <w:rPr>
          <w:rStyle w:val="13"/>
          <w:rFonts w:hint="default" w:ascii="Times New Roman" w:hAnsi="Times New Roman" w:eastAsia="方正仿宋_GBK" w:cs="Times New Roman"/>
          <w:color w:val="000000"/>
          <w:sz w:val="32"/>
          <w:szCs w:val="32"/>
          <w:lang w:val="zh-CN"/>
        </w:rPr>
        <w:t>保险公司牵头，1-2个主产区镇街作为见证方派员参与，组织1-2家以上投保人代表对市内青椒集中交易市场，大户基地批发点等实地监测，监测时间在青椒集中上市期间，连续监测不低于3次。每次监测结果经监测参与人员签字确认后报有关镇街及区级业务主管部门备案。所有监测结果平均值作为</w:t>
      </w:r>
      <w:r>
        <w:rPr>
          <w:rStyle w:val="13"/>
          <w:rFonts w:hint="default" w:ascii="Times New Roman" w:hAnsi="Times New Roman" w:eastAsia="方正仿宋_GBK" w:cs="Times New Roman"/>
          <w:bCs/>
          <w:color w:val="000000"/>
          <w:sz w:val="32"/>
          <w:szCs w:val="32"/>
          <w:lang w:val="zh-CN"/>
        </w:rPr>
        <w:t>花椒</w:t>
      </w:r>
      <w:r>
        <w:rPr>
          <w:rStyle w:val="13"/>
          <w:rFonts w:hint="default" w:ascii="Times New Roman" w:hAnsi="Times New Roman" w:eastAsia="方正仿宋_GBK" w:cs="Times New Roman"/>
          <w:color w:val="000000"/>
          <w:sz w:val="32"/>
          <w:szCs w:val="32"/>
          <w:lang w:val="zh-CN"/>
        </w:rPr>
        <w:t>当年市场平均价格。</w:t>
      </w:r>
    </w:p>
    <w:p w14:paraId="2B37AD0F">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bCs/>
          <w:color w:val="000000"/>
          <w:sz w:val="32"/>
          <w:szCs w:val="32"/>
          <w:lang w:val="zh-CN"/>
        </w:rPr>
      </w:pPr>
      <w:r>
        <w:rPr>
          <w:rFonts w:hint="default" w:ascii="Times New Roman" w:hAnsi="Times New Roman" w:eastAsia="方正仿宋_GBK" w:cs="Times New Roman"/>
          <w:kern w:val="2"/>
          <w:sz w:val="32"/>
          <w:szCs w:val="32"/>
        </w:rPr>
        <w:t>（3）</w:t>
      </w:r>
      <w:r>
        <w:rPr>
          <w:rStyle w:val="13"/>
          <w:rFonts w:hint="default" w:ascii="Times New Roman" w:hAnsi="Times New Roman" w:eastAsia="方正仿宋_GBK" w:cs="Times New Roman"/>
          <w:bCs/>
          <w:color w:val="000000"/>
          <w:sz w:val="32"/>
          <w:szCs w:val="32"/>
          <w:lang w:val="zh-CN"/>
        </w:rPr>
        <w:t>柑橘</w:t>
      </w:r>
    </w:p>
    <w:p w14:paraId="3928E174">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rPr>
      </w:pPr>
      <w:r>
        <w:rPr>
          <w:rStyle w:val="13"/>
          <w:rFonts w:hint="default" w:ascii="Times New Roman" w:hAnsi="Times New Roman" w:eastAsia="方正仿宋_GBK" w:cs="Times New Roman"/>
          <w:bCs/>
          <w:color w:val="000000"/>
          <w:sz w:val="32"/>
          <w:szCs w:val="32"/>
          <w:lang w:val="zh-CN"/>
        </w:rPr>
        <w:t>赔偿金额=保险金</w:t>
      </w:r>
      <w:r>
        <w:rPr>
          <w:rStyle w:val="13"/>
          <w:rFonts w:hint="default" w:ascii="Times New Roman" w:hAnsi="Times New Roman" w:eastAsia="方正仿宋_GBK" w:cs="Times New Roman"/>
          <w:color w:val="000000"/>
          <w:sz w:val="32"/>
          <w:szCs w:val="32"/>
          <w:lang w:val="zh-CN"/>
        </w:rPr>
        <w:t>额-</w:t>
      </w:r>
      <w:r>
        <w:rPr>
          <w:rStyle w:val="13"/>
          <w:rFonts w:hint="default" w:ascii="Times New Roman" w:hAnsi="Times New Roman" w:eastAsia="方正仿宋_GBK" w:cs="Times New Roman"/>
          <w:color w:val="000000"/>
          <w:sz w:val="32"/>
          <w:szCs w:val="32"/>
        </w:rPr>
        <w:t>[</w:t>
      </w:r>
      <w:r>
        <w:rPr>
          <w:rStyle w:val="13"/>
          <w:rFonts w:hint="default" w:ascii="Times New Roman" w:hAnsi="Times New Roman" w:eastAsia="方正仿宋_GBK" w:cs="Times New Roman"/>
          <w:color w:val="000000"/>
          <w:sz w:val="32"/>
          <w:szCs w:val="32"/>
          <w:lang w:val="zh-CN"/>
        </w:rPr>
        <w:t>（柑橘市场平均价×实际平均亩产量×保险面积）</w:t>
      </w:r>
      <w:r>
        <w:rPr>
          <w:rStyle w:val="13"/>
          <w:rFonts w:hint="default" w:ascii="Times New Roman" w:hAnsi="Times New Roman" w:eastAsia="方正仿宋_GBK" w:cs="Times New Roman"/>
          <w:color w:val="000000"/>
          <w:sz w:val="32"/>
          <w:szCs w:val="32"/>
        </w:rPr>
        <w:t>]</w:t>
      </w:r>
    </w:p>
    <w:p w14:paraId="48FD0E5E">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保险柑橘实际平均亩产量高于约定目标产量60%（含），保险公司按照实际平均亩产量计算赔付。保险柑橘实际平均亩产量未达到约定目标产量的60%（不含），保险人不予以赔付。</w:t>
      </w:r>
    </w:p>
    <w:p w14:paraId="390ED4BE">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柑橘市场平均价格的监测：由保险公司牵头，1-2个主产区镇街作为见证方派员参与，组织3家以上投保人代表对主产区内镇街农产品批发市场、集中交易中心、农业企业及大户基地批发点以及散户集中采购点，同时对杂甘、统计梨橙等进行定点定品种定期监测，监测时间从柑橘集中上市期间，连续监测不低于3次。每次监测结果经监测参与人员签字确认后报有关镇街及区级业务主管部门备案。所有监测结果平均值作为柑橘当年市场平均价格。</w:t>
      </w:r>
    </w:p>
    <w:p w14:paraId="7EA7570C">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竹笋、柑橘和花椒实际平均亩产量测定办法：由保险公司牵头，1-2个主产区镇街作为见证方派员参与，保险公司及被保险人代表在竹笋、柑橘和花椒采摘期选取不同地域、不同品种不低于3个点作为样本，进行抽样测产。如各方对抽样测产的结果有异议的，可委托第三方专业机构到市内其他区县对同品种抽取2个主产区进行测产。每次测定产量结果经监测参与人员签字确认后报有关镇街及区级业务主管部门备案，所有测产点的平均值即为实际平均每亩产量，作为保险公司理赔依据。</w:t>
      </w:r>
    </w:p>
    <w:p w14:paraId="4D044DE4">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三、工作要求</w:t>
      </w:r>
    </w:p>
    <w:p w14:paraId="720FB982">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bCs/>
          <w:kern w:val="2"/>
          <w:sz w:val="32"/>
          <w:szCs w:val="32"/>
        </w:rPr>
      </w:pPr>
      <w:r>
        <w:rPr>
          <w:rFonts w:hint="default" w:ascii="Times New Roman" w:hAnsi="Times New Roman" w:eastAsia="方正楷体_GBK" w:cs="Times New Roman"/>
          <w:bCs/>
          <w:kern w:val="2"/>
          <w:sz w:val="32"/>
          <w:szCs w:val="32"/>
        </w:rPr>
        <w:t>（一）强化保险体系建设</w:t>
      </w:r>
    </w:p>
    <w:p w14:paraId="4DBE31E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各镇（街）要加强农业保险服务体系建设，积极配合保险承办机构做好农业保险服务工作，每村设立1名协保协赔人员，由镇街推荐且保险公司面试通过后方可加入协保协赔队伍。协保协赔人员配合保险机构做好农业保险参保环节的审核和监督。农业涉农技术服务部门要加强农业生产、动物防疫、植物病虫防治及农业保险理赔方面的技术指导、咨询和服务，为农业保险工作提供技术支撑。保险承办机构要加大基层网点建设和服务能力建设，及时勘察理赔。各级各部门要切实履职尽责，有力有序推进政策性农业保险工作。</w:t>
      </w:r>
    </w:p>
    <w:p w14:paraId="021BF286">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bCs/>
          <w:kern w:val="2"/>
          <w:sz w:val="32"/>
          <w:szCs w:val="32"/>
        </w:rPr>
      </w:pPr>
      <w:r>
        <w:rPr>
          <w:rFonts w:hint="default" w:ascii="Times New Roman" w:hAnsi="Times New Roman" w:eastAsia="方正楷体_GBK" w:cs="Times New Roman"/>
          <w:bCs/>
          <w:kern w:val="2"/>
          <w:sz w:val="32"/>
          <w:szCs w:val="32"/>
        </w:rPr>
        <w:t>（二）强化组织培训宣传</w:t>
      </w:r>
    </w:p>
    <w:p w14:paraId="2F399A7A">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要加大农业保险政策宣传力度，与保险机构联合组织召开农业保险政策专题培训会议，确保国家相关政策落实落地。各镇（街）要会同保险经办机构完成对协保人员的组建，加强对协保队伍的培训工作，讲解农业保险政策，讲解经典案例，培训业务知识和宣传技巧。保险承办机构要组织村协保员队伍通过张贴宣传画报，发放宣传资料、典型案例宣传、借助村民会议等方式，加强对农户相关的法律及政策宣传，提高农民参保积极性。</w:t>
      </w:r>
    </w:p>
    <w:p w14:paraId="73215EDA">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bCs/>
          <w:kern w:val="2"/>
          <w:sz w:val="32"/>
          <w:szCs w:val="32"/>
        </w:rPr>
      </w:pPr>
      <w:r>
        <w:rPr>
          <w:rFonts w:hint="default" w:ascii="Times New Roman" w:hAnsi="Times New Roman" w:eastAsia="方正楷体_GBK" w:cs="Times New Roman"/>
          <w:bCs/>
          <w:kern w:val="2"/>
          <w:sz w:val="32"/>
          <w:szCs w:val="32"/>
        </w:rPr>
        <w:t>（三）强化保险监管及信息反馈</w:t>
      </w:r>
    </w:p>
    <w:p w14:paraId="6324EBD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开展农业保险，要坚持实事求是，防止虚报冒领、骗取、套取财政保费补贴资金。同一地块上的同种农作物只能选择参加种植灾害损失保险、产量保险和收益保险中的一种。区农业农村委、区财政局等有关部门将对农业政策性保险工作不定期检查、指导和督促。财政补贴部分的保费由保险承办机构凭发票等证明材料与政府有关部门直接结算。保险承办机构、各镇（街）要加强农业政策保险的信息反馈，确保工作顺利开展。</w:t>
      </w:r>
    </w:p>
    <w:p w14:paraId="69766E4C">
      <w:pPr>
        <w:pStyle w:val="2"/>
        <w:keepNext w:val="0"/>
        <w:keepLines w:val="0"/>
        <w:pageBreakBefore w:val="0"/>
        <w:kinsoku/>
        <w:wordWrap/>
        <w:overflowPunct/>
        <w:topLinePunct w:val="0"/>
        <w:autoSpaceDE/>
        <w:autoSpaceDN/>
        <w:bidi w:val="0"/>
        <w:spacing w:beforeAutospacing="0" w:after="0" w:afterAutospacing="0" w:line="600" w:lineRule="exact"/>
        <w:textAlignment w:val="auto"/>
        <w:rPr>
          <w:rFonts w:hint="default" w:ascii="Times New Roman" w:hAnsi="Times New Roman" w:cs="Times New Roman"/>
          <w:sz w:val="32"/>
          <w:szCs w:val="32"/>
        </w:rPr>
      </w:pPr>
    </w:p>
    <w:p w14:paraId="1975C20E">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方正仿宋_GBK" w:cs="Times New Roman"/>
          <w:kern w:val="2"/>
          <w:sz w:val="32"/>
          <w:szCs w:val="32"/>
        </w:rPr>
        <w:t>附表：渝北区政策性农业保险费用承担比例表</w:t>
      </w:r>
    </w:p>
    <w:p w14:paraId="352DB632">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br w:type="page"/>
      </w:r>
    </w:p>
    <w:p w14:paraId="02FDA621">
      <w:pPr>
        <w:widowControl w:val="0"/>
        <w:adjustRightInd/>
        <w:snapToGrid/>
        <w:spacing w:after="0" w:line="520" w:lineRule="exact"/>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附表</w:t>
      </w:r>
    </w:p>
    <w:tbl>
      <w:tblPr>
        <w:tblStyle w:val="8"/>
        <w:tblW w:w="10636" w:type="dxa"/>
        <w:tblInd w:w="0" w:type="dxa"/>
        <w:tblLayout w:type="autofit"/>
        <w:tblCellMar>
          <w:top w:w="0" w:type="dxa"/>
          <w:left w:w="108" w:type="dxa"/>
          <w:bottom w:w="0" w:type="dxa"/>
          <w:right w:w="108" w:type="dxa"/>
        </w:tblCellMar>
      </w:tblPr>
      <w:tblGrid>
        <w:gridCol w:w="866"/>
        <w:gridCol w:w="1190"/>
        <w:gridCol w:w="1220"/>
        <w:gridCol w:w="708"/>
        <w:gridCol w:w="1049"/>
        <w:gridCol w:w="1134"/>
        <w:gridCol w:w="1134"/>
        <w:gridCol w:w="279"/>
        <w:gridCol w:w="855"/>
        <w:gridCol w:w="505"/>
        <w:gridCol w:w="629"/>
        <w:gridCol w:w="1067"/>
      </w:tblGrid>
      <w:tr w14:paraId="08FBBFF6">
        <w:tblPrEx>
          <w:tblCellMar>
            <w:top w:w="0" w:type="dxa"/>
            <w:left w:w="108" w:type="dxa"/>
            <w:bottom w:w="0" w:type="dxa"/>
            <w:right w:w="108" w:type="dxa"/>
          </w:tblCellMar>
        </w:tblPrEx>
        <w:trPr>
          <w:gridAfter w:val="1"/>
          <w:wAfter w:w="1067" w:type="dxa"/>
          <w:trHeight w:val="525" w:hRule="atLeast"/>
        </w:trPr>
        <w:tc>
          <w:tcPr>
            <w:tcW w:w="9569" w:type="dxa"/>
            <w:gridSpan w:val="11"/>
            <w:tcBorders>
              <w:top w:val="nil"/>
              <w:left w:val="nil"/>
              <w:bottom w:val="nil"/>
              <w:right w:val="nil"/>
            </w:tcBorders>
            <w:noWrap/>
            <w:vAlign w:val="center"/>
          </w:tcPr>
          <w:p w14:paraId="073D815F">
            <w:pPr>
              <w:adjustRightInd/>
              <w:snapToGrid/>
              <w:spacing w:after="0"/>
              <w:jc w:val="center"/>
              <w:rPr>
                <w:rFonts w:hint="default" w:ascii="Times New Roman" w:hAnsi="Times New Roman" w:eastAsia="宋体" w:cs="Times New Roman"/>
                <w:b/>
                <w:bCs/>
                <w:sz w:val="32"/>
                <w:szCs w:val="32"/>
              </w:rPr>
            </w:pPr>
            <w:r>
              <w:rPr>
                <w:rFonts w:hint="eastAsia" w:ascii="方正小标宋_GBK" w:hAnsi="方正小标宋_GBK" w:eastAsia="方正小标宋_GBK" w:cs="方正小标宋_GBK"/>
                <w:b w:val="0"/>
                <w:bCs w:val="0"/>
                <w:sz w:val="32"/>
                <w:szCs w:val="32"/>
              </w:rPr>
              <w:t>渝北区政策性农业保险费用承担比例表</w:t>
            </w:r>
          </w:p>
        </w:tc>
      </w:tr>
      <w:tr w14:paraId="47AF0B37">
        <w:tblPrEx>
          <w:tblCellMar>
            <w:top w:w="0" w:type="dxa"/>
            <w:left w:w="108" w:type="dxa"/>
            <w:bottom w:w="0" w:type="dxa"/>
            <w:right w:w="108" w:type="dxa"/>
          </w:tblCellMar>
        </w:tblPrEx>
        <w:trPr>
          <w:trHeight w:val="195" w:hRule="atLeast"/>
        </w:trPr>
        <w:tc>
          <w:tcPr>
            <w:tcW w:w="866" w:type="dxa"/>
            <w:tcBorders>
              <w:top w:val="nil"/>
              <w:left w:val="nil"/>
              <w:bottom w:val="nil"/>
              <w:right w:val="nil"/>
            </w:tcBorders>
            <w:noWrap/>
            <w:vAlign w:val="center"/>
          </w:tcPr>
          <w:p w14:paraId="329CC99F">
            <w:pPr>
              <w:adjustRightInd/>
              <w:snapToGrid/>
              <w:spacing w:after="0"/>
              <w:rPr>
                <w:rFonts w:hint="default" w:ascii="Times New Roman" w:hAnsi="Times New Roman" w:eastAsia="宋体" w:cs="Times New Roman"/>
                <w:sz w:val="24"/>
                <w:szCs w:val="24"/>
              </w:rPr>
            </w:pPr>
          </w:p>
        </w:tc>
        <w:tc>
          <w:tcPr>
            <w:tcW w:w="1190" w:type="dxa"/>
            <w:tcBorders>
              <w:top w:val="nil"/>
              <w:left w:val="nil"/>
              <w:bottom w:val="nil"/>
              <w:right w:val="nil"/>
            </w:tcBorders>
            <w:noWrap/>
            <w:vAlign w:val="center"/>
          </w:tcPr>
          <w:p w14:paraId="465B1146">
            <w:pPr>
              <w:adjustRightInd/>
              <w:snapToGrid/>
              <w:spacing w:after="0"/>
              <w:rPr>
                <w:rFonts w:hint="default" w:ascii="Times New Roman" w:hAnsi="Times New Roman" w:eastAsia="宋体" w:cs="Times New Roman"/>
                <w:sz w:val="24"/>
                <w:szCs w:val="24"/>
              </w:rPr>
            </w:pPr>
          </w:p>
        </w:tc>
        <w:tc>
          <w:tcPr>
            <w:tcW w:w="1220" w:type="dxa"/>
            <w:tcBorders>
              <w:top w:val="nil"/>
              <w:left w:val="nil"/>
              <w:bottom w:val="nil"/>
              <w:right w:val="nil"/>
            </w:tcBorders>
            <w:noWrap/>
            <w:vAlign w:val="center"/>
          </w:tcPr>
          <w:p w14:paraId="3B7B1DD7">
            <w:pPr>
              <w:adjustRightInd/>
              <w:snapToGrid/>
              <w:spacing w:after="0"/>
              <w:rPr>
                <w:rFonts w:hint="default" w:ascii="Times New Roman" w:hAnsi="Times New Roman" w:eastAsia="宋体" w:cs="Times New Roman"/>
                <w:sz w:val="24"/>
                <w:szCs w:val="24"/>
              </w:rPr>
            </w:pPr>
          </w:p>
        </w:tc>
        <w:tc>
          <w:tcPr>
            <w:tcW w:w="708" w:type="dxa"/>
            <w:tcBorders>
              <w:top w:val="nil"/>
              <w:left w:val="nil"/>
              <w:bottom w:val="nil"/>
              <w:right w:val="nil"/>
            </w:tcBorders>
            <w:noWrap/>
            <w:vAlign w:val="center"/>
          </w:tcPr>
          <w:p w14:paraId="53E8848C">
            <w:pPr>
              <w:adjustRightInd/>
              <w:snapToGrid/>
              <w:spacing w:after="0"/>
              <w:rPr>
                <w:rFonts w:hint="default" w:ascii="Times New Roman" w:hAnsi="Times New Roman" w:eastAsia="宋体" w:cs="Times New Roman"/>
                <w:sz w:val="24"/>
                <w:szCs w:val="24"/>
              </w:rPr>
            </w:pPr>
          </w:p>
        </w:tc>
        <w:tc>
          <w:tcPr>
            <w:tcW w:w="1049" w:type="dxa"/>
            <w:tcBorders>
              <w:top w:val="nil"/>
              <w:left w:val="nil"/>
              <w:bottom w:val="nil"/>
              <w:right w:val="nil"/>
            </w:tcBorders>
            <w:noWrap/>
            <w:vAlign w:val="center"/>
          </w:tcPr>
          <w:p w14:paraId="7815463B">
            <w:pPr>
              <w:adjustRightInd/>
              <w:snapToGrid/>
              <w:spacing w:after="0"/>
              <w:rPr>
                <w:rFonts w:hint="default" w:ascii="Times New Roman" w:hAnsi="Times New Roman" w:eastAsia="宋体" w:cs="Times New Roman"/>
                <w:sz w:val="24"/>
                <w:szCs w:val="24"/>
              </w:rPr>
            </w:pPr>
          </w:p>
        </w:tc>
        <w:tc>
          <w:tcPr>
            <w:tcW w:w="2547" w:type="dxa"/>
            <w:gridSpan w:val="3"/>
            <w:tcBorders>
              <w:top w:val="nil"/>
              <w:left w:val="nil"/>
              <w:bottom w:val="nil"/>
              <w:right w:val="nil"/>
            </w:tcBorders>
            <w:noWrap/>
            <w:vAlign w:val="center"/>
          </w:tcPr>
          <w:p w14:paraId="0799989A">
            <w:pPr>
              <w:adjustRightInd/>
              <w:snapToGrid/>
              <w:spacing w:after="0"/>
              <w:rPr>
                <w:rFonts w:hint="default" w:ascii="Times New Roman" w:hAnsi="Times New Roman" w:eastAsia="宋体" w:cs="Times New Roman"/>
                <w:sz w:val="24"/>
                <w:szCs w:val="24"/>
              </w:rPr>
            </w:pPr>
          </w:p>
        </w:tc>
        <w:tc>
          <w:tcPr>
            <w:tcW w:w="1360" w:type="dxa"/>
            <w:gridSpan w:val="2"/>
            <w:tcBorders>
              <w:top w:val="nil"/>
              <w:left w:val="nil"/>
              <w:bottom w:val="nil"/>
              <w:right w:val="nil"/>
            </w:tcBorders>
            <w:noWrap/>
            <w:vAlign w:val="center"/>
          </w:tcPr>
          <w:p w14:paraId="0B2EA2DB">
            <w:pPr>
              <w:adjustRightInd/>
              <w:snapToGrid/>
              <w:spacing w:after="0"/>
              <w:rPr>
                <w:rFonts w:hint="default" w:ascii="Times New Roman" w:hAnsi="Times New Roman" w:eastAsia="宋体" w:cs="Times New Roman"/>
                <w:sz w:val="24"/>
                <w:szCs w:val="24"/>
              </w:rPr>
            </w:pPr>
          </w:p>
        </w:tc>
        <w:tc>
          <w:tcPr>
            <w:tcW w:w="629" w:type="dxa"/>
            <w:tcBorders>
              <w:top w:val="nil"/>
              <w:left w:val="nil"/>
              <w:bottom w:val="nil"/>
              <w:right w:val="nil"/>
            </w:tcBorders>
            <w:noWrap/>
            <w:vAlign w:val="center"/>
          </w:tcPr>
          <w:p w14:paraId="671A1B35">
            <w:pPr>
              <w:adjustRightInd/>
              <w:snapToGrid/>
              <w:spacing w:after="0"/>
              <w:rPr>
                <w:rFonts w:hint="default" w:ascii="Times New Roman" w:hAnsi="Times New Roman" w:eastAsia="宋体" w:cs="Times New Roman"/>
                <w:sz w:val="24"/>
                <w:szCs w:val="24"/>
              </w:rPr>
            </w:pPr>
          </w:p>
        </w:tc>
        <w:tc>
          <w:tcPr>
            <w:tcW w:w="1067" w:type="dxa"/>
            <w:tcBorders>
              <w:top w:val="nil"/>
              <w:left w:val="nil"/>
              <w:bottom w:val="nil"/>
              <w:right w:val="nil"/>
            </w:tcBorders>
            <w:noWrap/>
            <w:vAlign w:val="center"/>
          </w:tcPr>
          <w:p w14:paraId="12327DD5">
            <w:pPr>
              <w:adjustRightInd/>
              <w:snapToGrid/>
              <w:spacing w:after="0"/>
              <w:rPr>
                <w:rFonts w:hint="default" w:ascii="Times New Roman" w:hAnsi="Times New Roman" w:eastAsia="宋体" w:cs="Times New Roman"/>
                <w:sz w:val="24"/>
                <w:szCs w:val="24"/>
              </w:rPr>
            </w:pPr>
          </w:p>
        </w:tc>
      </w:tr>
      <w:tr w14:paraId="617563A8">
        <w:tblPrEx>
          <w:tblCellMar>
            <w:top w:w="0" w:type="dxa"/>
            <w:left w:w="108" w:type="dxa"/>
            <w:bottom w:w="0" w:type="dxa"/>
            <w:right w:w="108" w:type="dxa"/>
          </w:tblCellMar>
        </w:tblPrEx>
        <w:trPr>
          <w:gridAfter w:val="1"/>
          <w:wAfter w:w="1067" w:type="dxa"/>
          <w:trHeight w:val="525" w:hRule="atLeast"/>
        </w:trPr>
        <w:tc>
          <w:tcPr>
            <w:tcW w:w="866" w:type="dxa"/>
            <w:vMerge w:val="restart"/>
            <w:tcBorders>
              <w:top w:val="single" w:color="auto" w:sz="4" w:space="0"/>
              <w:left w:val="single" w:color="auto" w:sz="4" w:space="0"/>
              <w:bottom w:val="single" w:color="000000" w:sz="4" w:space="0"/>
              <w:right w:val="single" w:color="auto" w:sz="4" w:space="0"/>
            </w:tcBorders>
            <w:vAlign w:val="center"/>
          </w:tcPr>
          <w:p w14:paraId="1B6EDBCE">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类别</w:t>
            </w:r>
          </w:p>
        </w:tc>
        <w:tc>
          <w:tcPr>
            <w:tcW w:w="1190" w:type="dxa"/>
            <w:vMerge w:val="restart"/>
            <w:tcBorders>
              <w:top w:val="single" w:color="auto" w:sz="4" w:space="0"/>
              <w:left w:val="single" w:color="auto" w:sz="4" w:space="0"/>
              <w:bottom w:val="single" w:color="auto" w:sz="4" w:space="0"/>
              <w:right w:val="single" w:color="auto" w:sz="4" w:space="0"/>
            </w:tcBorders>
            <w:vAlign w:val="center"/>
          </w:tcPr>
          <w:p w14:paraId="2B74B2B7">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险种</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14:paraId="76CD91F3">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保费（元/头、亩）</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6DA5AA2B">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费率</w:t>
            </w:r>
          </w:p>
        </w:tc>
        <w:tc>
          <w:tcPr>
            <w:tcW w:w="1049" w:type="dxa"/>
            <w:vMerge w:val="restart"/>
            <w:tcBorders>
              <w:top w:val="single" w:color="auto" w:sz="4" w:space="0"/>
              <w:left w:val="single" w:color="auto" w:sz="4" w:space="0"/>
              <w:bottom w:val="single" w:color="auto" w:sz="4" w:space="0"/>
              <w:right w:val="single" w:color="auto" w:sz="4" w:space="0"/>
            </w:tcBorders>
            <w:vAlign w:val="center"/>
          </w:tcPr>
          <w:p w14:paraId="6D3A1905">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保险金额（元/头、亩）</w:t>
            </w:r>
          </w:p>
        </w:tc>
        <w:tc>
          <w:tcPr>
            <w:tcW w:w="4536" w:type="dxa"/>
            <w:gridSpan w:val="6"/>
            <w:tcBorders>
              <w:top w:val="single" w:color="auto" w:sz="4" w:space="0"/>
              <w:left w:val="nil"/>
              <w:bottom w:val="single" w:color="auto" w:sz="4" w:space="0"/>
              <w:right w:val="single" w:color="000000" w:sz="4" w:space="0"/>
            </w:tcBorders>
            <w:noWrap/>
            <w:vAlign w:val="center"/>
          </w:tcPr>
          <w:p w14:paraId="193DEF7F">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保费承担比例</w:t>
            </w:r>
          </w:p>
        </w:tc>
      </w:tr>
      <w:tr w14:paraId="3941672E">
        <w:tblPrEx>
          <w:tblCellMar>
            <w:top w:w="0" w:type="dxa"/>
            <w:left w:w="108" w:type="dxa"/>
            <w:bottom w:w="0" w:type="dxa"/>
            <w:right w:w="108" w:type="dxa"/>
          </w:tblCellMar>
        </w:tblPrEx>
        <w:trPr>
          <w:gridAfter w:val="1"/>
          <w:wAfter w:w="1067" w:type="dxa"/>
          <w:trHeight w:val="840" w:hRule="atLeast"/>
        </w:trPr>
        <w:tc>
          <w:tcPr>
            <w:tcW w:w="866" w:type="dxa"/>
            <w:vMerge w:val="continue"/>
            <w:tcBorders>
              <w:top w:val="single" w:color="auto" w:sz="4" w:space="0"/>
              <w:left w:val="single" w:color="auto" w:sz="4" w:space="0"/>
              <w:bottom w:val="single" w:color="000000" w:sz="4" w:space="0"/>
              <w:right w:val="single" w:color="auto" w:sz="4" w:space="0"/>
            </w:tcBorders>
            <w:vAlign w:val="center"/>
          </w:tcPr>
          <w:p w14:paraId="036D0F16">
            <w:pPr>
              <w:adjustRightInd/>
              <w:snapToGrid/>
              <w:spacing w:after="0"/>
              <w:rPr>
                <w:rFonts w:hint="default" w:ascii="Times New Roman" w:hAnsi="Times New Roman" w:eastAsia="仿宋" w:cs="Times New Roman"/>
                <w:color w:val="000000"/>
                <w:sz w:val="24"/>
                <w:szCs w:val="24"/>
              </w:rPr>
            </w:pPr>
          </w:p>
        </w:tc>
        <w:tc>
          <w:tcPr>
            <w:tcW w:w="1190" w:type="dxa"/>
            <w:vMerge w:val="continue"/>
            <w:tcBorders>
              <w:top w:val="single" w:color="auto" w:sz="4" w:space="0"/>
              <w:left w:val="single" w:color="auto" w:sz="4" w:space="0"/>
              <w:bottom w:val="single" w:color="auto" w:sz="4" w:space="0"/>
              <w:right w:val="single" w:color="auto" w:sz="4" w:space="0"/>
            </w:tcBorders>
            <w:vAlign w:val="center"/>
          </w:tcPr>
          <w:p w14:paraId="7D3001F7">
            <w:pPr>
              <w:adjustRightInd/>
              <w:snapToGrid/>
              <w:spacing w:after="0"/>
              <w:rPr>
                <w:rFonts w:hint="default" w:ascii="Times New Roman" w:hAnsi="Times New Roman" w:eastAsia="仿宋" w:cs="Times New Roman"/>
                <w:color w:val="00000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75E007F4">
            <w:pPr>
              <w:adjustRightInd/>
              <w:snapToGrid/>
              <w:spacing w:after="0"/>
              <w:rPr>
                <w:rFonts w:hint="default" w:ascii="Times New Roman" w:hAnsi="Times New Roman" w:eastAsia="仿宋" w:cs="Times New Roman"/>
                <w:color w:val="00000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66705C39">
            <w:pPr>
              <w:adjustRightInd/>
              <w:snapToGrid/>
              <w:spacing w:after="0"/>
              <w:rPr>
                <w:rFonts w:hint="default" w:ascii="Times New Roman" w:hAnsi="Times New Roman" w:eastAsia="仿宋" w:cs="Times New Roman"/>
                <w:color w:val="000000"/>
                <w:sz w:val="24"/>
                <w:szCs w:val="24"/>
              </w:rPr>
            </w:pPr>
          </w:p>
        </w:tc>
        <w:tc>
          <w:tcPr>
            <w:tcW w:w="1049" w:type="dxa"/>
            <w:vMerge w:val="continue"/>
            <w:tcBorders>
              <w:top w:val="single" w:color="auto" w:sz="4" w:space="0"/>
              <w:left w:val="single" w:color="auto" w:sz="4" w:space="0"/>
              <w:bottom w:val="single" w:color="auto" w:sz="4" w:space="0"/>
              <w:right w:val="single" w:color="auto" w:sz="4" w:space="0"/>
            </w:tcBorders>
            <w:vAlign w:val="center"/>
          </w:tcPr>
          <w:p w14:paraId="03891B39">
            <w:pPr>
              <w:adjustRightInd/>
              <w:snapToGrid/>
              <w:spacing w:after="0"/>
              <w:rPr>
                <w:rFonts w:hint="default" w:ascii="Times New Roman" w:hAnsi="Times New Roman" w:eastAsia="仿宋" w:cs="Times New Roman"/>
                <w:color w:val="000000"/>
                <w:sz w:val="24"/>
                <w:szCs w:val="24"/>
              </w:rPr>
            </w:pPr>
          </w:p>
        </w:tc>
        <w:tc>
          <w:tcPr>
            <w:tcW w:w="1134" w:type="dxa"/>
            <w:tcBorders>
              <w:top w:val="nil"/>
              <w:left w:val="nil"/>
              <w:bottom w:val="single" w:color="auto" w:sz="4" w:space="0"/>
              <w:right w:val="single" w:color="auto" w:sz="4" w:space="0"/>
            </w:tcBorders>
            <w:vAlign w:val="center"/>
          </w:tcPr>
          <w:p w14:paraId="0841243D">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中央财政补贴比例</w:t>
            </w:r>
          </w:p>
        </w:tc>
        <w:tc>
          <w:tcPr>
            <w:tcW w:w="1134" w:type="dxa"/>
            <w:tcBorders>
              <w:top w:val="nil"/>
              <w:left w:val="nil"/>
              <w:bottom w:val="single" w:color="auto" w:sz="4" w:space="0"/>
              <w:right w:val="single" w:color="auto" w:sz="4" w:space="0"/>
            </w:tcBorders>
            <w:vAlign w:val="center"/>
          </w:tcPr>
          <w:p w14:paraId="01333A58">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市级财政补贴比例</w:t>
            </w:r>
          </w:p>
        </w:tc>
        <w:tc>
          <w:tcPr>
            <w:tcW w:w="1134" w:type="dxa"/>
            <w:gridSpan w:val="2"/>
            <w:tcBorders>
              <w:top w:val="nil"/>
              <w:left w:val="nil"/>
              <w:bottom w:val="single" w:color="auto" w:sz="4" w:space="0"/>
              <w:right w:val="single" w:color="auto" w:sz="4" w:space="0"/>
            </w:tcBorders>
            <w:vAlign w:val="center"/>
          </w:tcPr>
          <w:p w14:paraId="0445F6B2">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区级财政补贴比例</w:t>
            </w:r>
          </w:p>
        </w:tc>
        <w:tc>
          <w:tcPr>
            <w:tcW w:w="1134" w:type="dxa"/>
            <w:gridSpan w:val="2"/>
            <w:tcBorders>
              <w:top w:val="nil"/>
              <w:left w:val="nil"/>
              <w:bottom w:val="single" w:color="auto" w:sz="4" w:space="0"/>
              <w:right w:val="single" w:color="auto" w:sz="4" w:space="0"/>
            </w:tcBorders>
            <w:vAlign w:val="center"/>
          </w:tcPr>
          <w:p w14:paraId="605D0566">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被保险人自缴比例</w:t>
            </w:r>
          </w:p>
        </w:tc>
      </w:tr>
      <w:tr w14:paraId="05AD5482">
        <w:tblPrEx>
          <w:tblCellMar>
            <w:top w:w="0" w:type="dxa"/>
            <w:left w:w="108" w:type="dxa"/>
            <w:bottom w:w="0" w:type="dxa"/>
            <w:right w:w="108" w:type="dxa"/>
          </w:tblCellMar>
        </w:tblPrEx>
        <w:trPr>
          <w:gridAfter w:val="1"/>
          <w:wAfter w:w="1067" w:type="dxa"/>
          <w:trHeight w:val="397" w:hRule="atLeast"/>
        </w:trPr>
        <w:tc>
          <w:tcPr>
            <w:tcW w:w="866" w:type="dxa"/>
            <w:vMerge w:val="restart"/>
            <w:tcBorders>
              <w:top w:val="nil"/>
              <w:left w:val="single" w:color="auto" w:sz="4" w:space="0"/>
              <w:right w:val="single" w:color="auto" w:sz="4" w:space="0"/>
            </w:tcBorders>
            <w:vAlign w:val="center"/>
          </w:tcPr>
          <w:p w14:paraId="3A9DD39A">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灾害损失保险</w:t>
            </w:r>
          </w:p>
        </w:tc>
        <w:tc>
          <w:tcPr>
            <w:tcW w:w="1190" w:type="dxa"/>
            <w:tcBorders>
              <w:top w:val="nil"/>
              <w:left w:val="nil"/>
              <w:bottom w:val="single" w:color="auto" w:sz="4" w:space="0"/>
              <w:right w:val="single" w:color="auto" w:sz="4" w:space="0"/>
            </w:tcBorders>
            <w:vAlign w:val="center"/>
          </w:tcPr>
          <w:p w14:paraId="172A64BB">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水稻</w:t>
            </w:r>
          </w:p>
        </w:tc>
        <w:tc>
          <w:tcPr>
            <w:tcW w:w="1220" w:type="dxa"/>
            <w:tcBorders>
              <w:top w:val="nil"/>
              <w:left w:val="nil"/>
              <w:bottom w:val="single" w:color="auto" w:sz="4" w:space="0"/>
              <w:right w:val="single" w:color="auto" w:sz="4" w:space="0"/>
            </w:tcBorders>
            <w:vAlign w:val="center"/>
          </w:tcPr>
          <w:p w14:paraId="6B99F55E">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36</w:t>
            </w:r>
          </w:p>
        </w:tc>
        <w:tc>
          <w:tcPr>
            <w:tcW w:w="708" w:type="dxa"/>
            <w:tcBorders>
              <w:top w:val="nil"/>
              <w:left w:val="nil"/>
              <w:bottom w:val="single" w:color="auto" w:sz="4" w:space="0"/>
              <w:right w:val="single" w:color="auto" w:sz="4" w:space="0"/>
            </w:tcBorders>
            <w:vAlign w:val="center"/>
          </w:tcPr>
          <w:p w14:paraId="02ED5584">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w:t>
            </w:r>
          </w:p>
        </w:tc>
        <w:tc>
          <w:tcPr>
            <w:tcW w:w="1049" w:type="dxa"/>
            <w:tcBorders>
              <w:top w:val="nil"/>
              <w:left w:val="nil"/>
              <w:bottom w:val="single" w:color="auto" w:sz="4" w:space="0"/>
              <w:right w:val="single" w:color="auto" w:sz="4" w:space="0"/>
            </w:tcBorders>
            <w:vAlign w:val="center"/>
          </w:tcPr>
          <w:p w14:paraId="547F381F">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600</w:t>
            </w:r>
          </w:p>
        </w:tc>
        <w:tc>
          <w:tcPr>
            <w:tcW w:w="1134" w:type="dxa"/>
            <w:tcBorders>
              <w:top w:val="nil"/>
              <w:left w:val="nil"/>
              <w:bottom w:val="single" w:color="auto" w:sz="4" w:space="0"/>
              <w:right w:val="single" w:color="auto" w:sz="4" w:space="0"/>
            </w:tcBorders>
            <w:vAlign w:val="center"/>
          </w:tcPr>
          <w:p w14:paraId="3ACDF7A3">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40%</w:t>
            </w:r>
          </w:p>
        </w:tc>
        <w:tc>
          <w:tcPr>
            <w:tcW w:w="1134" w:type="dxa"/>
            <w:tcBorders>
              <w:top w:val="nil"/>
              <w:left w:val="nil"/>
              <w:bottom w:val="single" w:color="auto" w:sz="4" w:space="0"/>
              <w:right w:val="single" w:color="auto" w:sz="4" w:space="0"/>
            </w:tcBorders>
            <w:vAlign w:val="center"/>
          </w:tcPr>
          <w:p w14:paraId="7AEF928F">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25%</w:t>
            </w:r>
          </w:p>
        </w:tc>
        <w:tc>
          <w:tcPr>
            <w:tcW w:w="1134" w:type="dxa"/>
            <w:gridSpan w:val="2"/>
            <w:tcBorders>
              <w:top w:val="nil"/>
              <w:left w:val="nil"/>
              <w:bottom w:val="single" w:color="auto" w:sz="4" w:space="0"/>
              <w:right w:val="single" w:color="auto" w:sz="4" w:space="0"/>
            </w:tcBorders>
            <w:vAlign w:val="center"/>
          </w:tcPr>
          <w:p w14:paraId="61C647FA">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10%</w:t>
            </w:r>
          </w:p>
        </w:tc>
        <w:tc>
          <w:tcPr>
            <w:tcW w:w="1134" w:type="dxa"/>
            <w:gridSpan w:val="2"/>
            <w:tcBorders>
              <w:top w:val="nil"/>
              <w:left w:val="nil"/>
              <w:bottom w:val="single" w:color="auto" w:sz="4" w:space="0"/>
              <w:right w:val="single" w:color="auto" w:sz="4" w:space="0"/>
            </w:tcBorders>
            <w:vAlign w:val="center"/>
          </w:tcPr>
          <w:p w14:paraId="3899A3C9">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25%</w:t>
            </w:r>
          </w:p>
        </w:tc>
      </w:tr>
      <w:tr w14:paraId="6CED717F">
        <w:tblPrEx>
          <w:tblCellMar>
            <w:top w:w="0" w:type="dxa"/>
            <w:left w:w="108" w:type="dxa"/>
            <w:bottom w:w="0" w:type="dxa"/>
            <w:right w:w="108" w:type="dxa"/>
          </w:tblCellMar>
        </w:tblPrEx>
        <w:trPr>
          <w:gridAfter w:val="1"/>
          <w:wAfter w:w="1067" w:type="dxa"/>
          <w:trHeight w:val="397" w:hRule="atLeast"/>
        </w:trPr>
        <w:tc>
          <w:tcPr>
            <w:tcW w:w="866" w:type="dxa"/>
            <w:vMerge w:val="continue"/>
            <w:tcBorders>
              <w:top w:val="nil"/>
              <w:left w:val="single" w:color="auto" w:sz="4" w:space="0"/>
              <w:right w:val="single" w:color="auto" w:sz="4" w:space="0"/>
            </w:tcBorders>
            <w:vAlign w:val="center"/>
          </w:tcPr>
          <w:p w14:paraId="4A09522B">
            <w:pPr>
              <w:adjustRightInd/>
              <w:snapToGrid/>
              <w:spacing w:after="0"/>
              <w:jc w:val="center"/>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14:paraId="7C34A6A9">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玉米</w:t>
            </w:r>
          </w:p>
        </w:tc>
        <w:tc>
          <w:tcPr>
            <w:tcW w:w="1220" w:type="dxa"/>
            <w:tcBorders>
              <w:top w:val="nil"/>
              <w:left w:val="nil"/>
              <w:bottom w:val="single" w:color="auto" w:sz="4" w:space="0"/>
              <w:right w:val="single" w:color="auto" w:sz="4" w:space="0"/>
            </w:tcBorders>
            <w:vAlign w:val="center"/>
          </w:tcPr>
          <w:p w14:paraId="4D472750">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36</w:t>
            </w:r>
          </w:p>
        </w:tc>
        <w:tc>
          <w:tcPr>
            <w:tcW w:w="708" w:type="dxa"/>
            <w:tcBorders>
              <w:top w:val="nil"/>
              <w:left w:val="nil"/>
              <w:bottom w:val="single" w:color="auto" w:sz="4" w:space="0"/>
              <w:right w:val="single" w:color="auto" w:sz="4" w:space="0"/>
            </w:tcBorders>
            <w:vAlign w:val="center"/>
          </w:tcPr>
          <w:p w14:paraId="157BBD36">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w:t>
            </w:r>
          </w:p>
        </w:tc>
        <w:tc>
          <w:tcPr>
            <w:tcW w:w="1049" w:type="dxa"/>
            <w:tcBorders>
              <w:top w:val="nil"/>
              <w:left w:val="nil"/>
              <w:bottom w:val="single" w:color="auto" w:sz="4" w:space="0"/>
              <w:right w:val="single" w:color="auto" w:sz="4" w:space="0"/>
            </w:tcBorders>
            <w:vAlign w:val="center"/>
          </w:tcPr>
          <w:p w14:paraId="72A499AA">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600</w:t>
            </w:r>
          </w:p>
        </w:tc>
        <w:tc>
          <w:tcPr>
            <w:tcW w:w="1134" w:type="dxa"/>
            <w:tcBorders>
              <w:top w:val="nil"/>
              <w:left w:val="nil"/>
              <w:bottom w:val="single" w:color="auto" w:sz="4" w:space="0"/>
              <w:right w:val="single" w:color="auto" w:sz="4" w:space="0"/>
            </w:tcBorders>
            <w:vAlign w:val="center"/>
          </w:tcPr>
          <w:p w14:paraId="5547DD21">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40%</w:t>
            </w:r>
          </w:p>
        </w:tc>
        <w:tc>
          <w:tcPr>
            <w:tcW w:w="1134" w:type="dxa"/>
            <w:tcBorders>
              <w:top w:val="nil"/>
              <w:left w:val="nil"/>
              <w:bottom w:val="single" w:color="auto" w:sz="4" w:space="0"/>
              <w:right w:val="single" w:color="auto" w:sz="4" w:space="0"/>
            </w:tcBorders>
            <w:vAlign w:val="center"/>
          </w:tcPr>
          <w:p w14:paraId="46B983F2">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25%</w:t>
            </w:r>
          </w:p>
        </w:tc>
        <w:tc>
          <w:tcPr>
            <w:tcW w:w="1134" w:type="dxa"/>
            <w:gridSpan w:val="2"/>
            <w:tcBorders>
              <w:top w:val="nil"/>
              <w:left w:val="nil"/>
              <w:bottom w:val="single" w:color="auto" w:sz="4" w:space="0"/>
              <w:right w:val="single" w:color="auto" w:sz="4" w:space="0"/>
            </w:tcBorders>
            <w:vAlign w:val="center"/>
          </w:tcPr>
          <w:p w14:paraId="01936A2D">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10%</w:t>
            </w:r>
          </w:p>
        </w:tc>
        <w:tc>
          <w:tcPr>
            <w:tcW w:w="1134" w:type="dxa"/>
            <w:gridSpan w:val="2"/>
            <w:tcBorders>
              <w:top w:val="nil"/>
              <w:left w:val="nil"/>
              <w:bottom w:val="single" w:color="auto" w:sz="4" w:space="0"/>
              <w:right w:val="single" w:color="auto" w:sz="4" w:space="0"/>
            </w:tcBorders>
            <w:vAlign w:val="center"/>
          </w:tcPr>
          <w:p w14:paraId="4E80CCAE">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25%</w:t>
            </w:r>
          </w:p>
        </w:tc>
      </w:tr>
      <w:tr w14:paraId="36E33EE5">
        <w:tblPrEx>
          <w:tblCellMar>
            <w:top w:w="0" w:type="dxa"/>
            <w:left w:w="108" w:type="dxa"/>
            <w:bottom w:w="0" w:type="dxa"/>
            <w:right w:w="108" w:type="dxa"/>
          </w:tblCellMar>
        </w:tblPrEx>
        <w:trPr>
          <w:gridAfter w:val="1"/>
          <w:wAfter w:w="1067" w:type="dxa"/>
          <w:trHeight w:val="397" w:hRule="atLeast"/>
        </w:trPr>
        <w:tc>
          <w:tcPr>
            <w:tcW w:w="866" w:type="dxa"/>
            <w:vMerge w:val="continue"/>
            <w:tcBorders>
              <w:top w:val="nil"/>
              <w:left w:val="single" w:color="auto" w:sz="4" w:space="0"/>
              <w:right w:val="single" w:color="auto" w:sz="4" w:space="0"/>
            </w:tcBorders>
            <w:vAlign w:val="center"/>
          </w:tcPr>
          <w:p w14:paraId="3E72408F">
            <w:pPr>
              <w:adjustRightInd/>
              <w:snapToGrid/>
              <w:spacing w:after="0"/>
              <w:jc w:val="center"/>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14:paraId="07CC1042">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能繁母猪</w:t>
            </w:r>
          </w:p>
        </w:tc>
        <w:tc>
          <w:tcPr>
            <w:tcW w:w="1220" w:type="dxa"/>
            <w:tcBorders>
              <w:top w:val="nil"/>
              <w:left w:val="nil"/>
              <w:bottom w:val="single" w:color="auto" w:sz="4" w:space="0"/>
              <w:right w:val="single" w:color="auto" w:sz="4" w:space="0"/>
            </w:tcBorders>
            <w:vAlign w:val="center"/>
          </w:tcPr>
          <w:p w14:paraId="5BCE4B3A">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120</w:t>
            </w:r>
          </w:p>
        </w:tc>
        <w:tc>
          <w:tcPr>
            <w:tcW w:w="708" w:type="dxa"/>
            <w:tcBorders>
              <w:top w:val="nil"/>
              <w:left w:val="nil"/>
              <w:bottom w:val="single" w:color="auto" w:sz="4" w:space="0"/>
              <w:right w:val="single" w:color="auto" w:sz="4" w:space="0"/>
            </w:tcBorders>
            <w:vAlign w:val="center"/>
          </w:tcPr>
          <w:p w14:paraId="4DFF8648">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w:t>
            </w:r>
          </w:p>
        </w:tc>
        <w:tc>
          <w:tcPr>
            <w:tcW w:w="1049" w:type="dxa"/>
            <w:tcBorders>
              <w:top w:val="nil"/>
              <w:left w:val="nil"/>
              <w:bottom w:val="single" w:color="auto" w:sz="4" w:space="0"/>
              <w:right w:val="single" w:color="auto" w:sz="4" w:space="0"/>
            </w:tcBorders>
            <w:vAlign w:val="center"/>
          </w:tcPr>
          <w:p w14:paraId="226F3A7A">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2000</w:t>
            </w:r>
          </w:p>
        </w:tc>
        <w:tc>
          <w:tcPr>
            <w:tcW w:w="1134" w:type="dxa"/>
            <w:tcBorders>
              <w:top w:val="nil"/>
              <w:left w:val="nil"/>
              <w:bottom w:val="single" w:color="auto" w:sz="4" w:space="0"/>
              <w:right w:val="single" w:color="auto" w:sz="4" w:space="0"/>
            </w:tcBorders>
            <w:vAlign w:val="center"/>
          </w:tcPr>
          <w:p w14:paraId="7EA9214C">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50%</w:t>
            </w:r>
          </w:p>
        </w:tc>
        <w:tc>
          <w:tcPr>
            <w:tcW w:w="1134" w:type="dxa"/>
            <w:tcBorders>
              <w:top w:val="nil"/>
              <w:left w:val="nil"/>
              <w:bottom w:val="single" w:color="auto" w:sz="4" w:space="0"/>
              <w:right w:val="single" w:color="auto" w:sz="4" w:space="0"/>
            </w:tcBorders>
            <w:vAlign w:val="center"/>
          </w:tcPr>
          <w:p w14:paraId="11718C5C">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w:t>
            </w:r>
          </w:p>
        </w:tc>
        <w:tc>
          <w:tcPr>
            <w:tcW w:w="1134" w:type="dxa"/>
            <w:gridSpan w:val="2"/>
            <w:tcBorders>
              <w:top w:val="nil"/>
              <w:left w:val="nil"/>
              <w:bottom w:val="single" w:color="auto" w:sz="4" w:space="0"/>
              <w:right w:val="single" w:color="auto" w:sz="4" w:space="0"/>
            </w:tcBorders>
            <w:vAlign w:val="center"/>
          </w:tcPr>
          <w:p w14:paraId="50B37FF9">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w:t>
            </w:r>
          </w:p>
        </w:tc>
        <w:tc>
          <w:tcPr>
            <w:tcW w:w="1134" w:type="dxa"/>
            <w:gridSpan w:val="2"/>
            <w:tcBorders>
              <w:top w:val="nil"/>
              <w:left w:val="nil"/>
              <w:bottom w:val="single" w:color="auto" w:sz="4" w:space="0"/>
              <w:right w:val="single" w:color="auto" w:sz="4" w:space="0"/>
            </w:tcBorders>
            <w:vAlign w:val="center"/>
          </w:tcPr>
          <w:p w14:paraId="0E4779B4">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14:paraId="0C59CA1A">
        <w:tblPrEx>
          <w:tblCellMar>
            <w:top w:w="0" w:type="dxa"/>
            <w:left w:w="108" w:type="dxa"/>
            <w:bottom w:w="0" w:type="dxa"/>
            <w:right w:w="108" w:type="dxa"/>
          </w:tblCellMar>
        </w:tblPrEx>
        <w:trPr>
          <w:gridAfter w:val="1"/>
          <w:wAfter w:w="1067" w:type="dxa"/>
          <w:trHeight w:val="397" w:hRule="atLeast"/>
        </w:trPr>
        <w:tc>
          <w:tcPr>
            <w:tcW w:w="866" w:type="dxa"/>
            <w:vMerge w:val="continue"/>
            <w:tcBorders>
              <w:left w:val="single" w:color="auto" w:sz="4" w:space="0"/>
              <w:right w:val="single" w:color="auto" w:sz="4" w:space="0"/>
            </w:tcBorders>
            <w:vAlign w:val="center"/>
          </w:tcPr>
          <w:p w14:paraId="782F55B9">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14:paraId="3474BC49">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生猪</w:t>
            </w:r>
          </w:p>
        </w:tc>
        <w:tc>
          <w:tcPr>
            <w:tcW w:w="1220" w:type="dxa"/>
            <w:tcBorders>
              <w:top w:val="nil"/>
              <w:left w:val="nil"/>
              <w:bottom w:val="single" w:color="auto" w:sz="4" w:space="0"/>
              <w:right w:val="single" w:color="auto" w:sz="4" w:space="0"/>
            </w:tcBorders>
            <w:vAlign w:val="center"/>
          </w:tcPr>
          <w:p w14:paraId="6F796B93">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60</w:t>
            </w:r>
          </w:p>
        </w:tc>
        <w:tc>
          <w:tcPr>
            <w:tcW w:w="708" w:type="dxa"/>
            <w:tcBorders>
              <w:top w:val="nil"/>
              <w:left w:val="nil"/>
              <w:bottom w:val="single" w:color="auto" w:sz="4" w:space="0"/>
              <w:right w:val="single" w:color="auto" w:sz="4" w:space="0"/>
            </w:tcBorders>
            <w:vAlign w:val="center"/>
          </w:tcPr>
          <w:p w14:paraId="6E79E940">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w:t>
            </w:r>
          </w:p>
        </w:tc>
        <w:tc>
          <w:tcPr>
            <w:tcW w:w="1049" w:type="dxa"/>
            <w:tcBorders>
              <w:top w:val="nil"/>
              <w:left w:val="nil"/>
              <w:bottom w:val="single" w:color="auto" w:sz="4" w:space="0"/>
              <w:right w:val="single" w:color="auto" w:sz="4" w:space="0"/>
            </w:tcBorders>
            <w:vAlign w:val="center"/>
          </w:tcPr>
          <w:p w14:paraId="329E1EF1">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1000</w:t>
            </w:r>
          </w:p>
        </w:tc>
        <w:tc>
          <w:tcPr>
            <w:tcW w:w="1134" w:type="dxa"/>
            <w:tcBorders>
              <w:top w:val="nil"/>
              <w:left w:val="nil"/>
              <w:bottom w:val="single" w:color="auto" w:sz="4" w:space="0"/>
              <w:right w:val="single" w:color="auto" w:sz="4" w:space="0"/>
            </w:tcBorders>
            <w:vAlign w:val="center"/>
          </w:tcPr>
          <w:p w14:paraId="1D0122A1">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50%</w:t>
            </w:r>
          </w:p>
        </w:tc>
        <w:tc>
          <w:tcPr>
            <w:tcW w:w="1134" w:type="dxa"/>
            <w:tcBorders>
              <w:top w:val="nil"/>
              <w:left w:val="nil"/>
              <w:bottom w:val="single" w:color="auto" w:sz="4" w:space="0"/>
              <w:right w:val="single" w:color="auto" w:sz="4" w:space="0"/>
            </w:tcBorders>
            <w:vAlign w:val="center"/>
          </w:tcPr>
          <w:p w14:paraId="4A6A95E7">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w:t>
            </w:r>
          </w:p>
        </w:tc>
        <w:tc>
          <w:tcPr>
            <w:tcW w:w="1134" w:type="dxa"/>
            <w:gridSpan w:val="2"/>
            <w:tcBorders>
              <w:top w:val="nil"/>
              <w:left w:val="nil"/>
              <w:bottom w:val="single" w:color="auto" w:sz="4" w:space="0"/>
              <w:right w:val="single" w:color="auto" w:sz="4" w:space="0"/>
            </w:tcBorders>
            <w:vAlign w:val="center"/>
          </w:tcPr>
          <w:p w14:paraId="72611083">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w:t>
            </w:r>
          </w:p>
        </w:tc>
        <w:tc>
          <w:tcPr>
            <w:tcW w:w="1134" w:type="dxa"/>
            <w:gridSpan w:val="2"/>
            <w:tcBorders>
              <w:top w:val="nil"/>
              <w:left w:val="nil"/>
              <w:bottom w:val="single" w:color="auto" w:sz="4" w:space="0"/>
              <w:right w:val="single" w:color="auto" w:sz="4" w:space="0"/>
            </w:tcBorders>
            <w:vAlign w:val="center"/>
          </w:tcPr>
          <w:p w14:paraId="77738FC5">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14:paraId="7928C06A">
        <w:tblPrEx>
          <w:tblCellMar>
            <w:top w:w="0" w:type="dxa"/>
            <w:left w:w="108" w:type="dxa"/>
            <w:bottom w:w="0" w:type="dxa"/>
            <w:right w:w="108" w:type="dxa"/>
          </w:tblCellMar>
        </w:tblPrEx>
        <w:trPr>
          <w:gridAfter w:val="1"/>
          <w:wAfter w:w="1067" w:type="dxa"/>
          <w:trHeight w:val="397" w:hRule="atLeast"/>
        </w:trPr>
        <w:tc>
          <w:tcPr>
            <w:tcW w:w="866" w:type="dxa"/>
            <w:vMerge w:val="continue"/>
            <w:tcBorders>
              <w:left w:val="single" w:color="auto" w:sz="4" w:space="0"/>
              <w:right w:val="single" w:color="auto" w:sz="4" w:space="0"/>
            </w:tcBorders>
            <w:vAlign w:val="center"/>
          </w:tcPr>
          <w:p w14:paraId="7EA2B507">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14:paraId="0B43E487">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渔业</w:t>
            </w:r>
          </w:p>
        </w:tc>
        <w:tc>
          <w:tcPr>
            <w:tcW w:w="1220" w:type="dxa"/>
            <w:tcBorders>
              <w:top w:val="nil"/>
              <w:left w:val="nil"/>
              <w:bottom w:val="single" w:color="auto" w:sz="4" w:space="0"/>
              <w:right w:val="single" w:color="auto" w:sz="4" w:space="0"/>
            </w:tcBorders>
            <w:vAlign w:val="center"/>
          </w:tcPr>
          <w:p w14:paraId="13AAB386">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200</w:t>
            </w:r>
          </w:p>
        </w:tc>
        <w:tc>
          <w:tcPr>
            <w:tcW w:w="708" w:type="dxa"/>
            <w:tcBorders>
              <w:top w:val="nil"/>
              <w:left w:val="nil"/>
              <w:bottom w:val="single" w:color="auto" w:sz="4" w:space="0"/>
              <w:right w:val="single" w:color="auto" w:sz="4" w:space="0"/>
            </w:tcBorders>
            <w:vAlign w:val="center"/>
          </w:tcPr>
          <w:p w14:paraId="66242EF0">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14:paraId="1AC19B2C">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4000</w:t>
            </w:r>
          </w:p>
        </w:tc>
        <w:tc>
          <w:tcPr>
            <w:tcW w:w="1134" w:type="dxa"/>
            <w:tcBorders>
              <w:top w:val="nil"/>
              <w:left w:val="nil"/>
              <w:bottom w:val="single" w:color="auto" w:sz="4" w:space="0"/>
              <w:right w:val="single" w:color="auto" w:sz="4" w:space="0"/>
            </w:tcBorders>
            <w:vAlign w:val="center"/>
          </w:tcPr>
          <w:p w14:paraId="3473EEBC">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14:paraId="4AF11D0B">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40%</w:t>
            </w:r>
          </w:p>
        </w:tc>
        <w:tc>
          <w:tcPr>
            <w:tcW w:w="1134" w:type="dxa"/>
            <w:gridSpan w:val="2"/>
            <w:tcBorders>
              <w:top w:val="nil"/>
              <w:left w:val="nil"/>
              <w:bottom w:val="single" w:color="auto" w:sz="4" w:space="0"/>
              <w:right w:val="single" w:color="auto" w:sz="4" w:space="0"/>
            </w:tcBorders>
            <w:vAlign w:val="center"/>
          </w:tcPr>
          <w:p w14:paraId="27D15657">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30%</w:t>
            </w:r>
          </w:p>
        </w:tc>
        <w:tc>
          <w:tcPr>
            <w:tcW w:w="1134" w:type="dxa"/>
            <w:gridSpan w:val="2"/>
            <w:tcBorders>
              <w:top w:val="nil"/>
              <w:left w:val="nil"/>
              <w:bottom w:val="single" w:color="auto" w:sz="4" w:space="0"/>
              <w:right w:val="single" w:color="auto" w:sz="4" w:space="0"/>
            </w:tcBorders>
            <w:vAlign w:val="center"/>
          </w:tcPr>
          <w:p w14:paraId="436C3FA3">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30%</w:t>
            </w:r>
          </w:p>
        </w:tc>
      </w:tr>
      <w:tr w14:paraId="56CAB73F">
        <w:tblPrEx>
          <w:tblCellMar>
            <w:top w:w="0" w:type="dxa"/>
            <w:left w:w="108" w:type="dxa"/>
            <w:bottom w:w="0" w:type="dxa"/>
            <w:right w:w="108" w:type="dxa"/>
          </w:tblCellMar>
        </w:tblPrEx>
        <w:trPr>
          <w:gridAfter w:val="1"/>
          <w:wAfter w:w="1067" w:type="dxa"/>
          <w:trHeight w:val="397" w:hRule="atLeast"/>
        </w:trPr>
        <w:tc>
          <w:tcPr>
            <w:tcW w:w="866" w:type="dxa"/>
            <w:vMerge w:val="continue"/>
            <w:tcBorders>
              <w:left w:val="single" w:color="auto" w:sz="4" w:space="0"/>
              <w:right w:val="single" w:color="auto" w:sz="4" w:space="0"/>
            </w:tcBorders>
            <w:vAlign w:val="center"/>
          </w:tcPr>
          <w:p w14:paraId="4D30FAA4">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14:paraId="02A4F3E9">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小龙虾</w:t>
            </w:r>
          </w:p>
        </w:tc>
        <w:tc>
          <w:tcPr>
            <w:tcW w:w="1220" w:type="dxa"/>
            <w:tcBorders>
              <w:top w:val="nil"/>
              <w:left w:val="nil"/>
              <w:bottom w:val="single" w:color="auto" w:sz="4" w:space="0"/>
              <w:right w:val="single" w:color="auto" w:sz="4" w:space="0"/>
            </w:tcBorders>
            <w:vAlign w:val="center"/>
          </w:tcPr>
          <w:p w14:paraId="768F6B14">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100</w:t>
            </w:r>
          </w:p>
        </w:tc>
        <w:tc>
          <w:tcPr>
            <w:tcW w:w="708" w:type="dxa"/>
            <w:tcBorders>
              <w:top w:val="nil"/>
              <w:left w:val="nil"/>
              <w:bottom w:val="single" w:color="auto" w:sz="4" w:space="0"/>
              <w:right w:val="single" w:color="auto" w:sz="4" w:space="0"/>
            </w:tcBorders>
            <w:vAlign w:val="center"/>
          </w:tcPr>
          <w:p w14:paraId="19F3708E">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14:paraId="51AF1D52">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2000</w:t>
            </w:r>
          </w:p>
        </w:tc>
        <w:tc>
          <w:tcPr>
            <w:tcW w:w="1134" w:type="dxa"/>
            <w:tcBorders>
              <w:top w:val="nil"/>
              <w:left w:val="nil"/>
              <w:bottom w:val="single" w:color="auto" w:sz="4" w:space="0"/>
              <w:right w:val="single" w:color="auto" w:sz="4" w:space="0"/>
            </w:tcBorders>
            <w:vAlign w:val="center"/>
          </w:tcPr>
          <w:p w14:paraId="4E7FCF99">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14:paraId="33DCF128">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14:paraId="7CAADF5C">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70%</w:t>
            </w:r>
          </w:p>
        </w:tc>
        <w:tc>
          <w:tcPr>
            <w:tcW w:w="1134" w:type="dxa"/>
            <w:gridSpan w:val="2"/>
            <w:tcBorders>
              <w:top w:val="nil"/>
              <w:left w:val="nil"/>
              <w:bottom w:val="single" w:color="auto" w:sz="4" w:space="0"/>
              <w:right w:val="single" w:color="auto" w:sz="4" w:space="0"/>
            </w:tcBorders>
            <w:vAlign w:val="center"/>
          </w:tcPr>
          <w:p w14:paraId="7087C3D2">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30%</w:t>
            </w:r>
          </w:p>
        </w:tc>
      </w:tr>
      <w:tr w14:paraId="16079894">
        <w:tblPrEx>
          <w:tblCellMar>
            <w:top w:w="0" w:type="dxa"/>
            <w:left w:w="108" w:type="dxa"/>
            <w:bottom w:w="0" w:type="dxa"/>
            <w:right w:w="108" w:type="dxa"/>
          </w:tblCellMar>
        </w:tblPrEx>
        <w:trPr>
          <w:gridAfter w:val="1"/>
          <w:wAfter w:w="1067" w:type="dxa"/>
          <w:trHeight w:val="397" w:hRule="atLeast"/>
        </w:trPr>
        <w:tc>
          <w:tcPr>
            <w:tcW w:w="866" w:type="dxa"/>
            <w:vMerge w:val="continue"/>
            <w:tcBorders>
              <w:left w:val="single" w:color="auto" w:sz="4" w:space="0"/>
              <w:right w:val="single" w:color="auto" w:sz="4" w:space="0"/>
            </w:tcBorders>
            <w:vAlign w:val="center"/>
          </w:tcPr>
          <w:p w14:paraId="499A7DC1">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14:paraId="3E2C5866">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牛养殖</w:t>
            </w:r>
          </w:p>
        </w:tc>
        <w:tc>
          <w:tcPr>
            <w:tcW w:w="1220" w:type="dxa"/>
            <w:tcBorders>
              <w:top w:val="nil"/>
              <w:left w:val="nil"/>
              <w:bottom w:val="single" w:color="auto" w:sz="4" w:space="0"/>
              <w:right w:val="single" w:color="auto" w:sz="4" w:space="0"/>
            </w:tcBorders>
            <w:vAlign w:val="center"/>
          </w:tcPr>
          <w:p w14:paraId="5BB6BFB9">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210</w:t>
            </w:r>
          </w:p>
        </w:tc>
        <w:tc>
          <w:tcPr>
            <w:tcW w:w="708" w:type="dxa"/>
            <w:tcBorders>
              <w:top w:val="nil"/>
              <w:left w:val="nil"/>
              <w:bottom w:val="single" w:color="auto" w:sz="4" w:space="0"/>
              <w:right w:val="single" w:color="auto" w:sz="4" w:space="0"/>
            </w:tcBorders>
            <w:vAlign w:val="center"/>
          </w:tcPr>
          <w:p w14:paraId="5F161C3E">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7%</w:t>
            </w:r>
          </w:p>
        </w:tc>
        <w:tc>
          <w:tcPr>
            <w:tcW w:w="1049" w:type="dxa"/>
            <w:tcBorders>
              <w:top w:val="nil"/>
              <w:left w:val="nil"/>
              <w:bottom w:val="single" w:color="auto" w:sz="4" w:space="0"/>
              <w:right w:val="single" w:color="auto" w:sz="4" w:space="0"/>
            </w:tcBorders>
            <w:vAlign w:val="center"/>
          </w:tcPr>
          <w:p w14:paraId="053237A1">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3000</w:t>
            </w:r>
          </w:p>
        </w:tc>
        <w:tc>
          <w:tcPr>
            <w:tcW w:w="1134" w:type="dxa"/>
            <w:tcBorders>
              <w:top w:val="nil"/>
              <w:left w:val="nil"/>
              <w:bottom w:val="single" w:color="auto" w:sz="4" w:space="0"/>
              <w:right w:val="single" w:color="auto" w:sz="4" w:space="0"/>
            </w:tcBorders>
            <w:vAlign w:val="center"/>
          </w:tcPr>
          <w:p w14:paraId="58715024">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14:paraId="1072A33F">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14:paraId="5A1B511D">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14:paraId="16C7625C">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14:paraId="0E94E71F">
        <w:tblPrEx>
          <w:tblCellMar>
            <w:top w:w="0" w:type="dxa"/>
            <w:left w:w="108" w:type="dxa"/>
            <w:bottom w:w="0" w:type="dxa"/>
            <w:right w:w="108" w:type="dxa"/>
          </w:tblCellMar>
        </w:tblPrEx>
        <w:trPr>
          <w:gridAfter w:val="1"/>
          <w:wAfter w:w="1067" w:type="dxa"/>
          <w:trHeight w:val="397" w:hRule="atLeast"/>
        </w:trPr>
        <w:tc>
          <w:tcPr>
            <w:tcW w:w="866" w:type="dxa"/>
            <w:vMerge w:val="continue"/>
            <w:tcBorders>
              <w:left w:val="single" w:color="auto" w:sz="4" w:space="0"/>
              <w:right w:val="single" w:color="auto" w:sz="4" w:space="0"/>
            </w:tcBorders>
            <w:vAlign w:val="center"/>
          </w:tcPr>
          <w:p w14:paraId="78F7482D">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14:paraId="6E4184C0">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柑橘</w:t>
            </w:r>
          </w:p>
        </w:tc>
        <w:tc>
          <w:tcPr>
            <w:tcW w:w="1220" w:type="dxa"/>
            <w:tcBorders>
              <w:top w:val="nil"/>
              <w:left w:val="nil"/>
              <w:bottom w:val="single" w:color="auto" w:sz="4" w:space="0"/>
              <w:right w:val="single" w:color="auto" w:sz="4" w:space="0"/>
            </w:tcBorders>
            <w:vAlign w:val="center"/>
          </w:tcPr>
          <w:p w14:paraId="0C642CD3">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c>
          <w:tcPr>
            <w:tcW w:w="708" w:type="dxa"/>
            <w:tcBorders>
              <w:top w:val="nil"/>
              <w:left w:val="nil"/>
              <w:bottom w:val="single" w:color="auto" w:sz="4" w:space="0"/>
              <w:right w:val="single" w:color="auto" w:sz="4" w:space="0"/>
            </w:tcBorders>
            <w:vAlign w:val="center"/>
          </w:tcPr>
          <w:p w14:paraId="43155A62">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tc>
        <w:tc>
          <w:tcPr>
            <w:tcW w:w="1049" w:type="dxa"/>
            <w:tcBorders>
              <w:top w:val="nil"/>
              <w:left w:val="nil"/>
              <w:bottom w:val="single" w:color="auto" w:sz="4" w:space="0"/>
              <w:right w:val="single" w:color="auto" w:sz="4" w:space="0"/>
            </w:tcBorders>
            <w:vAlign w:val="center"/>
          </w:tcPr>
          <w:p w14:paraId="2E8B37B4">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1000</w:t>
            </w:r>
          </w:p>
        </w:tc>
        <w:tc>
          <w:tcPr>
            <w:tcW w:w="1134" w:type="dxa"/>
            <w:tcBorders>
              <w:top w:val="nil"/>
              <w:left w:val="nil"/>
              <w:bottom w:val="single" w:color="auto" w:sz="4" w:space="0"/>
              <w:right w:val="single" w:color="auto" w:sz="4" w:space="0"/>
            </w:tcBorders>
            <w:vAlign w:val="center"/>
          </w:tcPr>
          <w:p w14:paraId="6C173793">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14:paraId="69ECBCC9">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50%</w:t>
            </w:r>
          </w:p>
        </w:tc>
        <w:tc>
          <w:tcPr>
            <w:tcW w:w="1134" w:type="dxa"/>
            <w:gridSpan w:val="2"/>
            <w:tcBorders>
              <w:top w:val="nil"/>
              <w:left w:val="nil"/>
              <w:bottom w:val="single" w:color="auto" w:sz="4" w:space="0"/>
              <w:right w:val="single" w:color="auto" w:sz="4" w:space="0"/>
            </w:tcBorders>
            <w:vAlign w:val="center"/>
          </w:tcPr>
          <w:p w14:paraId="7E8BCE3E">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c>
          <w:tcPr>
            <w:tcW w:w="1134" w:type="dxa"/>
            <w:gridSpan w:val="2"/>
            <w:tcBorders>
              <w:top w:val="nil"/>
              <w:left w:val="nil"/>
              <w:bottom w:val="single" w:color="auto" w:sz="4" w:space="0"/>
              <w:right w:val="single" w:color="auto" w:sz="4" w:space="0"/>
            </w:tcBorders>
            <w:vAlign w:val="center"/>
          </w:tcPr>
          <w:p w14:paraId="1E6B763B">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30%</w:t>
            </w:r>
          </w:p>
        </w:tc>
      </w:tr>
      <w:tr w14:paraId="08249333">
        <w:tblPrEx>
          <w:tblCellMar>
            <w:top w:w="0" w:type="dxa"/>
            <w:left w:w="108" w:type="dxa"/>
            <w:bottom w:w="0" w:type="dxa"/>
            <w:right w:w="108" w:type="dxa"/>
          </w:tblCellMar>
        </w:tblPrEx>
        <w:trPr>
          <w:gridAfter w:val="1"/>
          <w:wAfter w:w="1067" w:type="dxa"/>
          <w:trHeight w:val="397" w:hRule="atLeast"/>
        </w:trPr>
        <w:tc>
          <w:tcPr>
            <w:tcW w:w="866" w:type="dxa"/>
            <w:vMerge w:val="continue"/>
            <w:tcBorders>
              <w:left w:val="single" w:color="auto" w:sz="4" w:space="0"/>
              <w:bottom w:val="single" w:color="000000" w:sz="4" w:space="0"/>
              <w:right w:val="single" w:color="auto" w:sz="4" w:space="0"/>
            </w:tcBorders>
            <w:vAlign w:val="center"/>
          </w:tcPr>
          <w:p w14:paraId="66783229">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14:paraId="14D883DC">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经济林</w:t>
            </w:r>
          </w:p>
        </w:tc>
        <w:tc>
          <w:tcPr>
            <w:tcW w:w="1220" w:type="dxa"/>
            <w:tcBorders>
              <w:top w:val="nil"/>
              <w:left w:val="nil"/>
              <w:bottom w:val="single" w:color="auto" w:sz="4" w:space="0"/>
              <w:right w:val="single" w:color="auto" w:sz="4" w:space="0"/>
            </w:tcBorders>
            <w:vAlign w:val="center"/>
          </w:tcPr>
          <w:p w14:paraId="72B36A37">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50</w:t>
            </w:r>
          </w:p>
        </w:tc>
        <w:tc>
          <w:tcPr>
            <w:tcW w:w="708" w:type="dxa"/>
            <w:tcBorders>
              <w:top w:val="nil"/>
              <w:left w:val="nil"/>
              <w:bottom w:val="single" w:color="auto" w:sz="4" w:space="0"/>
              <w:right w:val="single" w:color="auto" w:sz="4" w:space="0"/>
            </w:tcBorders>
            <w:vAlign w:val="center"/>
          </w:tcPr>
          <w:p w14:paraId="0D52A723">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14:paraId="0107A365">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1000</w:t>
            </w:r>
          </w:p>
        </w:tc>
        <w:tc>
          <w:tcPr>
            <w:tcW w:w="1134" w:type="dxa"/>
            <w:tcBorders>
              <w:top w:val="nil"/>
              <w:left w:val="nil"/>
              <w:bottom w:val="single" w:color="auto" w:sz="4" w:space="0"/>
              <w:right w:val="single" w:color="auto" w:sz="4" w:space="0"/>
            </w:tcBorders>
            <w:vAlign w:val="center"/>
          </w:tcPr>
          <w:p w14:paraId="4FD2DAC3">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14:paraId="5A2CE5CC">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14:paraId="25785929">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70%</w:t>
            </w:r>
          </w:p>
        </w:tc>
        <w:tc>
          <w:tcPr>
            <w:tcW w:w="1134" w:type="dxa"/>
            <w:gridSpan w:val="2"/>
            <w:tcBorders>
              <w:top w:val="nil"/>
              <w:left w:val="nil"/>
              <w:bottom w:val="single" w:color="auto" w:sz="4" w:space="0"/>
              <w:right w:val="single" w:color="auto" w:sz="4" w:space="0"/>
            </w:tcBorders>
            <w:vAlign w:val="center"/>
          </w:tcPr>
          <w:p w14:paraId="095C7F88">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30%</w:t>
            </w:r>
          </w:p>
        </w:tc>
      </w:tr>
      <w:tr w14:paraId="5DA0D110">
        <w:tblPrEx>
          <w:tblCellMar>
            <w:top w:w="0" w:type="dxa"/>
            <w:left w:w="108" w:type="dxa"/>
            <w:bottom w:w="0" w:type="dxa"/>
            <w:right w:w="108" w:type="dxa"/>
          </w:tblCellMar>
        </w:tblPrEx>
        <w:trPr>
          <w:gridAfter w:val="1"/>
          <w:wAfter w:w="1067" w:type="dxa"/>
          <w:trHeight w:val="397" w:hRule="atLeast"/>
        </w:trPr>
        <w:tc>
          <w:tcPr>
            <w:tcW w:w="866" w:type="dxa"/>
            <w:vMerge w:val="restart"/>
            <w:tcBorders>
              <w:top w:val="nil"/>
              <w:left w:val="single" w:color="auto" w:sz="4" w:space="0"/>
              <w:bottom w:val="single" w:color="000000" w:sz="4" w:space="0"/>
              <w:right w:val="single" w:color="auto" w:sz="4" w:space="0"/>
            </w:tcBorders>
            <w:vAlign w:val="center"/>
          </w:tcPr>
          <w:p w14:paraId="6AF7AA62">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经济林产量保险</w:t>
            </w:r>
          </w:p>
        </w:tc>
        <w:tc>
          <w:tcPr>
            <w:tcW w:w="1190" w:type="dxa"/>
            <w:tcBorders>
              <w:top w:val="nil"/>
              <w:left w:val="nil"/>
              <w:bottom w:val="single" w:color="auto" w:sz="4" w:space="0"/>
              <w:right w:val="single" w:color="auto" w:sz="4" w:space="0"/>
            </w:tcBorders>
            <w:vAlign w:val="center"/>
          </w:tcPr>
          <w:p w14:paraId="7FDCACD6">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李子</w:t>
            </w:r>
          </w:p>
        </w:tc>
        <w:tc>
          <w:tcPr>
            <w:tcW w:w="1220" w:type="dxa"/>
            <w:tcBorders>
              <w:top w:val="nil"/>
              <w:left w:val="nil"/>
              <w:bottom w:val="single" w:color="auto" w:sz="4" w:space="0"/>
              <w:right w:val="single" w:color="auto" w:sz="4" w:space="0"/>
            </w:tcBorders>
            <w:vAlign w:val="center"/>
          </w:tcPr>
          <w:p w14:paraId="24F0246E">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75</w:t>
            </w:r>
          </w:p>
        </w:tc>
        <w:tc>
          <w:tcPr>
            <w:tcW w:w="708" w:type="dxa"/>
            <w:tcBorders>
              <w:top w:val="nil"/>
              <w:left w:val="nil"/>
              <w:bottom w:val="single" w:color="auto" w:sz="4" w:space="0"/>
              <w:right w:val="single" w:color="auto" w:sz="4" w:space="0"/>
            </w:tcBorders>
            <w:vAlign w:val="center"/>
          </w:tcPr>
          <w:p w14:paraId="1AF983CA">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14:paraId="7654754C">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1500</w:t>
            </w:r>
          </w:p>
        </w:tc>
        <w:tc>
          <w:tcPr>
            <w:tcW w:w="1134" w:type="dxa"/>
            <w:tcBorders>
              <w:top w:val="nil"/>
              <w:left w:val="nil"/>
              <w:bottom w:val="single" w:color="auto" w:sz="4" w:space="0"/>
              <w:right w:val="single" w:color="auto" w:sz="4" w:space="0"/>
            </w:tcBorders>
            <w:vAlign w:val="center"/>
          </w:tcPr>
          <w:p w14:paraId="60D0D915">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14:paraId="5D755AD6">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14:paraId="02E8D743">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14:paraId="02E3EA26">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14:paraId="32C16D88">
        <w:tblPrEx>
          <w:tblCellMar>
            <w:top w:w="0" w:type="dxa"/>
            <w:left w:w="108" w:type="dxa"/>
            <w:bottom w:w="0" w:type="dxa"/>
            <w:right w:w="108" w:type="dxa"/>
          </w:tblCellMar>
        </w:tblPrEx>
        <w:trPr>
          <w:gridAfter w:val="1"/>
          <w:wAfter w:w="1067" w:type="dxa"/>
          <w:trHeight w:val="397" w:hRule="atLeast"/>
        </w:trPr>
        <w:tc>
          <w:tcPr>
            <w:tcW w:w="866" w:type="dxa"/>
            <w:vMerge w:val="continue"/>
            <w:tcBorders>
              <w:top w:val="nil"/>
              <w:left w:val="single" w:color="auto" w:sz="4" w:space="0"/>
              <w:bottom w:val="single" w:color="000000" w:sz="4" w:space="0"/>
              <w:right w:val="single" w:color="auto" w:sz="4" w:space="0"/>
            </w:tcBorders>
            <w:vAlign w:val="center"/>
          </w:tcPr>
          <w:p w14:paraId="3616DA13">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14:paraId="5D213DCB">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桃子</w:t>
            </w:r>
          </w:p>
        </w:tc>
        <w:tc>
          <w:tcPr>
            <w:tcW w:w="1220" w:type="dxa"/>
            <w:tcBorders>
              <w:top w:val="nil"/>
              <w:left w:val="nil"/>
              <w:bottom w:val="single" w:color="auto" w:sz="4" w:space="0"/>
              <w:right w:val="single" w:color="auto" w:sz="4" w:space="0"/>
            </w:tcBorders>
            <w:vAlign w:val="center"/>
          </w:tcPr>
          <w:p w14:paraId="100B22AA">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75</w:t>
            </w:r>
          </w:p>
        </w:tc>
        <w:tc>
          <w:tcPr>
            <w:tcW w:w="708" w:type="dxa"/>
            <w:tcBorders>
              <w:top w:val="nil"/>
              <w:left w:val="nil"/>
              <w:bottom w:val="single" w:color="auto" w:sz="4" w:space="0"/>
              <w:right w:val="single" w:color="auto" w:sz="4" w:space="0"/>
            </w:tcBorders>
            <w:vAlign w:val="center"/>
          </w:tcPr>
          <w:p w14:paraId="26D8FC20">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14:paraId="1B187362">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1500</w:t>
            </w:r>
          </w:p>
        </w:tc>
        <w:tc>
          <w:tcPr>
            <w:tcW w:w="1134" w:type="dxa"/>
            <w:tcBorders>
              <w:top w:val="nil"/>
              <w:left w:val="nil"/>
              <w:bottom w:val="single" w:color="auto" w:sz="4" w:space="0"/>
              <w:right w:val="single" w:color="auto" w:sz="4" w:space="0"/>
            </w:tcBorders>
            <w:vAlign w:val="center"/>
          </w:tcPr>
          <w:p w14:paraId="25356D9D">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14:paraId="5D9F11CE">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14:paraId="3803F9E7">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14:paraId="055DDBA5">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14:paraId="2FF42C2F">
        <w:tblPrEx>
          <w:tblCellMar>
            <w:top w:w="0" w:type="dxa"/>
            <w:left w:w="108" w:type="dxa"/>
            <w:bottom w:w="0" w:type="dxa"/>
            <w:right w:w="108" w:type="dxa"/>
          </w:tblCellMar>
        </w:tblPrEx>
        <w:trPr>
          <w:gridAfter w:val="1"/>
          <w:wAfter w:w="1067" w:type="dxa"/>
          <w:trHeight w:val="397" w:hRule="atLeast"/>
        </w:trPr>
        <w:tc>
          <w:tcPr>
            <w:tcW w:w="866" w:type="dxa"/>
            <w:vMerge w:val="continue"/>
            <w:tcBorders>
              <w:top w:val="nil"/>
              <w:left w:val="single" w:color="auto" w:sz="4" w:space="0"/>
              <w:bottom w:val="single" w:color="000000" w:sz="4" w:space="0"/>
              <w:right w:val="single" w:color="auto" w:sz="4" w:space="0"/>
            </w:tcBorders>
            <w:vAlign w:val="center"/>
          </w:tcPr>
          <w:p w14:paraId="17510AD4">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14:paraId="053D4DF5">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蓝莓</w:t>
            </w:r>
          </w:p>
        </w:tc>
        <w:tc>
          <w:tcPr>
            <w:tcW w:w="1220" w:type="dxa"/>
            <w:tcBorders>
              <w:top w:val="nil"/>
              <w:left w:val="nil"/>
              <w:bottom w:val="single" w:color="auto" w:sz="4" w:space="0"/>
              <w:right w:val="single" w:color="auto" w:sz="4" w:space="0"/>
            </w:tcBorders>
            <w:vAlign w:val="center"/>
          </w:tcPr>
          <w:p w14:paraId="12C428BC">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75</w:t>
            </w:r>
          </w:p>
        </w:tc>
        <w:tc>
          <w:tcPr>
            <w:tcW w:w="708" w:type="dxa"/>
            <w:tcBorders>
              <w:top w:val="nil"/>
              <w:left w:val="nil"/>
              <w:bottom w:val="single" w:color="auto" w:sz="4" w:space="0"/>
              <w:right w:val="single" w:color="auto" w:sz="4" w:space="0"/>
            </w:tcBorders>
            <w:vAlign w:val="center"/>
          </w:tcPr>
          <w:p w14:paraId="4C90B69F">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14:paraId="2522E4B8">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1500</w:t>
            </w:r>
          </w:p>
        </w:tc>
        <w:tc>
          <w:tcPr>
            <w:tcW w:w="1134" w:type="dxa"/>
            <w:tcBorders>
              <w:top w:val="nil"/>
              <w:left w:val="nil"/>
              <w:bottom w:val="single" w:color="auto" w:sz="4" w:space="0"/>
              <w:right w:val="single" w:color="auto" w:sz="4" w:space="0"/>
            </w:tcBorders>
            <w:vAlign w:val="center"/>
          </w:tcPr>
          <w:p w14:paraId="3E4A2505">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14:paraId="19F7E59A">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14:paraId="53A087CB">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14:paraId="0D1DF83B">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14:paraId="31FA53AD">
        <w:tblPrEx>
          <w:tblCellMar>
            <w:top w:w="0" w:type="dxa"/>
            <w:left w:w="108" w:type="dxa"/>
            <w:bottom w:w="0" w:type="dxa"/>
            <w:right w:w="108" w:type="dxa"/>
          </w:tblCellMar>
        </w:tblPrEx>
        <w:trPr>
          <w:gridAfter w:val="1"/>
          <w:wAfter w:w="1067" w:type="dxa"/>
          <w:trHeight w:val="397" w:hRule="atLeast"/>
        </w:trPr>
        <w:tc>
          <w:tcPr>
            <w:tcW w:w="866" w:type="dxa"/>
            <w:vMerge w:val="continue"/>
            <w:tcBorders>
              <w:top w:val="nil"/>
              <w:left w:val="single" w:color="auto" w:sz="4" w:space="0"/>
              <w:bottom w:val="single" w:color="000000" w:sz="4" w:space="0"/>
              <w:right w:val="single" w:color="auto" w:sz="4" w:space="0"/>
            </w:tcBorders>
            <w:vAlign w:val="center"/>
          </w:tcPr>
          <w:p w14:paraId="111DBB0F">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14:paraId="18BE2792">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杨梅</w:t>
            </w:r>
          </w:p>
        </w:tc>
        <w:tc>
          <w:tcPr>
            <w:tcW w:w="1220" w:type="dxa"/>
            <w:tcBorders>
              <w:top w:val="nil"/>
              <w:left w:val="nil"/>
              <w:bottom w:val="single" w:color="auto" w:sz="4" w:space="0"/>
              <w:right w:val="single" w:color="auto" w:sz="4" w:space="0"/>
            </w:tcBorders>
            <w:vAlign w:val="center"/>
          </w:tcPr>
          <w:p w14:paraId="6D7FADB3">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65</w:t>
            </w:r>
          </w:p>
        </w:tc>
        <w:tc>
          <w:tcPr>
            <w:tcW w:w="708" w:type="dxa"/>
            <w:tcBorders>
              <w:top w:val="nil"/>
              <w:left w:val="nil"/>
              <w:bottom w:val="single" w:color="auto" w:sz="4" w:space="0"/>
              <w:right w:val="single" w:color="auto" w:sz="4" w:space="0"/>
            </w:tcBorders>
            <w:vAlign w:val="center"/>
          </w:tcPr>
          <w:p w14:paraId="13A15D57">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14:paraId="12E8BFFB">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1300</w:t>
            </w:r>
          </w:p>
        </w:tc>
        <w:tc>
          <w:tcPr>
            <w:tcW w:w="1134" w:type="dxa"/>
            <w:tcBorders>
              <w:top w:val="nil"/>
              <w:left w:val="nil"/>
              <w:bottom w:val="single" w:color="auto" w:sz="4" w:space="0"/>
              <w:right w:val="single" w:color="auto" w:sz="4" w:space="0"/>
            </w:tcBorders>
            <w:vAlign w:val="center"/>
          </w:tcPr>
          <w:p w14:paraId="50597529">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14:paraId="2A8CDF6B">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14:paraId="2718709B">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14:paraId="3F740D34">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14:paraId="64521122">
        <w:tblPrEx>
          <w:tblCellMar>
            <w:top w:w="0" w:type="dxa"/>
            <w:left w:w="108" w:type="dxa"/>
            <w:bottom w:w="0" w:type="dxa"/>
            <w:right w:w="108" w:type="dxa"/>
          </w:tblCellMar>
        </w:tblPrEx>
        <w:trPr>
          <w:gridAfter w:val="1"/>
          <w:wAfter w:w="1067" w:type="dxa"/>
          <w:trHeight w:val="397" w:hRule="atLeast"/>
        </w:trPr>
        <w:tc>
          <w:tcPr>
            <w:tcW w:w="866" w:type="dxa"/>
            <w:vMerge w:val="continue"/>
            <w:tcBorders>
              <w:top w:val="nil"/>
              <w:left w:val="single" w:color="auto" w:sz="4" w:space="0"/>
              <w:bottom w:val="single" w:color="000000" w:sz="4" w:space="0"/>
              <w:right w:val="single" w:color="auto" w:sz="4" w:space="0"/>
            </w:tcBorders>
            <w:vAlign w:val="center"/>
          </w:tcPr>
          <w:p w14:paraId="6D2D2091">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14:paraId="0822D8C3">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梨子</w:t>
            </w:r>
          </w:p>
        </w:tc>
        <w:tc>
          <w:tcPr>
            <w:tcW w:w="1220" w:type="dxa"/>
            <w:tcBorders>
              <w:top w:val="nil"/>
              <w:left w:val="nil"/>
              <w:bottom w:val="single" w:color="auto" w:sz="4" w:space="0"/>
              <w:right w:val="single" w:color="auto" w:sz="4" w:space="0"/>
            </w:tcBorders>
            <w:vAlign w:val="center"/>
          </w:tcPr>
          <w:p w14:paraId="3186FCC6">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60</w:t>
            </w:r>
          </w:p>
        </w:tc>
        <w:tc>
          <w:tcPr>
            <w:tcW w:w="708" w:type="dxa"/>
            <w:tcBorders>
              <w:top w:val="nil"/>
              <w:left w:val="nil"/>
              <w:bottom w:val="single" w:color="auto" w:sz="4" w:space="0"/>
              <w:right w:val="single" w:color="auto" w:sz="4" w:space="0"/>
            </w:tcBorders>
            <w:vAlign w:val="center"/>
          </w:tcPr>
          <w:p w14:paraId="4B82182C">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14:paraId="7D5E5AF6">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1200</w:t>
            </w:r>
          </w:p>
        </w:tc>
        <w:tc>
          <w:tcPr>
            <w:tcW w:w="1134" w:type="dxa"/>
            <w:tcBorders>
              <w:top w:val="nil"/>
              <w:left w:val="nil"/>
              <w:bottom w:val="single" w:color="auto" w:sz="4" w:space="0"/>
              <w:right w:val="single" w:color="auto" w:sz="4" w:space="0"/>
            </w:tcBorders>
            <w:vAlign w:val="center"/>
          </w:tcPr>
          <w:p w14:paraId="0131764D">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14:paraId="7D9F4F37">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14:paraId="3359B337">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14:paraId="0729C396">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14:paraId="434A318D">
        <w:tblPrEx>
          <w:tblCellMar>
            <w:top w:w="0" w:type="dxa"/>
            <w:left w:w="108" w:type="dxa"/>
            <w:bottom w:w="0" w:type="dxa"/>
            <w:right w:w="108" w:type="dxa"/>
          </w:tblCellMar>
        </w:tblPrEx>
        <w:trPr>
          <w:gridAfter w:val="1"/>
          <w:wAfter w:w="1067" w:type="dxa"/>
          <w:trHeight w:val="397" w:hRule="atLeast"/>
        </w:trPr>
        <w:tc>
          <w:tcPr>
            <w:tcW w:w="866" w:type="dxa"/>
            <w:vMerge w:val="restart"/>
            <w:tcBorders>
              <w:top w:val="nil"/>
              <w:left w:val="single" w:color="auto" w:sz="4" w:space="0"/>
              <w:bottom w:val="single" w:color="000000" w:sz="4" w:space="0"/>
              <w:right w:val="single" w:color="auto" w:sz="4" w:space="0"/>
            </w:tcBorders>
            <w:vAlign w:val="center"/>
          </w:tcPr>
          <w:p w14:paraId="51A261CC">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收益保险</w:t>
            </w:r>
          </w:p>
        </w:tc>
        <w:tc>
          <w:tcPr>
            <w:tcW w:w="1190" w:type="dxa"/>
            <w:tcBorders>
              <w:top w:val="nil"/>
              <w:left w:val="nil"/>
              <w:bottom w:val="single" w:color="auto" w:sz="4" w:space="0"/>
              <w:right w:val="single" w:color="auto" w:sz="4" w:space="0"/>
            </w:tcBorders>
            <w:vAlign w:val="center"/>
          </w:tcPr>
          <w:p w14:paraId="47113B6A">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竹笋</w:t>
            </w:r>
          </w:p>
        </w:tc>
        <w:tc>
          <w:tcPr>
            <w:tcW w:w="1220" w:type="dxa"/>
            <w:tcBorders>
              <w:top w:val="nil"/>
              <w:left w:val="nil"/>
              <w:bottom w:val="single" w:color="auto" w:sz="4" w:space="0"/>
              <w:right w:val="single" w:color="auto" w:sz="4" w:space="0"/>
            </w:tcBorders>
            <w:vAlign w:val="center"/>
          </w:tcPr>
          <w:p w14:paraId="328FFA43">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75</w:t>
            </w:r>
          </w:p>
        </w:tc>
        <w:tc>
          <w:tcPr>
            <w:tcW w:w="708" w:type="dxa"/>
            <w:tcBorders>
              <w:top w:val="nil"/>
              <w:left w:val="nil"/>
              <w:bottom w:val="single" w:color="auto" w:sz="4" w:space="0"/>
              <w:right w:val="single" w:color="auto" w:sz="4" w:space="0"/>
            </w:tcBorders>
            <w:vAlign w:val="center"/>
          </w:tcPr>
          <w:p w14:paraId="77BFF8C6">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14:paraId="2F281E60">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1500</w:t>
            </w:r>
          </w:p>
        </w:tc>
        <w:tc>
          <w:tcPr>
            <w:tcW w:w="1134" w:type="dxa"/>
            <w:tcBorders>
              <w:top w:val="nil"/>
              <w:left w:val="nil"/>
              <w:bottom w:val="single" w:color="auto" w:sz="4" w:space="0"/>
              <w:right w:val="single" w:color="auto" w:sz="4" w:space="0"/>
            </w:tcBorders>
            <w:vAlign w:val="center"/>
          </w:tcPr>
          <w:p w14:paraId="108E639E">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14:paraId="247641AB">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14:paraId="1E3950DF">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14:paraId="6E7EE202">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14:paraId="22E91F2A">
        <w:tblPrEx>
          <w:tblCellMar>
            <w:top w:w="0" w:type="dxa"/>
            <w:left w:w="108" w:type="dxa"/>
            <w:bottom w:w="0" w:type="dxa"/>
            <w:right w:w="108" w:type="dxa"/>
          </w:tblCellMar>
        </w:tblPrEx>
        <w:trPr>
          <w:gridAfter w:val="1"/>
          <w:wAfter w:w="1067" w:type="dxa"/>
          <w:trHeight w:val="397" w:hRule="atLeast"/>
        </w:trPr>
        <w:tc>
          <w:tcPr>
            <w:tcW w:w="866" w:type="dxa"/>
            <w:vMerge w:val="continue"/>
            <w:tcBorders>
              <w:top w:val="nil"/>
              <w:left w:val="single" w:color="auto" w:sz="4" w:space="0"/>
              <w:bottom w:val="single" w:color="000000" w:sz="4" w:space="0"/>
              <w:right w:val="single" w:color="auto" w:sz="4" w:space="0"/>
            </w:tcBorders>
            <w:vAlign w:val="center"/>
          </w:tcPr>
          <w:p w14:paraId="3159ACE6">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14:paraId="34877224">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花椒</w:t>
            </w:r>
          </w:p>
        </w:tc>
        <w:tc>
          <w:tcPr>
            <w:tcW w:w="1220" w:type="dxa"/>
            <w:tcBorders>
              <w:top w:val="nil"/>
              <w:left w:val="nil"/>
              <w:bottom w:val="single" w:color="auto" w:sz="4" w:space="0"/>
              <w:right w:val="single" w:color="auto" w:sz="4" w:space="0"/>
            </w:tcBorders>
            <w:vAlign w:val="center"/>
          </w:tcPr>
          <w:p w14:paraId="4DAF521E">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150</w:t>
            </w:r>
          </w:p>
        </w:tc>
        <w:tc>
          <w:tcPr>
            <w:tcW w:w="708" w:type="dxa"/>
            <w:tcBorders>
              <w:top w:val="nil"/>
              <w:left w:val="nil"/>
              <w:bottom w:val="single" w:color="auto" w:sz="4" w:space="0"/>
              <w:right w:val="single" w:color="auto" w:sz="4" w:space="0"/>
            </w:tcBorders>
            <w:vAlign w:val="center"/>
          </w:tcPr>
          <w:p w14:paraId="1BAE15F3">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14:paraId="0F66A994">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3000</w:t>
            </w:r>
          </w:p>
        </w:tc>
        <w:tc>
          <w:tcPr>
            <w:tcW w:w="1134" w:type="dxa"/>
            <w:tcBorders>
              <w:top w:val="nil"/>
              <w:left w:val="nil"/>
              <w:bottom w:val="single" w:color="auto" w:sz="4" w:space="0"/>
              <w:right w:val="single" w:color="auto" w:sz="4" w:space="0"/>
            </w:tcBorders>
            <w:vAlign w:val="center"/>
          </w:tcPr>
          <w:p w14:paraId="0303B562">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14:paraId="2911203C">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14:paraId="2BE89460">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14:paraId="34D69880">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14:paraId="6EC1F3CF">
        <w:tblPrEx>
          <w:tblCellMar>
            <w:top w:w="0" w:type="dxa"/>
            <w:left w:w="108" w:type="dxa"/>
            <w:bottom w:w="0" w:type="dxa"/>
            <w:right w:w="108" w:type="dxa"/>
          </w:tblCellMar>
        </w:tblPrEx>
        <w:trPr>
          <w:gridAfter w:val="1"/>
          <w:wAfter w:w="1067" w:type="dxa"/>
          <w:trHeight w:val="397" w:hRule="atLeast"/>
        </w:trPr>
        <w:tc>
          <w:tcPr>
            <w:tcW w:w="866" w:type="dxa"/>
            <w:vMerge w:val="continue"/>
            <w:tcBorders>
              <w:top w:val="nil"/>
              <w:left w:val="single" w:color="auto" w:sz="4" w:space="0"/>
              <w:bottom w:val="single" w:color="000000" w:sz="4" w:space="0"/>
              <w:right w:val="single" w:color="auto" w:sz="4" w:space="0"/>
            </w:tcBorders>
            <w:vAlign w:val="center"/>
          </w:tcPr>
          <w:p w14:paraId="095B7370">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14:paraId="5F15C58B">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柑橘</w:t>
            </w:r>
          </w:p>
        </w:tc>
        <w:tc>
          <w:tcPr>
            <w:tcW w:w="1220" w:type="dxa"/>
            <w:tcBorders>
              <w:top w:val="nil"/>
              <w:left w:val="nil"/>
              <w:bottom w:val="single" w:color="auto" w:sz="4" w:space="0"/>
              <w:right w:val="single" w:color="auto" w:sz="4" w:space="0"/>
            </w:tcBorders>
            <w:vAlign w:val="center"/>
          </w:tcPr>
          <w:p w14:paraId="537A8E58">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120</w:t>
            </w:r>
          </w:p>
        </w:tc>
        <w:tc>
          <w:tcPr>
            <w:tcW w:w="708" w:type="dxa"/>
            <w:tcBorders>
              <w:top w:val="nil"/>
              <w:left w:val="nil"/>
              <w:bottom w:val="single" w:color="auto" w:sz="4" w:space="0"/>
              <w:right w:val="single" w:color="auto" w:sz="4" w:space="0"/>
            </w:tcBorders>
            <w:vAlign w:val="center"/>
          </w:tcPr>
          <w:p w14:paraId="08009EAF">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14:paraId="7DF7A8AB">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2400</w:t>
            </w:r>
          </w:p>
        </w:tc>
        <w:tc>
          <w:tcPr>
            <w:tcW w:w="1134" w:type="dxa"/>
            <w:tcBorders>
              <w:top w:val="nil"/>
              <w:left w:val="nil"/>
              <w:bottom w:val="single" w:color="auto" w:sz="4" w:space="0"/>
              <w:right w:val="single" w:color="auto" w:sz="4" w:space="0"/>
            </w:tcBorders>
            <w:vAlign w:val="center"/>
          </w:tcPr>
          <w:p w14:paraId="00DED1FD">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14:paraId="101BB6E0">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14:paraId="4E9B6C02">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14:paraId="1D5F592C">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14:paraId="5189C78E">
        <w:tblPrEx>
          <w:tblCellMar>
            <w:top w:w="0" w:type="dxa"/>
            <w:left w:w="108" w:type="dxa"/>
            <w:bottom w:w="0" w:type="dxa"/>
            <w:right w:w="108" w:type="dxa"/>
          </w:tblCellMar>
        </w:tblPrEx>
        <w:trPr>
          <w:gridAfter w:val="1"/>
          <w:wAfter w:w="1067" w:type="dxa"/>
          <w:trHeight w:val="570" w:hRule="atLeast"/>
        </w:trPr>
        <w:tc>
          <w:tcPr>
            <w:tcW w:w="9569" w:type="dxa"/>
            <w:gridSpan w:val="11"/>
            <w:tcBorders>
              <w:top w:val="single" w:color="auto" w:sz="4" w:space="0"/>
              <w:left w:val="nil"/>
              <w:bottom w:val="nil"/>
              <w:right w:val="nil"/>
            </w:tcBorders>
            <w:vAlign w:val="center"/>
          </w:tcPr>
          <w:p w14:paraId="274E7725">
            <w:pPr>
              <w:adjustRightInd/>
              <w:snapToGrid/>
              <w:spacing w:after="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备注：这里的经济林主要包括李子、桃子、蓝莓、杨梅和梨子。</w:t>
            </w:r>
          </w:p>
        </w:tc>
      </w:tr>
    </w:tbl>
    <w:p w14:paraId="5899B901">
      <w:pPr>
        <w:widowControl w:val="0"/>
        <w:adjustRightInd/>
        <w:snapToGrid/>
        <w:spacing w:after="0" w:line="560" w:lineRule="exact"/>
        <w:jc w:val="both"/>
        <w:rPr>
          <w:rFonts w:hint="default" w:ascii="Times New Roman" w:hAnsi="Times New Roman" w:eastAsia="方正黑体_GBK" w:cs="Times New Roman"/>
          <w:kern w:val="2"/>
          <w:sz w:val="32"/>
          <w:szCs w:val="32"/>
        </w:rPr>
      </w:pPr>
    </w:p>
    <w:sectPr>
      <w:headerReference r:id="rId4" w:type="default"/>
      <w:footerReference r:id="rId5"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7115E">
    <w:pPr>
      <w:pStyle w:val="6"/>
      <w:ind w:left="5016"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050ADB11">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14:paraId="51D1FC74">
    <w:pPr>
      <w:pStyle w:val="6"/>
      <w:wordWrap w:val="0"/>
      <w:ind w:left="3967"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color w:val="FAFAFA"/>
        <w:sz w:val="32"/>
      </w:rPr>
      <w:t xml:space="preserve"> </w:t>
    </w:r>
    <w:r>
      <w:rPr>
        <w:rFonts w:hint="eastAsia" w:ascii="宋体" w:hAnsi="宋体" w:eastAsia="宋体" w:cs="宋体"/>
        <w:b/>
        <w:bCs/>
        <w:color w:val="005192"/>
        <w:sz w:val="28"/>
        <w:szCs w:val="44"/>
      </w:rPr>
      <w:t xml:space="preserve">重庆市渝北区农业农村委员会发布    </w:t>
    </w:r>
  </w:p>
  <w:p w14:paraId="7227BE68">
    <w:pPr>
      <w:pStyle w:val="6"/>
      <w:wordWrap w:val="0"/>
      <w:ind w:left="501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FA936">
    <w:pPr>
      <w:pStyle w:val="6"/>
      <w:widowControl w:val="0"/>
      <w:adjustRightInd/>
      <w:textAlignment w:val="center"/>
      <w:rPr>
        <w:rFonts w:ascii="方正仿宋_GBK" w:hAnsi="方正仿宋_GBK" w:eastAsia="方正仿宋_GBK" w:cs="方正仿宋_GBK"/>
        <w:b/>
        <w:bCs/>
        <w:color w:val="000000" w:themeColor="text1"/>
        <w:sz w:val="32"/>
      </w:rPr>
    </w:pPr>
  </w:p>
  <w:p w14:paraId="211EF73E">
    <w:pPr>
      <w:pStyle w:val="6"/>
      <w:widowControl w:val="0"/>
      <w:adjustRightInd/>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1026" o:spid="_x0000_s1026" o:spt="20" style="position:absolute;left:0pt;margin-left:0.85pt;margin-top:29.4pt;height:0pt;width:442.55pt;z-index:251659264;mso-width-relative:page;mso-height-relative:page;" stroked="t" coordsize="21600,21600" o:gfxdata="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pvRL3TAAAABwEAAA8AAAAAAAAAAQAgAAAAIgAAAGRycy9kb3ducmV2LnhtbFBLAQIUABQAAAAI&#10;AIdO4kAF7rse8gEAAL0DAAAOAAAAAAAAAAEAIAAAACIBAABkcnMvZTJvRG9jLnhtbFBLBQYAAAAA&#10;BgAGAFkBAACGBQ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重庆市渝北区农业农村委员会行政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E7943"/>
    <w:multiLevelType w:val="singleLevel"/>
    <w:tmpl w:val="387E7943"/>
    <w:lvl w:ilvl="0" w:tentative="0">
      <w:start w:val="3"/>
      <w:numFmt w:val="decimal"/>
      <w:suff w:val="space"/>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VlYjYzMDFjMTYzMGIxNzU0YTQ4NGIyMzBiMWI4Y2MifQ=="/>
  </w:docVars>
  <w:rsids>
    <w:rsidRoot w:val="00172A27"/>
    <w:rsid w:val="00044784"/>
    <w:rsid w:val="00172A27"/>
    <w:rsid w:val="00C75CF3"/>
    <w:rsid w:val="00F73A73"/>
    <w:rsid w:val="01754692"/>
    <w:rsid w:val="019E71BD"/>
    <w:rsid w:val="041C42DA"/>
    <w:rsid w:val="04B679C3"/>
    <w:rsid w:val="05F07036"/>
    <w:rsid w:val="06E00104"/>
    <w:rsid w:val="077B3EE5"/>
    <w:rsid w:val="080F63D8"/>
    <w:rsid w:val="09341458"/>
    <w:rsid w:val="098254C2"/>
    <w:rsid w:val="0A766EDE"/>
    <w:rsid w:val="0A7D7B8D"/>
    <w:rsid w:val="0AD64BE8"/>
    <w:rsid w:val="0B0912D7"/>
    <w:rsid w:val="0E025194"/>
    <w:rsid w:val="130B7ECB"/>
    <w:rsid w:val="152D2DCA"/>
    <w:rsid w:val="16F5338F"/>
    <w:rsid w:val="179B0357"/>
    <w:rsid w:val="187168EA"/>
    <w:rsid w:val="196673CA"/>
    <w:rsid w:val="19F210E1"/>
    <w:rsid w:val="1B2F4AEE"/>
    <w:rsid w:val="1C5F710B"/>
    <w:rsid w:val="1CF734C9"/>
    <w:rsid w:val="1DEC284C"/>
    <w:rsid w:val="1E6523AC"/>
    <w:rsid w:val="1F3F2A35"/>
    <w:rsid w:val="22440422"/>
    <w:rsid w:val="224E4C0E"/>
    <w:rsid w:val="22BB4BBB"/>
    <w:rsid w:val="2AEB3417"/>
    <w:rsid w:val="2C273E25"/>
    <w:rsid w:val="31A15F24"/>
    <w:rsid w:val="324A1681"/>
    <w:rsid w:val="35DD6054"/>
    <w:rsid w:val="36FB1DF0"/>
    <w:rsid w:val="395347B5"/>
    <w:rsid w:val="39A232A0"/>
    <w:rsid w:val="39E745AA"/>
    <w:rsid w:val="3B5A6BBB"/>
    <w:rsid w:val="3C842355"/>
    <w:rsid w:val="3EDA13A6"/>
    <w:rsid w:val="417B75E9"/>
    <w:rsid w:val="42F058B7"/>
    <w:rsid w:val="436109F6"/>
    <w:rsid w:val="441A38D4"/>
    <w:rsid w:val="4504239D"/>
    <w:rsid w:val="4BC77339"/>
    <w:rsid w:val="4C9236C5"/>
    <w:rsid w:val="4E250A85"/>
    <w:rsid w:val="4F400E56"/>
    <w:rsid w:val="4FFD4925"/>
    <w:rsid w:val="505C172E"/>
    <w:rsid w:val="506405EA"/>
    <w:rsid w:val="51802E94"/>
    <w:rsid w:val="52067C23"/>
    <w:rsid w:val="52F46F0B"/>
    <w:rsid w:val="532B6A10"/>
    <w:rsid w:val="53D8014D"/>
    <w:rsid w:val="55E064E0"/>
    <w:rsid w:val="572C6D10"/>
    <w:rsid w:val="57752711"/>
    <w:rsid w:val="59BE6EE0"/>
    <w:rsid w:val="5DC34279"/>
    <w:rsid w:val="5FCD688E"/>
    <w:rsid w:val="5FF9BDAA"/>
    <w:rsid w:val="608816D1"/>
    <w:rsid w:val="60EF4E7F"/>
    <w:rsid w:val="648B0A32"/>
    <w:rsid w:val="665233C1"/>
    <w:rsid w:val="67C1041C"/>
    <w:rsid w:val="681D0CCB"/>
    <w:rsid w:val="69AC0D42"/>
    <w:rsid w:val="6AD9688B"/>
    <w:rsid w:val="6B5748B3"/>
    <w:rsid w:val="6B7E5F3B"/>
    <w:rsid w:val="6C35035D"/>
    <w:rsid w:val="6D0E3F22"/>
    <w:rsid w:val="6EF94D4E"/>
    <w:rsid w:val="720C24F7"/>
    <w:rsid w:val="744E4660"/>
    <w:rsid w:val="753355A2"/>
    <w:rsid w:val="7537629F"/>
    <w:rsid w:val="759F1C61"/>
    <w:rsid w:val="769F2DE8"/>
    <w:rsid w:val="76FDEB7C"/>
    <w:rsid w:val="77774E4E"/>
    <w:rsid w:val="79C65162"/>
    <w:rsid w:val="7C9011D9"/>
    <w:rsid w:val="7D790ADE"/>
    <w:rsid w:val="7DC651C5"/>
    <w:rsid w:val="7F9DA0E8"/>
    <w:rsid w:val="7FCC2834"/>
    <w:rsid w:val="7FF6A4EF"/>
    <w:rsid w:val="8DFF5933"/>
    <w:rsid w:val="92DD1CEF"/>
    <w:rsid w:val="F05B4F69"/>
    <w:rsid w:val="F771D9FB"/>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4">
    <w:name w:val="annotation text"/>
    <w:basedOn w:val="1"/>
    <w:qFormat/>
    <w:uiPriority w:val="0"/>
  </w:style>
  <w:style w:type="paragraph" w:styleId="5">
    <w:name w:val="Balloon Text"/>
    <w:basedOn w:val="1"/>
    <w:link w:val="15"/>
    <w:qFormat/>
    <w:uiPriority w:val="0"/>
    <w:pPr>
      <w:spacing w:after="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qFormat/>
    <w:uiPriority w:val="0"/>
    <w:pPr>
      <w:spacing w:beforeAutospacing="1" w:after="0" w:afterAutospacing="1"/>
    </w:pPr>
    <w:rPr>
      <w:rFonts w:cs="Times New Roman"/>
      <w:sz w:val="24"/>
    </w:rPr>
  </w:style>
  <w:style w:type="character" w:styleId="10">
    <w:name w:val="Strong"/>
    <w:basedOn w:val="9"/>
    <w:qFormat/>
    <w:uiPriority w:val="0"/>
    <w:rPr>
      <w:b/>
      <w:bCs/>
    </w:rPr>
  </w:style>
  <w:style w:type="paragraph" w:customStyle="1" w:styleId="11">
    <w:name w:val="p0"/>
    <w:basedOn w:val="1"/>
    <w:qFormat/>
    <w:uiPriority w:val="0"/>
    <w:rPr>
      <w:rFonts w:ascii="Calibri" w:hAnsi="Calibri" w:eastAsia="宋体" w:cs="宋体"/>
      <w:szCs w:val="32"/>
    </w:rPr>
  </w:style>
  <w:style w:type="paragraph" w:styleId="12">
    <w:name w:val="List Paragraph"/>
    <w:basedOn w:val="1"/>
    <w:qFormat/>
    <w:uiPriority w:val="34"/>
    <w:pPr>
      <w:ind w:firstLine="420" w:firstLineChars="200"/>
    </w:pPr>
    <w:rPr>
      <w:rFonts w:ascii="Calibri" w:hAnsi="Calibri" w:eastAsia="等线"/>
      <w:sz w:val="21"/>
    </w:rPr>
  </w:style>
  <w:style w:type="character" w:customStyle="1" w:styleId="13">
    <w:name w:val="NormalCharacter"/>
    <w:qFormat/>
    <w:uiPriority w:val="0"/>
  </w:style>
  <w:style w:type="paragraph" w:customStyle="1" w:styleId="14">
    <w:name w:val="dash6b63_6587"/>
    <w:basedOn w:val="1"/>
    <w:qFormat/>
    <w:uiPriority w:val="0"/>
    <w:rPr>
      <w:rFonts w:ascii="Calibri" w:hAnsi="Calibri" w:eastAsia="宋体" w:cs="宋体"/>
      <w:sz w:val="20"/>
    </w:rPr>
  </w:style>
  <w:style w:type="character" w:customStyle="1" w:styleId="15">
    <w:name w:val="批注框文本 Char"/>
    <w:basedOn w:val="9"/>
    <w:link w:val="5"/>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4895</Words>
  <Characters>5089</Characters>
  <Lines>70</Lines>
  <Paragraphs>19</Paragraphs>
  <TotalTime>113</TotalTime>
  <ScaleCrop>false</ScaleCrop>
  <LinksUpToDate>false</LinksUpToDate>
  <CharactersWithSpaces>5121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芒斯特尔-杨</cp:lastModifiedBy>
  <cp:lastPrinted>2022-05-12T16:46:00Z</cp:lastPrinted>
  <dcterms:modified xsi:type="dcterms:W3CDTF">2025-01-02T01:58:53Z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40EAFA0F0959453A9C50499220E0288F</vt:lpwstr>
  </property>
  <property fmtid="{D5CDD505-2E9C-101B-9397-08002B2CF9AE}" pid="4" name="KSOTemplateDocerSaveRecord">
    <vt:lpwstr>eyJoZGlkIjoiZDVhNTVjNjkyZGY3NGJkMDAzZmFjZDc3MGMzZjIxMjIiLCJ1c2VySWQiOiIzNjcyMzg5MDMifQ==</vt:lpwstr>
  </property>
</Properties>
</file>