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C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16139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69019E1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重庆市渝北区农业农村委员会</w:t>
      </w:r>
    </w:p>
    <w:p w14:paraId="0AB0852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/>
        </w:rPr>
      </w:pPr>
      <w:r>
        <w:rPr>
          <w:rStyle w:val="11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关于印发《渝北区高标准农田建设农民监督员管理制度》的通知</w:t>
      </w:r>
    </w:p>
    <w:p w14:paraId="10DA96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渝北农发〔2025〕28号</w:t>
      </w:r>
    </w:p>
    <w:p w14:paraId="225F41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309F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  <w:t>各镇人民政府，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王家街道办事处、双凤桥街道办事处：</w:t>
      </w:r>
    </w:p>
    <w:p w14:paraId="1D7A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sz w:val="32"/>
          <w:szCs w:val="32"/>
          <w:lang w:val="en-US" w:eastAsia="zh-CN"/>
        </w:rPr>
        <w:t>为进一步加强高标准农田建设质量监管，充分发挥农民群众在高标准农田建设中的监督作用，确保高标准农田建设项目真正惠及农民、造福农业，区农业农村委</w:t>
      </w:r>
      <w:r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sz w:val="32"/>
          <w:szCs w:val="32"/>
        </w:rPr>
        <w:t>制定了</w:t>
      </w:r>
      <w:r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sz w:val="32"/>
          <w:szCs w:val="32"/>
          <w:shd w:val="clear" w:color="auto" w:fill="FFFFFF"/>
        </w:rPr>
        <w:t>《渝北区高标准农田建设农民监督员管理制度》，现印发</w:t>
      </w:r>
      <w:r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sz w:val="32"/>
          <w:szCs w:val="32"/>
          <w:shd w:val="clear" w:color="auto" w:fill="FFFFFF"/>
          <w:lang w:eastAsia="zh-CN"/>
        </w:rPr>
        <w:t>给</w:t>
      </w:r>
      <w:r>
        <w:rPr>
          <w:rFonts w:hint="eastAsia" w:ascii="Times New Roman" w:hAnsi="Times New Roman" w:eastAsia="方正仿宋_GBK" w:cs="方正仿宋_GBK"/>
          <w:snapToGrid w:val="0"/>
          <w:color w:val="auto"/>
          <w:spacing w:val="0"/>
          <w:sz w:val="32"/>
          <w:szCs w:val="32"/>
          <w:shd w:val="clear" w:color="auto" w:fill="FFFFFF"/>
        </w:rPr>
        <w:t>你们，请遵照执行。</w:t>
      </w:r>
    </w:p>
    <w:p w14:paraId="2AD39255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shd w:val="clear" w:color="auto" w:fill="FFFFFF"/>
        </w:rPr>
      </w:pPr>
    </w:p>
    <w:p w14:paraId="69CA1B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000" w:firstLineChars="125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重庆市渝北区农业农村委员会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 w14:paraId="384055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2025年8月20日</w:t>
      </w:r>
      <w:r>
        <w:rPr>
          <w:rFonts w:ascii="Times New Roman" w:hAnsi="Times New Roman"/>
        </w:rPr>
        <w:t xml:space="preserve"> </w:t>
      </w:r>
    </w:p>
    <w:p w14:paraId="7966B7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1FD7F2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72D0C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_GBK"/>
          <w:spacing w:val="-20"/>
          <w:sz w:val="44"/>
          <w:szCs w:val="44"/>
        </w:rPr>
      </w:pPr>
    </w:p>
    <w:p w14:paraId="4CB6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</w:rPr>
        <w:t>渝北区高标准农田建设农民</w:t>
      </w:r>
      <w:bookmarkStart w:id="0" w:name="_GoBack"/>
      <w:bookmarkEnd w:id="0"/>
      <w:r>
        <w:rPr>
          <w:rFonts w:hint="eastAsia" w:ascii="Times New Roman" w:hAnsi="Times New Roman" w:eastAsia="方正小标宋_GBK"/>
          <w:spacing w:val="0"/>
          <w:sz w:val="44"/>
          <w:szCs w:val="44"/>
        </w:rPr>
        <w:t>监督员管理制度</w:t>
      </w:r>
    </w:p>
    <w:p w14:paraId="21F22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0390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高标准农田建设工程质量事关项目区农民利益，事关政府投资经济效益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事关渝北区农业可持续发展。依据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《农业农村部关于印发〈高标准农田建设质量管理办法〉的通知》（农建发〔2025〕3号）有关规定，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为提升我区高标准农田建设的质量品质，打造高标准农田建设精品工程，发挥就近监督作用，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要结合实际，认真开展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在建项目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农民监督员的选聘工作。</w:t>
      </w:r>
    </w:p>
    <w:p w14:paraId="29623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snapToGrid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方正黑体_GBK"/>
          <w:snapToGrid w:val="0"/>
          <w:color w:val="auto"/>
          <w:sz w:val="32"/>
          <w:szCs w:val="32"/>
          <w:highlight w:val="none"/>
        </w:rPr>
        <w:t>农民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highlight w:val="none"/>
        </w:rPr>
        <w:t>监督员选聘要求</w:t>
      </w:r>
    </w:p>
    <w:p w14:paraId="2F21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高标准农田建设农民监督员选聘对象一般选择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在建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高标准农田建设项目区域内的受益农民、党员、新型经营主体负责人等，优先选择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</w:rPr>
        <w:t>65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周岁以下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  <w:lang w:val="en-US" w:eastAsia="zh-CN"/>
        </w:rPr>
        <w:t>含65周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岁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，身体健康，责任心强，有一定农田设施建设、运行管护经验的人员。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农民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监督员按照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在建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项目区域每个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名进行配置，由村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（社区）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推荐，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街道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进行审核，报区农业农村委备案。</w:t>
      </w:r>
    </w:p>
    <w:p w14:paraId="1BE09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方正黑体_GBK"/>
          <w:snapToGrid w:val="0"/>
          <w:color w:val="auto"/>
          <w:sz w:val="32"/>
          <w:szCs w:val="32"/>
          <w:highlight w:val="none"/>
        </w:rPr>
        <w:t>农民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highlight w:val="none"/>
        </w:rPr>
        <w:t>监督员岗位职能</w:t>
      </w:r>
    </w:p>
    <w:p w14:paraId="580F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项目建设期间听取群众对项目建设与管理的建议和意见，并及时将有关情况向区农业农村委和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反馈，配合现场监理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区农业农村委管理人员对项目施工过程的建筑材料、工程质量进行跟踪监督，并做好工作记录，发现问题及时向监理和区农业农村委报告，积极协助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干部做好配合服务、矛盾处理等工作，为工程建设提供良好的环境。</w:t>
      </w:r>
    </w:p>
    <w:p w14:paraId="7AAB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/>
          <w:snapToGrid w:val="0"/>
          <w:color w:val="auto"/>
          <w:sz w:val="32"/>
          <w:szCs w:val="32"/>
        </w:rPr>
        <w:t>农民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</w:rPr>
        <w:t>监督员岗位监督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  <w:t>和管理</w:t>
      </w:r>
    </w:p>
    <w:p w14:paraId="0938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color w:val="auto"/>
          <w:w w:val="96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</w:rPr>
        <w:t>镇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加强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监督员考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评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管理，健全退出机制，对不能胜任岗位要求的，应及时予以清退，防止出现变相发钱、优亲厚友等现象。所在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村（社区）加强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监督员履职情况按月开展考评工作，考评表交区农业农村委存档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考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评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结果作为发放监</w:t>
      </w:r>
      <w:r>
        <w:rPr>
          <w:rFonts w:hint="eastAsia" w:ascii="Times New Roman" w:hAnsi="Times New Roman" w:eastAsia="方正仿宋_GBK"/>
          <w:snapToGrid w:val="0"/>
          <w:color w:val="auto"/>
          <w:w w:val="98"/>
          <w:sz w:val="32"/>
          <w:szCs w:val="32"/>
        </w:rPr>
        <w:t>督工作报酬的依据。区农业农村委将通过现场核查、电话核实、以人对岗等形式对</w:t>
      </w:r>
      <w:r>
        <w:rPr>
          <w:rFonts w:hint="eastAsia" w:ascii="Times New Roman" w:hAnsi="Times New Roman" w:eastAsia="方正仿宋_GBK"/>
          <w:snapToGrid w:val="0"/>
          <w:color w:val="auto"/>
          <w:w w:val="98"/>
          <w:sz w:val="32"/>
          <w:szCs w:val="32"/>
          <w:lang w:val="en-US" w:eastAsia="zh-CN"/>
        </w:rPr>
        <w:t>农民</w:t>
      </w:r>
      <w:r>
        <w:rPr>
          <w:rFonts w:hint="eastAsia" w:ascii="Times New Roman" w:hAnsi="Times New Roman" w:eastAsia="方正仿宋_GBK"/>
          <w:snapToGrid w:val="0"/>
          <w:color w:val="auto"/>
          <w:w w:val="98"/>
          <w:sz w:val="32"/>
          <w:szCs w:val="32"/>
        </w:rPr>
        <w:t>监督员任务完成情况、上岗情况进行抽查。</w:t>
      </w:r>
    </w:p>
    <w:p w14:paraId="79D0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方正黑体_GBK"/>
          <w:snapToGrid w:val="0"/>
          <w:color w:val="auto"/>
          <w:sz w:val="32"/>
          <w:szCs w:val="32"/>
        </w:rPr>
        <w:t>农民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</w:rPr>
        <w:t>监督员岗位培训</w:t>
      </w:r>
    </w:p>
    <w:p w14:paraId="6577C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区农业农村委加强新上任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农民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监督员培训，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使其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</w:rPr>
        <w:t>熟悉岗位工作标准和相关要求。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综合运用各类宣传手段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加强对高标准农田建设农民监督员工作的宣传报道，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充分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调度农民参与项目管理的积极性，推动形成农民群众关心、支持和参与高标准农田建设的良好氛围。</w:t>
      </w:r>
    </w:p>
    <w:p w14:paraId="6A262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</w:rPr>
        <w:t>监督工作</w:t>
      </w: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  <w:t>报酬</w:t>
      </w:r>
    </w:p>
    <w:p w14:paraId="3754F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农民监督员的监督工作报酬根据考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评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结果确定，区农业农村委按照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1000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元/月对农民监督员进行补助，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lang w:val="en-US" w:eastAsia="zh-CN"/>
        </w:rPr>
        <w:t>最长补助时限不超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过6个月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</w:rPr>
        <w:t>。</w:t>
      </w:r>
    </w:p>
    <w:p w14:paraId="1D122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color w:val="auto"/>
          <w:sz w:val="32"/>
          <w:szCs w:val="32"/>
          <w:lang w:val="en-US" w:eastAsia="zh-CN"/>
        </w:rPr>
        <w:t>六、附则</w:t>
      </w:r>
    </w:p>
    <w:p w14:paraId="3398A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本制度自印发之日起施行，《重庆市渝北区农业农村委员会关于印发〈渝北区高标准农田建设农民监督员管理制度〉的通知》（渝北农发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〔2023〕50号</w:t>
      </w:r>
      <w:r>
        <w:rPr>
          <w:rFonts w:hint="eastAsia" w:ascii="Times New Roman" w:hAnsi="Times New Roman" w:eastAsia="方正仿宋_GBK"/>
          <w:snapToGrid w:val="0"/>
          <w:color w:val="auto"/>
          <w:sz w:val="32"/>
          <w:szCs w:val="32"/>
          <w:highlight w:val="none"/>
          <w:lang w:val="en-US" w:eastAsia="zh-CN"/>
        </w:rPr>
        <w:t>）同时废止。</w:t>
      </w:r>
    </w:p>
    <w:p w14:paraId="1AD24E39"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2DCC1"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78BB3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78BB3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9DE674"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86995</wp:posOffset>
              </wp:positionV>
              <wp:extent cx="5606415" cy="889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6415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6.85pt;height:0.7pt;width:441.45pt;z-index:251661312;mso-width-relative:page;mso-height-relative:page;" filled="f" stroked="t" coordsize="21600,21600" o:gfxdata="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U7JRdQA&#10;AAAHAQAADwAAAAAAAAABACAAAAAiAAAAZHJzL2Rvd25yZXYueG1sUEsBAhQAFAAAAAgAh07iQHdJ&#10;Nc7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224C9C9"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D634B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687070</wp:posOffset>
              </wp:positionV>
              <wp:extent cx="5602605" cy="1778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02605" cy="177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1pt;margin-top:54.1pt;height:1.4pt;width:441.15pt;z-index:251660288;mso-width-relative:page;mso-height-relative:page;" filled="f" stroked="t" coordsize="21600,21600" o:gfxdata="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JdUsdcAAAAIAQAADwAAAAAAAAABACAAAAAiAAAAZHJzL2Rvd25yZXYueG1sUEsBAhQA&#10;FAAAAAgAh07iQG4EaQfzAQAAwAMAAA4AAAAAAAAAAQAgAAAAJg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1F99FA0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重庆市渝北区农业农村委员会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3212550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3F0A0B"/>
    <w:rsid w:val="31A15F24"/>
    <w:rsid w:val="36FB1DF0"/>
    <w:rsid w:val="395347B5"/>
    <w:rsid w:val="39A232A0"/>
    <w:rsid w:val="39E745AA"/>
    <w:rsid w:val="3B5A6BBB"/>
    <w:rsid w:val="3CA154E3"/>
    <w:rsid w:val="3D7F021C"/>
    <w:rsid w:val="3DDD060E"/>
    <w:rsid w:val="3EDA13A6"/>
    <w:rsid w:val="3FB41E23"/>
    <w:rsid w:val="3FBF2059"/>
    <w:rsid w:val="3FF56C14"/>
    <w:rsid w:val="3FFF938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4FFDC1E6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BD3C78"/>
    <w:rsid w:val="5DC34279"/>
    <w:rsid w:val="5FCD688E"/>
    <w:rsid w:val="5FF9BDAA"/>
    <w:rsid w:val="608816D1"/>
    <w:rsid w:val="60EF4E7F"/>
    <w:rsid w:val="63FED55A"/>
    <w:rsid w:val="648B0A32"/>
    <w:rsid w:val="658F6764"/>
    <w:rsid w:val="665233C1"/>
    <w:rsid w:val="69AC0D42"/>
    <w:rsid w:val="6AD9688B"/>
    <w:rsid w:val="6B68303F"/>
    <w:rsid w:val="6D0E3F22"/>
    <w:rsid w:val="6E9A2119"/>
    <w:rsid w:val="6F6C7C14"/>
    <w:rsid w:val="737FF983"/>
    <w:rsid w:val="744E4660"/>
    <w:rsid w:val="753355A2"/>
    <w:rsid w:val="759F1C61"/>
    <w:rsid w:val="769F2DE8"/>
    <w:rsid w:val="76FDEB7C"/>
    <w:rsid w:val="79C65162"/>
    <w:rsid w:val="79EE7E31"/>
    <w:rsid w:val="7BE2A4A6"/>
    <w:rsid w:val="7C9011D9"/>
    <w:rsid w:val="7DC651C5"/>
    <w:rsid w:val="7E78B55C"/>
    <w:rsid w:val="7F7F51B2"/>
    <w:rsid w:val="7FCC2834"/>
    <w:rsid w:val="7FFFDEC6"/>
    <w:rsid w:val="92DD1CEF"/>
    <w:rsid w:val="BD9D1569"/>
    <w:rsid w:val="EBDDA9D0"/>
    <w:rsid w:val="F05B4F69"/>
    <w:rsid w:val="F7F902F6"/>
    <w:rsid w:val="F97D9566"/>
    <w:rsid w:val="FDFF411C"/>
    <w:rsid w:val="FF2988BE"/>
    <w:rsid w:val="FFB6373A"/>
    <w:rsid w:val="FFFA8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line="600" w:lineRule="exact"/>
    </w:pPr>
    <w:rPr>
      <w:rFonts w:eastAsia="方正小标宋_GBK"/>
      <w:sz w:val="44"/>
    </w:rPr>
  </w:style>
  <w:style w:type="paragraph" w:styleId="5">
    <w:name w:val="Body Text 2"/>
    <w:basedOn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single"/>
    </w:rPr>
  </w:style>
  <w:style w:type="character" w:customStyle="1" w:styleId="15">
    <w:name w:val="font7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single"/>
    </w:rPr>
  </w:style>
  <w:style w:type="character" w:customStyle="1" w:styleId="16">
    <w:name w:val="font51"/>
    <w:basedOn w:val="10"/>
    <w:qFormat/>
    <w:uiPriority w:val="0"/>
    <w:rPr>
      <w:rFonts w:hint="default" w:ascii="等线" w:hAnsi="等线" w:eastAsia="等线" w:cs="等线"/>
      <w:color w:val="000000"/>
      <w:sz w:val="22"/>
      <w:szCs w:val="22"/>
      <w:u w:val="single"/>
    </w:rPr>
  </w:style>
  <w:style w:type="character" w:customStyle="1" w:styleId="17">
    <w:name w:val="font01"/>
    <w:basedOn w:val="10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31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2021-09-13T02:41:00Z</dcterms:created>
  <dc:creator>t</dc:creator>
  <cp:lastModifiedBy>nongwei</cp:lastModifiedBy>
  <cp:lastPrinted>2022-06-08T16:09:00Z</cp:lastPrinted>
  <dcterms:modified xsi:type="dcterms:W3CDTF">2025-08-22T15:07:37Z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48C61CB29D3F4D9384F5922CF0F7FFB4</vt:lpwstr>
  </property>
</Properties>
</file>