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2021年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部分市级农业专项资金重点经济作物市级区域特色资金</w:t>
      </w:r>
      <w:r>
        <w:rPr>
          <w:rFonts w:hint="eastAsia" w:ascii="方正小标宋_GBK" w:eastAsia="方正小标宋_GBK"/>
          <w:sz w:val="44"/>
          <w:szCs w:val="44"/>
        </w:rPr>
        <w:t>项目申报指南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根据《重庆市农业农村委员会重庆市财政局关于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下达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2021年部分市级农业专项资金项目建设任务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的通知》（渝农发〔2021〕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文件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要求，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编制重点经济作物市级区域特色资金项目申报指南。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一、目标任务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实施草莓基地提质增效改造示范。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开展老果园提质增效改造，果园省力化栽培、绿色栽培等技术推广试验，培育一批高糖分和甜度的精品果，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促进我区特色水果草莓的绿色发展，提质增效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二、补助经费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市级财政资金补助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ascii="Times New Roman" w:hAnsi="Times New Roman" w:eastAsia="方正仿宋_GBK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0" w:leftChars="0" w:firstLine="640" w:firstLineChars="0"/>
        <w:jc w:val="both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申报主体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本项目申报主体为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区级农技推广部门。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四、资金用途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草莓基地提质增效示范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（原则上不支持新建扩规模）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，主要用于提升果实品质和单产的菜饼、羊粪为原料的有机肥等有机肥示范、氨基酸等叶面肥示范、利用太阳热进行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土壤消毒示范、以虫治虫、微生物菌肥、生物农药等绿色防控技术示范，补光灯、增温设施设备应用示范。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五、绩效目标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1、集成一套草莓绿色种植示范推广技术，经绿色种植技术集成后，本区绿色草莓占比提高10%。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2、集成一套可推广的老果园管护技术，管护后，草莓基地单产同比提高2%。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960" w:firstLineChars="30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刘安蓉</w:t>
      </w:r>
      <w:r>
        <w:rPr>
          <w:rFonts w:ascii="Times New Roman" w:hAnsi="Times New Roman" w:eastAsia="方正仿宋_GBK" w:cs="Times New Roman"/>
          <w:sz w:val="32"/>
          <w:szCs w:val="32"/>
        </w:rPr>
        <w:t>， 电话：8601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5397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sectPr>
      <w:footerReference r:id="rId5" w:type="default"/>
      <w:pgSz w:w="11906" w:h="16838"/>
      <w:pgMar w:top="1440" w:right="1800" w:bottom="1440" w:left="1800" w:header="708" w:footer="708" w:gutter="0"/>
      <w:pgNumType w:fmt="numberInDash" w:start="13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985EC6"/>
    <w:multiLevelType w:val="singleLevel"/>
    <w:tmpl w:val="E2985EC6"/>
    <w:lvl w:ilvl="0" w:tentative="0">
      <w:start w:val="3"/>
      <w:numFmt w:val="chineseCounting"/>
      <w:suff w:val="nothing"/>
      <w:lvlText w:val="%1、"/>
      <w:lvlJc w:val="left"/>
      <w:pPr>
        <w:ind w:left="2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A4694"/>
    <w:rsid w:val="003D37D8"/>
    <w:rsid w:val="00426133"/>
    <w:rsid w:val="004358AB"/>
    <w:rsid w:val="008B7726"/>
    <w:rsid w:val="00BF6705"/>
    <w:rsid w:val="00D31D50"/>
    <w:rsid w:val="00E54B05"/>
    <w:rsid w:val="08491403"/>
    <w:rsid w:val="15210113"/>
    <w:rsid w:val="2A5033F2"/>
    <w:rsid w:val="39B75184"/>
    <w:rsid w:val="440B68D3"/>
    <w:rsid w:val="45012626"/>
    <w:rsid w:val="60043CF7"/>
    <w:rsid w:val="692035B9"/>
    <w:rsid w:val="693B58F1"/>
    <w:rsid w:val="70A45CF7"/>
    <w:rsid w:val="769E7B15"/>
    <w:rsid w:val="7A90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/>
      <w:sz w:val="30"/>
      <w:szCs w:val="24"/>
    </w:r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443</Characters>
  <Lines>3</Lines>
  <Paragraphs>1</Paragraphs>
  <TotalTime>98</TotalTime>
  <ScaleCrop>false</ScaleCrop>
  <LinksUpToDate>false</LinksUpToDate>
  <CharactersWithSpaces>519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2021-12-07T03:17:08Z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71B3CB0F757D413491566F2F582359FC</vt:lpwstr>
  </property>
</Properties>
</file>