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3BE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</w:pPr>
    </w:p>
    <w:p w14:paraId="22259F0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outlineLvl w:val="0"/>
        <w:rPr>
          <w:rFonts w:hint="default" w:ascii="Times New Roman" w:hAnsi="Times New Roman" w:cs="Times New Roman"/>
          <w:lang w:val="en-US" w:eastAsia="zh-CN"/>
        </w:rPr>
      </w:pPr>
    </w:p>
    <w:p w14:paraId="41082868">
      <w:pPr>
        <w:rPr>
          <w:rFonts w:hint="default" w:ascii="Times New Roman" w:hAnsi="Times New Roman" w:cs="Times New Roman"/>
          <w:lang w:val="en-US" w:eastAsia="zh-CN"/>
        </w:rPr>
      </w:pPr>
    </w:p>
    <w:p w14:paraId="01F482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5.85pt;margin-top:1.2pt;height:53.85pt;width:414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渝北区民政局" style="font-family:方正小标宋_GBK;font-size:36pt;v-text-align:center;v-text-spacing:98304f;"/>
          </v:shape>
        </w:pict>
      </w:r>
    </w:p>
    <w:p w14:paraId="64D628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cs="Times New Roman"/>
        </w:rPr>
        <w:pict>
          <v:shape id="_x0000_s1027" o:spid="_x0000_s1027" o:spt="136" type="#_x0000_t136" style="position:absolute;left:0pt;margin-left:418.3pt;margin-top:19.95pt;height:45.35pt;width:74.2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方正小标宋_GBK;font-size:32pt;v-text-align:center;"/>
          </v:shape>
        </w:pict>
      </w:r>
    </w:p>
    <w:p w14:paraId="75EAB9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cs="Times New Roman"/>
        </w:rPr>
        <w:pict>
          <v:shape id="_x0000_s1028" o:spid="_x0000_s1028" o:spt="136" type="#_x0000_t136" style="position:absolute;left:0pt;margin-left:5.4pt;margin-top:9.6pt;height:53.85pt;width:414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渝北区市场监督管理局" style="font-family:方正小标宋_GBK;font-size:36pt;v-text-align:center;"/>
          </v:shape>
        </w:pict>
      </w:r>
    </w:p>
    <w:p w14:paraId="31A47C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</w:pPr>
    </w:p>
    <w:p w14:paraId="7BE81D3A">
      <w:pPr>
        <w:pStyle w:val="1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703E4E">
      <w:pPr>
        <w:snapToGrid w:val="0"/>
        <w:spacing w:line="578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9A4BCC">
      <w:pPr>
        <w:snapToGrid w:val="0"/>
        <w:spacing w:line="578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57B9AD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100330</wp:posOffset>
                </wp:positionV>
                <wp:extent cx="5831840" cy="0"/>
                <wp:effectExtent l="0" t="9525" r="165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pt;margin-top:7.9pt;height:0pt;width:459.2pt;z-index:251661312;mso-width-relative:page;mso-height-relative:page;" filled="f" stroked="t" coordsize="21600,21600" o:gfxdata="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1geQdgAAAAIAQAADwAAAAAAAAABACAAAAAiAAAAZHJzL2Rvd25yZXYu&#10;eG1sUEsBAhQAFAAAAAgAh07iQEn1Elr7AQAA8wMAAA4AAAAAAAAAAQAgAAAAJw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B437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10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108"/>
          <w:sz w:val="44"/>
          <w:szCs w:val="44"/>
          <w:lang w:val="en-US" w:eastAsia="zh-CN"/>
        </w:rPr>
        <w:t xml:space="preserve"> </w:t>
      </w:r>
    </w:p>
    <w:p w14:paraId="54A69A3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08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108"/>
          <w:sz w:val="44"/>
          <w:szCs w:val="44"/>
        </w:rPr>
        <w:t>重庆市渝北区民政局</w:t>
      </w:r>
    </w:p>
    <w:p w14:paraId="3F40221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重庆市渝北区市场监督管理局</w:t>
      </w:r>
    </w:p>
    <w:p w14:paraId="1BD6F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lang w:eastAsia="zh-CN"/>
        </w:rPr>
        <w:t>关于印发《</w:t>
      </w:r>
      <w:r>
        <w:rPr>
          <w:rFonts w:hint="default" w:ascii="Times New Roman" w:hAnsi="Times New Roman" w:eastAsia="方正小标宋_GBK" w:cs="Times New Roman"/>
          <w:sz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</w:rPr>
        <w:t>年度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养老机构</w:t>
      </w:r>
      <w:r>
        <w:rPr>
          <w:rFonts w:hint="default" w:ascii="Times New Roman" w:hAnsi="Times New Roman" w:eastAsia="方正小标宋_GBK" w:cs="Times New Roman"/>
          <w:sz w:val="44"/>
        </w:rPr>
        <w:t>“双随机、一公开”专项联合检查方案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》的通知</w:t>
      </w:r>
    </w:p>
    <w:p w14:paraId="62D42A5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AEF1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各镇人民政府、街道办事处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lang w:eastAsia="zh-CN"/>
        </w:rPr>
        <w:t>有关部门，</w:t>
      </w:r>
      <w:r>
        <w:rPr>
          <w:rFonts w:hint="default" w:ascii="Times New Roman" w:hAnsi="Times New Roman" w:eastAsia="方正仿宋_GBK" w:cs="Times New Roman"/>
          <w:lang w:val="en-US" w:eastAsia="zh-CN"/>
        </w:rPr>
        <w:t>各养老机构</w:t>
      </w:r>
      <w:r>
        <w:rPr>
          <w:rFonts w:hint="default" w:ascii="Times New Roman" w:hAnsi="Times New Roman" w:eastAsia="方正仿宋_GBK" w:cs="Times New Roman"/>
          <w:lang w:eastAsia="zh-CN"/>
        </w:rPr>
        <w:t>：</w:t>
      </w:r>
    </w:p>
    <w:p w14:paraId="28E61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</w:rPr>
        <w:sectPr>
          <w:footerReference r:id="rId3" w:type="default"/>
          <w:pgSz w:w="11906" w:h="16838"/>
          <w:pgMar w:top="2098" w:right="1474" w:bottom="1814" w:left="1587" w:header="851" w:footer="1474" w:gutter="0"/>
          <w:pgNumType w:fmt="decimal"/>
          <w:cols w:space="720" w:num="1"/>
          <w:docGrid w:linePitch="579" w:charSpace="-849"/>
        </w:sectPr>
      </w:pPr>
      <w:r>
        <w:rPr>
          <w:rFonts w:hint="default" w:ascii="Times New Roman" w:hAnsi="Times New Roman" w:eastAsia="方正仿宋_GBK" w:cs="Times New Roman"/>
          <w:lang w:val="en-US" w:eastAsia="zh-CN"/>
        </w:rPr>
        <w:t>根据《</w:t>
      </w:r>
      <w:r>
        <w:rPr>
          <w:rFonts w:hint="default" w:ascii="Times New Roman" w:hAnsi="Times New Roman" w:cs="Times New Roman"/>
          <w:lang w:val="en-US" w:eastAsia="zh-CN"/>
        </w:rPr>
        <w:t>渝北</w:t>
      </w:r>
      <w:r>
        <w:rPr>
          <w:rFonts w:hint="default" w:ascii="Times New Roman" w:hAnsi="Times New Roman" w:eastAsia="方正仿宋_GBK" w:cs="Times New Roman"/>
          <w:lang w:val="en-US" w:eastAsia="zh-CN"/>
        </w:rPr>
        <w:t>区市场监管领域部门联合“双随机、一公开”监管联席会议办公室</w:t>
      </w:r>
      <w:r>
        <w:rPr>
          <w:rFonts w:hint="default" w:ascii="Times New Roman" w:hAnsi="Times New Roman" w:eastAsia="方正仿宋_GBK" w:cs="Times New Roman"/>
        </w:rPr>
        <w:t>关于印发202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</w:rPr>
        <w:t>年度渝北区市场监管领域部门联合“双随机、一公开”抽查计划的通知</w:t>
      </w:r>
      <w:r>
        <w:rPr>
          <w:rFonts w:hint="default" w:ascii="Times New Roman" w:hAnsi="Times New Roman" w:eastAsia="方正仿宋_GBK" w:cs="Times New Roman"/>
          <w:lang w:val="en-US" w:eastAsia="zh-CN"/>
        </w:rPr>
        <w:t>》</w:t>
      </w:r>
      <w:r>
        <w:rPr>
          <w:rFonts w:hint="default" w:ascii="Times New Roman" w:hAnsi="Times New Roman" w:cs="Times New Roman"/>
          <w:lang w:val="en-US" w:eastAsia="zh-CN"/>
        </w:rPr>
        <w:t>（渝北部门联合双随机办公室[2025]2号）</w:t>
      </w:r>
      <w:r>
        <w:rPr>
          <w:rFonts w:hint="default" w:ascii="Times New Roman" w:hAnsi="Times New Roman" w:eastAsia="方正仿宋_GBK" w:cs="Times New Roman"/>
          <w:lang w:val="en-US" w:eastAsia="zh-CN"/>
        </w:rPr>
        <w:t>文件要求，区民政局</w:t>
      </w:r>
      <w:r>
        <w:rPr>
          <w:rFonts w:hint="default" w:ascii="Times New Roman" w:hAnsi="Times New Roman" w:eastAsia="方正仿宋_GBK" w:cs="Times New Roman"/>
        </w:rPr>
        <w:t>、</w:t>
      </w:r>
      <w:r>
        <w:rPr>
          <w:rFonts w:hint="default" w:ascii="Times New Roman" w:hAnsi="Times New Roman" w:eastAsia="方正仿宋_GBK" w:cs="Times New Roman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</w:rPr>
        <w:t>市场监管局以“双随机、一公开”的形式</w:t>
      </w:r>
      <w:r>
        <w:rPr>
          <w:rFonts w:hint="default" w:ascii="Times New Roman" w:hAnsi="Times New Roman" w:cs="Times New Roman"/>
          <w:lang w:val="en-US" w:eastAsia="zh-CN"/>
        </w:rPr>
        <w:t>对养老机构</w:t>
      </w:r>
      <w:r>
        <w:rPr>
          <w:rFonts w:hint="default" w:ascii="Times New Roman" w:hAnsi="Times New Roman" w:eastAsia="方正仿宋_GBK" w:cs="Times New Roman"/>
        </w:rPr>
        <w:t>开展联合检查，结合我区实际，</w:t>
      </w:r>
    </w:p>
    <w:p w14:paraId="4DF551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shd w:val="clear" w:color="auto" w:fill="FFFFFF"/>
          <w:lang w:eastAsia="zh-CN" w:bidi="ar"/>
        </w:rPr>
        <w:t>现将</w:t>
      </w:r>
      <w:r>
        <w:rPr>
          <w:rFonts w:hint="default" w:ascii="Times New Roman" w:hAnsi="Times New Roman" w:eastAsia="方正仿宋_GBK" w:cs="Times New Roman"/>
          <w:szCs w:val="2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Cs w:val="22"/>
        </w:rPr>
        <w:t>202</w:t>
      </w:r>
      <w:r>
        <w:rPr>
          <w:rFonts w:hint="default" w:ascii="Times New Roman" w:hAnsi="Times New Roman" w:cs="Times New Roman"/>
          <w:szCs w:val="2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22"/>
        </w:rPr>
        <w:t>年度</w:t>
      </w:r>
      <w:r>
        <w:rPr>
          <w:rFonts w:hint="default" w:ascii="Times New Roman" w:hAnsi="Times New Roman" w:cs="Times New Roman"/>
          <w:szCs w:val="22"/>
          <w:lang w:val="en-US" w:eastAsia="zh-CN"/>
        </w:rPr>
        <w:t>养老机构</w:t>
      </w:r>
      <w:r>
        <w:rPr>
          <w:rFonts w:hint="default" w:ascii="Times New Roman" w:hAnsi="Times New Roman" w:eastAsia="方正仿宋_GBK" w:cs="Times New Roman"/>
          <w:szCs w:val="22"/>
        </w:rPr>
        <w:t>“双随机、一公开”专项联合检查方案</w:t>
      </w:r>
      <w:r>
        <w:rPr>
          <w:rFonts w:hint="default" w:ascii="Times New Roman" w:hAnsi="Times New Roman" w:eastAsia="方正仿宋_GBK" w:cs="Times New Roman"/>
          <w:szCs w:val="22"/>
          <w:lang w:eastAsia="zh-CN"/>
        </w:rPr>
        <w:t>》印发给你们，请遵照执行。</w:t>
      </w:r>
    </w:p>
    <w:p w14:paraId="567E3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</w:p>
    <w:p w14:paraId="1D9B026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cs="Times New Roman"/>
        </w:rPr>
      </w:pPr>
    </w:p>
    <w:p w14:paraId="4A06E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重庆市渝北区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民政局</w:t>
      </w:r>
      <w:r>
        <w:rPr>
          <w:rFonts w:hint="default" w:ascii="Times New Roman" w:hAnsi="Times New Roman" w:eastAsia="方正仿宋_GBK" w:cs="Times New Roman"/>
          <w:szCs w:val="32"/>
        </w:rPr>
        <w:t xml:space="preserve">       重庆市渝北区市场监督管理局 </w:t>
      </w:r>
      <w:r>
        <w:rPr>
          <w:rFonts w:hint="default" w:ascii="Times New Roman" w:hAnsi="Times New Roman" w:cs="Times New Roman"/>
          <w:szCs w:val="32"/>
        </w:rPr>
        <w:t xml:space="preserve">                      </w:t>
      </w:r>
    </w:p>
    <w:p w14:paraId="28E1E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</w:t>
      </w:r>
      <w:r>
        <w:rPr>
          <w:rFonts w:hint="default" w:ascii="Times New Roman" w:hAnsi="Times New Roman" w:cs="Times New Roman"/>
          <w:szCs w:val="32"/>
        </w:rPr>
        <w:t xml:space="preserve">   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Cs w:val="32"/>
        </w:rPr>
        <w:t xml:space="preserve">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 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szCs w:val="32"/>
        </w:rPr>
        <w:t>日</w:t>
      </w:r>
    </w:p>
    <w:p w14:paraId="0E7C4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p w14:paraId="0D3F3DD3">
      <w:pPr>
        <w:pStyle w:val="2"/>
        <w:rPr>
          <w:rFonts w:hint="default" w:ascii="Times New Roman" w:hAnsi="Times New Roman" w:eastAsia="方正小标宋_GBK" w:cs="Times New Roman"/>
          <w:sz w:val="44"/>
        </w:rPr>
      </w:pPr>
    </w:p>
    <w:p w14:paraId="36A09E5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sectPr>
          <w:footerReference r:id="rId4" w:type="default"/>
          <w:pgSz w:w="11906" w:h="16838"/>
          <w:pgMar w:top="2098" w:right="1474" w:bottom="1814" w:left="1587" w:header="851" w:footer="1474" w:gutter="0"/>
          <w:pgNumType w:fmt="decimal" w:start="2"/>
          <w:cols w:space="720" w:num="1"/>
          <w:docGrid w:linePitch="579" w:charSpace="-849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 w14:paraId="41061A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小标宋_GBK" w:cs="Times New Roman"/>
          <w:sz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</w:rPr>
        <w:t>年度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养老机构</w:t>
      </w:r>
      <w:r>
        <w:rPr>
          <w:rFonts w:hint="default" w:ascii="Times New Roman" w:hAnsi="Times New Roman" w:eastAsia="方正小标宋_GBK" w:cs="Times New Roman"/>
          <w:sz w:val="44"/>
        </w:rPr>
        <w:t>“双随机、一公开”专项联合检查方案</w:t>
      </w:r>
    </w:p>
    <w:p w14:paraId="1E231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</w:p>
    <w:p w14:paraId="35613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为进一步</w:t>
      </w:r>
      <w:r>
        <w:rPr>
          <w:rFonts w:hint="default" w:ascii="Times New Roman" w:hAnsi="Times New Roman" w:cs="Times New Roman"/>
          <w:lang w:val="en-US" w:eastAsia="zh-CN"/>
        </w:rPr>
        <w:t>促进养老机构的高质量发展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lang w:eastAsia="zh-CN"/>
        </w:rPr>
        <w:t>提高专项联合检查的科学性、规范性、实效性，特制定</w:t>
      </w:r>
      <w:r>
        <w:rPr>
          <w:rFonts w:hint="default" w:ascii="Times New Roman" w:hAnsi="Times New Roman" w:cs="Times New Roman"/>
          <w:lang w:val="en-US" w:eastAsia="zh-CN"/>
        </w:rPr>
        <w:t>2025年度“双随机、一公开”专项联合检查方案。</w:t>
      </w:r>
    </w:p>
    <w:p w14:paraId="3A69C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一、工作目标</w:t>
      </w:r>
    </w:p>
    <w:p w14:paraId="260C7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深入贯彻落实习近平总书记关于安全生产工作重要指示批示精神，认真落实全区安全稳定工作专题会、全市民政系统安全生产工作有关部署要求，统筹做好全区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养老机构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安全生产工作，坚决守牢民政系统安全防线，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cs="Times New Roman"/>
          <w:lang w:val="en-US" w:eastAsia="zh-CN"/>
        </w:rPr>
        <w:t>《</w:t>
      </w:r>
      <w:r>
        <w:rPr>
          <w:rFonts w:hint="default" w:ascii="Times New Roman" w:hAnsi="Times New Roman" w:cs="Times New Roman"/>
        </w:rPr>
        <w:t>关于印发</w:t>
      </w:r>
      <w:r>
        <w:rPr>
          <w:rFonts w:hint="default" w:ascii="Times New Roman" w:hAnsi="Times New Roman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>年度渝北区市场监管领域部门联合“双随机、一公开”抽查计划的通知</w:t>
      </w:r>
      <w:r>
        <w:rPr>
          <w:rFonts w:hint="default" w:ascii="Times New Roman" w:hAnsi="Times New Roman" w:cs="Times New Roman"/>
          <w:lang w:val="en-US" w:eastAsia="zh-CN"/>
        </w:rPr>
        <w:t>》要求，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开展养老机构联合检查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，防范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养老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机构安全问题发生。</w:t>
      </w:r>
    </w:p>
    <w:p w14:paraId="3768356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时间安排</w:t>
      </w:r>
    </w:p>
    <w:p w14:paraId="53E706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5—6</w:t>
      </w:r>
      <w:r>
        <w:rPr>
          <w:rFonts w:hint="default" w:ascii="Times New Roman" w:hAnsi="Times New Roman" w:cs="Times New Roman"/>
        </w:rPr>
        <w:t>月</w:t>
      </w:r>
    </w:p>
    <w:p w14:paraId="1C5C5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>三、</w:t>
      </w:r>
      <w:r>
        <w:rPr>
          <w:rFonts w:hint="default" w:ascii="Times New Roman" w:hAnsi="Times New Roman" w:eastAsia="方正黑体_GBK" w:cs="Times New Roman"/>
          <w:lang w:val="en-US" w:eastAsia="zh-CN"/>
        </w:rPr>
        <w:t>检查内容</w:t>
      </w:r>
    </w:p>
    <w:p w14:paraId="2CB1E5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Cs w:val="22"/>
          <w:lang w:eastAsia="zh-CN"/>
        </w:rPr>
      </w:pPr>
      <w:r>
        <w:rPr>
          <w:rFonts w:hint="default" w:ascii="Times New Roman" w:hAnsi="Times New Roman" w:cs="Times New Roman"/>
          <w:szCs w:val="22"/>
        </w:rPr>
        <w:t>养老机构服务质量安全</w:t>
      </w:r>
      <w:r>
        <w:rPr>
          <w:rFonts w:hint="default" w:ascii="Times New Roman" w:hAnsi="Times New Roman" w:cs="Times New Roman"/>
          <w:szCs w:val="22"/>
          <w:lang w:eastAsia="zh-CN"/>
        </w:rPr>
        <w:t>、</w:t>
      </w:r>
      <w:r>
        <w:rPr>
          <w:rFonts w:hint="default" w:ascii="Times New Roman" w:hAnsi="Times New Roman" w:cs="Times New Roman"/>
          <w:szCs w:val="22"/>
        </w:rPr>
        <w:t>资金安全</w:t>
      </w:r>
      <w:r>
        <w:rPr>
          <w:rFonts w:hint="default" w:ascii="Times New Roman" w:hAnsi="Times New Roman" w:cs="Times New Roman"/>
          <w:szCs w:val="22"/>
          <w:lang w:eastAsia="zh-CN"/>
        </w:rPr>
        <w:t>、</w:t>
      </w:r>
      <w:r>
        <w:rPr>
          <w:rFonts w:hint="default" w:ascii="Times New Roman" w:hAnsi="Times New Roman" w:cs="Times New Roman"/>
          <w:szCs w:val="22"/>
        </w:rPr>
        <w:t>突发事件应对</w:t>
      </w:r>
      <w:r>
        <w:rPr>
          <w:rFonts w:hint="default" w:ascii="Times New Roman" w:hAnsi="Times New Roman" w:cs="Times New Roman"/>
          <w:szCs w:val="22"/>
          <w:lang w:eastAsia="zh-CN"/>
        </w:rPr>
        <w:t>、</w:t>
      </w:r>
      <w:r>
        <w:rPr>
          <w:rFonts w:hint="default" w:ascii="Times New Roman" w:hAnsi="Times New Roman" w:cs="Times New Roman"/>
          <w:szCs w:val="22"/>
        </w:rPr>
        <w:t>从业人员情况</w:t>
      </w:r>
      <w:r>
        <w:rPr>
          <w:rFonts w:hint="default" w:ascii="Times New Roman" w:hAnsi="Times New Roman" w:cs="Times New Roman"/>
          <w:szCs w:val="22"/>
          <w:lang w:eastAsia="zh-CN"/>
        </w:rPr>
        <w:t>、</w:t>
      </w:r>
      <w:r>
        <w:rPr>
          <w:rFonts w:hint="default" w:ascii="Times New Roman" w:hAnsi="Times New Roman" w:cs="Times New Roman"/>
          <w:szCs w:val="22"/>
        </w:rPr>
        <w:t>特种设备使用管理情况</w:t>
      </w:r>
      <w:r>
        <w:rPr>
          <w:rFonts w:hint="default" w:ascii="Times New Roman" w:hAnsi="Times New Roman" w:cs="Times New Roman"/>
          <w:szCs w:val="22"/>
          <w:lang w:eastAsia="zh-CN"/>
        </w:rPr>
        <w:t>。</w:t>
      </w:r>
    </w:p>
    <w:p w14:paraId="30311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</w:rPr>
        <w:t>、开展方式及要求</w:t>
      </w:r>
    </w:p>
    <w:p w14:paraId="51E151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</w:rPr>
        <w:t>区</w:t>
      </w:r>
      <w:r>
        <w:rPr>
          <w:rFonts w:hint="default" w:ascii="Times New Roman" w:hAnsi="Times New Roman" w:cs="Times New Roman"/>
          <w:kern w:val="2"/>
          <w:sz w:val="32"/>
          <w:lang w:val="en-US" w:eastAsia="zh-CN"/>
        </w:rPr>
        <w:t>民政局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、区市场监管局</w:t>
      </w:r>
      <w:r>
        <w:rPr>
          <w:rFonts w:hint="default" w:ascii="Times New Roman" w:hAnsi="Times New Roman" w:cs="Times New Roman"/>
          <w:kern w:val="2"/>
          <w:sz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按照“双随机”系统流程生成的检查清单</w:t>
      </w:r>
      <w:r>
        <w:rPr>
          <w:rFonts w:hint="default" w:ascii="Times New Roman" w:hAnsi="Times New Roman" w:cs="Times New Roman"/>
          <w:kern w:val="2"/>
          <w:sz w:val="32"/>
          <w:lang w:eastAsia="zh-CN"/>
        </w:rPr>
        <w:t>，</w:t>
      </w:r>
      <w:r>
        <w:rPr>
          <w:rFonts w:hint="default" w:ascii="Times New Roman" w:hAnsi="Times New Roman" w:cs="Times New Roman"/>
          <w:kern w:val="2"/>
          <w:sz w:val="32"/>
          <w:lang w:val="en-US" w:eastAsia="zh-CN"/>
        </w:rPr>
        <w:t>随机抽取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执法人员</w:t>
      </w:r>
      <w:r>
        <w:rPr>
          <w:rFonts w:hint="default" w:ascii="Times New Roman" w:hAnsi="Times New Roman" w:cs="Times New Roman"/>
          <w:kern w:val="2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开展本次专项</w:t>
      </w:r>
      <w:r>
        <w:rPr>
          <w:rFonts w:hint="default" w:ascii="Times New Roman" w:hAnsi="Times New Roman" w:cs="Times New Roman"/>
          <w:kern w:val="2"/>
          <w:sz w:val="32"/>
          <w:lang w:val="en-US" w:eastAsia="zh-CN"/>
        </w:rPr>
        <w:t>联合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检查</w:t>
      </w:r>
      <w:r>
        <w:rPr>
          <w:rFonts w:hint="default" w:ascii="Times New Roman" w:hAnsi="Times New Roman" w:cs="Times New Roman"/>
          <w:kern w:val="2"/>
          <w:sz w:val="32"/>
          <w:lang w:eastAsia="zh-CN"/>
        </w:rPr>
        <w:t>。</w:t>
      </w:r>
      <w:r>
        <w:rPr>
          <w:rFonts w:hint="default" w:ascii="Times New Roman" w:hAnsi="Times New Roman" w:cs="Times New Roman"/>
          <w:kern w:val="2"/>
          <w:sz w:val="32"/>
          <w:lang w:val="en-US" w:eastAsia="zh-CN"/>
        </w:rPr>
        <w:t>本次联合检查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将采取实地检查或书面审查的方式检查相关</w:t>
      </w:r>
      <w:r>
        <w:rPr>
          <w:rFonts w:hint="default" w:ascii="Times New Roman" w:hAnsi="Times New Roman" w:cs="Times New Roman"/>
          <w:kern w:val="2"/>
          <w:sz w:val="32"/>
          <w:lang w:val="en-US" w:eastAsia="zh-CN"/>
        </w:rPr>
        <w:t>机构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，对违法行为的查处结果，及时向社会公布，形成有效震慑。对涉嫌犯罪的行为，由区</w:t>
      </w:r>
      <w:r>
        <w:rPr>
          <w:rFonts w:hint="default" w:ascii="Times New Roman" w:hAnsi="Times New Roman" w:cs="Times New Roman"/>
          <w:kern w:val="2"/>
          <w:sz w:val="32"/>
          <w:lang w:val="en-US" w:eastAsia="zh-CN"/>
        </w:rPr>
        <w:t>民政局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依法移送</w:t>
      </w:r>
      <w:r>
        <w:rPr>
          <w:rFonts w:hint="default" w:ascii="Times New Roman" w:hAnsi="Times New Roman" w:cs="Times New Roman"/>
          <w:kern w:val="2"/>
          <w:sz w:val="32"/>
          <w:lang w:val="en-US" w:eastAsia="zh-CN"/>
        </w:rPr>
        <w:t>司法机关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严肃查处。</w:t>
      </w:r>
    </w:p>
    <w:p w14:paraId="1B622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szCs w:val="22"/>
          <w:lang w:val="en-US" w:eastAsia="zh-CN"/>
        </w:rPr>
        <w:t>区民政局联系人：黄芋霖、李雨</w:t>
      </w:r>
      <w:r>
        <w:rPr>
          <w:rFonts w:hint="default" w:ascii="Times New Roman" w:hAnsi="Times New Roman" w:cs="Times New Roman"/>
          <w:color w:val="000000"/>
        </w:rPr>
        <w:t>，联系电话：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86015085</w:t>
      </w:r>
    </w:p>
    <w:p w14:paraId="0AB189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区</w:t>
      </w:r>
      <w:r>
        <w:rPr>
          <w:rFonts w:hint="default" w:ascii="Times New Roman" w:hAnsi="Times New Roman" w:cs="Times New Roman"/>
          <w:color w:val="000000"/>
        </w:rPr>
        <w:t>市场监管局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联系人：</w:t>
      </w:r>
      <w:r>
        <w:rPr>
          <w:rFonts w:hint="default" w:ascii="Times New Roman" w:hAnsi="Times New Roman" w:cs="Times New Roman"/>
          <w:color w:val="000000"/>
        </w:rPr>
        <w:t>霍昕</w:t>
      </w:r>
      <w:r>
        <w:rPr>
          <w:rFonts w:hint="default" w:ascii="Times New Roman" w:hAnsi="Times New Roman" w:cs="Times New Roman"/>
          <w:color w:val="000000"/>
        </w:rPr>
        <w:t>，联系电话：</w:t>
      </w:r>
      <w:r>
        <w:rPr>
          <w:rFonts w:hint="default" w:ascii="Times New Roman" w:hAnsi="Times New Roman" w:cs="Times New Roman"/>
          <w:color w:val="000000"/>
        </w:rPr>
        <w:t>89232026</w:t>
      </w:r>
    </w:p>
    <w:p w14:paraId="40EACB7E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2D34EB9C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19115E7F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309B1F79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2797F98A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4D2A14D6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33B6DBD4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29B0D8B2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2C7354F0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4F5628A9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57D259F7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1DCC17C8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7B5A993A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4EF400F8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53D91C90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56313971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10" w:firstLine="0" w:firstLineChars="0"/>
        <w:textAlignment w:val="auto"/>
        <w:rPr>
          <w:rFonts w:hint="default" w:ascii="Times New Roman" w:hAnsi="Times New Roman" w:cs="Times New Roman"/>
        </w:rPr>
      </w:pPr>
    </w:p>
    <w:p w14:paraId="2381E258">
      <w:pPr>
        <w:rPr>
          <w:rStyle w:val="11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7475A8E7">
      <w:pPr>
        <w:spacing w:line="560" w:lineRule="exact"/>
        <w:ind w:firstLine="268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2.3pt;height:0pt;width:434.4pt;z-index:251665408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Po+b7TAAAABwEAAA8AAAAAAAAAAQAgAAAAIgAAAGRycy9kb3ducmV2LnhtbFBLAQIUABQAAAAI&#10;AIdO4kAte5Di8gEAAOY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32.6pt;z-index:251666432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5rD00gAAAAQBAAAPAAAAAAAAAAEAIAAAACIAAABkcnMvZG93bnJldi54bWxQSwECFAAUAAAACACH&#10;TuJAUqrWif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 xml:space="preserve">重庆市渝北区民政局办公室 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8F41F">
    <w:pPr>
      <w:pStyle w:val="4"/>
      <w:tabs>
        <w:tab w:val="right" w:pos="8485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A4528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544" w:leftChars="170" w:right="544" w:rightChars="170"/>
                            <w:textAlignment w:val="auto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BA4528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544" w:leftChars="170" w:right="544" w:rightChars="170"/>
                      <w:textAlignment w:val="auto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lang w:eastAsia="zh-CN"/>
      </w:rPr>
      <w:tab/>
    </w:r>
    <w:r>
      <w:rPr>
        <w:rFonts w:hint="eastAsia"/>
        <w:sz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93A47">
    <w:pPr>
      <w:pStyle w:val="4"/>
      <w:tabs>
        <w:tab w:val="right" w:pos="8485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A45FE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544" w:leftChars="170" w:right="544" w:rightChars="17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A45FE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544" w:leftChars="170" w:right="544" w:rightChars="17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lang w:eastAsia="zh-CN"/>
      </w:rPr>
      <w:tab/>
    </w:r>
    <w:r>
      <w:rPr>
        <w:rFonts w:hint="eastAsia"/>
        <w:sz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A0034"/>
    <w:rsid w:val="034639DE"/>
    <w:rsid w:val="059052E9"/>
    <w:rsid w:val="05C76F2E"/>
    <w:rsid w:val="08060FC1"/>
    <w:rsid w:val="0C04139B"/>
    <w:rsid w:val="12B27E89"/>
    <w:rsid w:val="14C71CE9"/>
    <w:rsid w:val="178C6A75"/>
    <w:rsid w:val="19966B4E"/>
    <w:rsid w:val="1B811BC0"/>
    <w:rsid w:val="1F686234"/>
    <w:rsid w:val="254B462A"/>
    <w:rsid w:val="2653438E"/>
    <w:rsid w:val="2EE54709"/>
    <w:rsid w:val="30EA0034"/>
    <w:rsid w:val="328D6C7F"/>
    <w:rsid w:val="33C44980"/>
    <w:rsid w:val="35A91DFE"/>
    <w:rsid w:val="36A45963"/>
    <w:rsid w:val="3AB4402A"/>
    <w:rsid w:val="3B584D8A"/>
    <w:rsid w:val="3F6B1C99"/>
    <w:rsid w:val="45270356"/>
    <w:rsid w:val="4BFE3A8C"/>
    <w:rsid w:val="4EBF1AE5"/>
    <w:rsid w:val="4F1E4ECA"/>
    <w:rsid w:val="4F573008"/>
    <w:rsid w:val="4F616454"/>
    <w:rsid w:val="55D87F9B"/>
    <w:rsid w:val="5A6E2E71"/>
    <w:rsid w:val="62196D8A"/>
    <w:rsid w:val="704D374C"/>
    <w:rsid w:val="74E2681F"/>
    <w:rsid w:val="7E8E4A6F"/>
    <w:rsid w:val="7F455E43"/>
    <w:rsid w:val="8A1FFC4A"/>
    <w:rsid w:val="AAE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spacing w:after="120"/>
      <w:ind w:left="0" w:leftChars="0" w:right="0" w:rightChars="0" w:firstLine="420" w:firstLineChars="100"/>
    </w:pPr>
  </w:style>
  <w:style w:type="paragraph" w:customStyle="1" w:styleId="10">
    <w:name w:val="FootnoteText"/>
    <w:basedOn w:val="1"/>
    <w:qFormat/>
    <w:uiPriority w:val="0"/>
    <w:pPr>
      <w:snapToGrid w:val="0"/>
      <w:jc w:val="left"/>
      <w:textAlignment w:val="baseline"/>
    </w:pPr>
    <w:rPr>
      <w:rFonts w:ascii="Calibri" w:hAnsi="Calibri" w:eastAsia="宋体" w:cs="Times New Roman"/>
      <w:sz w:val="18"/>
      <w:szCs w:val="18"/>
    </w:rPr>
  </w:style>
  <w:style w:type="character" w:customStyle="1" w:styleId="11">
    <w:name w:val="NormalCharacter"/>
    <w:qFormat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2025-05-13T10:20:00Z</dcterms:created>
  <dc:creator>黄芋霖</dc:creator>
  <cp:lastModifiedBy>bgs002</cp:lastModifiedBy>
  <dcterms:modified xsi:type="dcterms:W3CDTF">2025-05-19T09:45:57Z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DC656B33BAE3404BADFD03B5EF5627B3_11</vt:lpwstr>
  </property>
  <property fmtid="{D5CDD505-2E9C-101B-9397-08002B2CF9AE}" pid="4" name="KSOTemplateDocerSaveRecord">
    <vt:lpwstr>eyJoZGlkIjoiMTY2ZTA3NzkwMDA0MTk4MmMxNDk2MmM5NDdhYTE1MDgiLCJ1c2VySWQiOiI1MTE3MTUyMzQifQ==</vt:lpwstr>
  </property>
</Properties>
</file>