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77" w:rsidRDefault="00D47277" w:rsidP="00D47277">
      <w:pPr>
        <w:overflowPunct w:val="0"/>
        <w:snapToGrid w:val="0"/>
        <w:jc w:val="left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附件1</w:t>
      </w:r>
    </w:p>
    <w:p w:rsidR="00D47277" w:rsidRDefault="00D47277" w:rsidP="00D47277">
      <w:pPr>
        <w:widowControl/>
        <w:overflowPunct w:val="0"/>
        <w:snapToGrid w:val="0"/>
        <w:spacing w:line="520" w:lineRule="exact"/>
        <w:jc w:val="center"/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</w:pPr>
    </w:p>
    <w:p w:rsidR="00D47277" w:rsidRDefault="00D47277" w:rsidP="00D47277">
      <w:pPr>
        <w:widowControl/>
        <w:overflowPunct w:val="0"/>
        <w:snapToGrid w:val="0"/>
        <w:spacing w:line="520" w:lineRule="exact"/>
        <w:jc w:val="center"/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民办非企业单位抽查名单</w:t>
      </w:r>
    </w:p>
    <w:tbl>
      <w:tblPr>
        <w:tblW w:w="9805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4563"/>
        <w:gridCol w:w="2887"/>
        <w:gridCol w:w="1100"/>
        <w:gridCol w:w="645"/>
      </w:tblGrid>
      <w:tr w:rsidR="00D47277" w:rsidTr="00700FE0">
        <w:trPr>
          <w:trHeight w:val="612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D47277" w:rsidRDefault="00D47277" w:rsidP="00700FE0">
            <w:pPr>
              <w:overflowPunct w:val="0"/>
              <w:snapToGrid w:val="0"/>
              <w:spacing w:line="36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overflowPunct w:val="0"/>
              <w:snapToGrid w:val="0"/>
              <w:spacing w:line="36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overflowPunct w:val="0"/>
              <w:snapToGrid w:val="0"/>
              <w:spacing w:line="360" w:lineRule="exact"/>
              <w:jc w:val="center"/>
              <w:rPr>
                <w:rFonts w:eastAsia="方正黑体_GBK" w:hint="eastAsia"/>
                <w:color w:val="000000"/>
                <w:sz w:val="24"/>
                <w:szCs w:val="24"/>
              </w:rPr>
            </w:pPr>
            <w:r>
              <w:rPr>
                <w:rFonts w:eastAsia="方正黑体_GBK" w:hint="eastAsia"/>
                <w:color w:val="000000"/>
                <w:sz w:val="24"/>
                <w:szCs w:val="24"/>
              </w:rPr>
              <w:t>业务主管单位</w:t>
            </w:r>
            <w:r>
              <w:rPr>
                <w:rFonts w:eastAsia="方正黑体_GBK" w:hint="eastAsia"/>
                <w:color w:val="000000"/>
                <w:sz w:val="24"/>
                <w:szCs w:val="24"/>
              </w:rPr>
              <w:t>/</w:t>
            </w:r>
          </w:p>
          <w:p w:rsidR="00D47277" w:rsidRDefault="00D47277" w:rsidP="00700FE0">
            <w:pPr>
              <w:overflowPunct w:val="0"/>
              <w:snapToGrid w:val="0"/>
              <w:spacing w:line="36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 w:hint="eastAsia"/>
                <w:color w:val="000000"/>
                <w:sz w:val="24"/>
                <w:szCs w:val="24"/>
              </w:rPr>
              <w:t>行业管理部门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overflowPunct w:val="0"/>
              <w:snapToGrid w:val="0"/>
              <w:spacing w:line="36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 w:hint="eastAsia"/>
                <w:color w:val="000000"/>
                <w:sz w:val="24"/>
                <w:szCs w:val="24"/>
              </w:rPr>
              <w:t>检查方式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overflowPunct w:val="0"/>
              <w:snapToGrid w:val="0"/>
              <w:spacing w:line="36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D47277" w:rsidTr="00700FE0">
        <w:trPr>
          <w:trHeight w:val="399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北区鹿山村宝贝幼儿园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北区教育委员会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书面检查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04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北区蓝宝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幼儿园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北区教育委员会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书面检查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13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朗途艺术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培训中心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北区教育委员会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书面检查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372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北区龙溪街道花卉园社区卫生服务站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北区卫生健康委员会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书面检查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13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北区仙桃街道金玉路社区卫生服务站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北区卫生健康委员会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书面检查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26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重庆市华服职业培训学校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北区人力资源和社会保障局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书面检查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399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北区酒类研究院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北区科学技术局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书面检查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399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渝北区义博青少年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体育俱乐部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北区体育局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书面检查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399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北区巨蟹职业培训学校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北区人力资源和社会保障局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书面检查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392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北区慧灵社会工作服务中心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北区民政局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现场检查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398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北区空港童心幼儿园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北区教育委员会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现场检查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399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北区智多星幼儿园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北区教育委员会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现场检查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89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北区中雅少年儿童艺术活动中心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北区文化和旅游发展委员会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现场检查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04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北区爱在心扉志愿服务中心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共青团重庆市渝北区委员会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现场检查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53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启典文化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艺术培训中心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北区文化和旅游发展委员会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现场检查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Calibri" w:hAnsi="Calibri"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53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北区临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空外商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投资服务中心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北区商务委员会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现场检查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Calibri" w:hAnsi="Calibri"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53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北区老年文化活动中心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北区卫生健康委员会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现场检查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Calibri" w:hAnsi="Calibri"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53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北区锦华职业培训学校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北区人力资源和社会保障局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现场检查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Calibri" w:hAnsi="Calibri"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53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北区文启书院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北区文学艺术界联合会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现场检查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Calibri" w:hAnsi="Calibri" w:hint="eastAsia"/>
                <w:color w:val="000000"/>
                <w:sz w:val="24"/>
                <w:szCs w:val="24"/>
              </w:rPr>
            </w:pPr>
          </w:p>
        </w:tc>
      </w:tr>
      <w:tr w:rsidR="00D47277" w:rsidTr="00700FE0">
        <w:trPr>
          <w:trHeight w:val="453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重庆市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北区北城书画艺术学校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渝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北区教育委员会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lang w:bidi="ar"/>
              </w:rPr>
              <w:t>现场检查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7277" w:rsidRDefault="00D47277" w:rsidP="00700FE0">
            <w:pPr>
              <w:spacing w:line="360" w:lineRule="exact"/>
              <w:jc w:val="center"/>
              <w:rPr>
                <w:rFonts w:ascii="Calibri" w:hAnsi="Calibri" w:hint="eastAsia"/>
                <w:color w:val="000000"/>
                <w:sz w:val="24"/>
                <w:szCs w:val="24"/>
              </w:rPr>
            </w:pPr>
          </w:p>
        </w:tc>
      </w:tr>
    </w:tbl>
    <w:p w:rsidR="00D47277" w:rsidRDefault="00D47277" w:rsidP="00D47277">
      <w:pPr>
        <w:snapToGrid w:val="0"/>
        <w:spacing w:line="300" w:lineRule="auto"/>
        <w:jc w:val="left"/>
      </w:pPr>
    </w:p>
    <w:p w:rsidR="00D47277" w:rsidRDefault="00D47277" w:rsidP="00D47277">
      <w:pPr>
        <w:snapToGrid w:val="0"/>
        <w:spacing w:line="300" w:lineRule="auto"/>
        <w:jc w:val="left"/>
      </w:pPr>
    </w:p>
    <w:p w:rsidR="00D47277" w:rsidRDefault="00D47277" w:rsidP="00D47277">
      <w:pPr>
        <w:pStyle w:val="a4"/>
        <w:spacing w:line="578" w:lineRule="exact"/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</w:pPr>
    </w:p>
    <w:p w:rsidR="0059654C" w:rsidRDefault="0059654C"/>
    <w:sectPr w:rsidR="00596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72"/>
    <w:rsid w:val="00284F72"/>
    <w:rsid w:val="0059654C"/>
    <w:rsid w:val="00D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72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D472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0">
    <w:name w:val="Title"/>
    <w:basedOn w:val="a"/>
    <w:next w:val="a"/>
    <w:link w:val="Char"/>
    <w:uiPriority w:val="10"/>
    <w:qFormat/>
    <w:rsid w:val="00D4727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D47277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72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D472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0">
    <w:name w:val="Title"/>
    <w:basedOn w:val="a"/>
    <w:next w:val="a"/>
    <w:link w:val="Char"/>
    <w:uiPriority w:val="10"/>
    <w:qFormat/>
    <w:rsid w:val="00D4727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D4727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杨琴</dc:creator>
  <cp:lastModifiedBy>杨琴</cp:lastModifiedBy>
  <cp:revision>2</cp:revision>
  <dcterms:created xsi:type="dcterms:W3CDTF">2024-11-06T02:38:00Z</dcterms:created>
  <dcterms:modified xsi:type="dcterms:W3CDTF">2024-11-06T02:38:00Z</dcterms:modified>
</cp:coreProperties>
</file>