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仿宋_GBK" w:cs="Times New Roman"/>
          <w:sz w:val="32"/>
          <w:szCs w:val="32"/>
        </w:rPr>
      </w:pPr>
      <w:bookmarkStart w:id="0" w:name="_GoBack"/>
      <w:bookmarkEnd w:id="0"/>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rPr>
          <w:rFonts w:hint="default"/>
        </w:rPr>
      </w:pPr>
      <w:r>
        <w:rPr>
          <w:rFonts w:hint="default" w:ascii="Times New Roman" w:hAnsi="Times New Roman" w:eastAsia="黑体" w:cs="Times New Roman"/>
          <w:bCs/>
          <w:sz w:val="44"/>
          <w:szCs w:val="44"/>
        </w:rPr>
        <w:pict>
          <v:shape id="艺术字 13" o:spid="_x0000_s2050" o:spt="136" type="#_x0000_t136" style="position:absolute;left:0pt;margin-left:16.65pt;margin-top:236.65pt;height:56.7pt;width:413.85pt;mso-position-horizontal-relative:margin;mso-position-vertical-relative:page;z-index:251663360;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3"/>
        <w:rPr>
          <w:rFonts w:hint="default" w:ascii="Times New Roman" w:hAnsi="Times New Roman" w:eastAsia="方正仿宋_GBK" w:cs="Times New Roman"/>
          <w:sz w:val="32"/>
          <w:szCs w:val="32"/>
        </w:rPr>
      </w:pPr>
    </w:p>
    <w:p>
      <w:pPr>
        <w:rPr>
          <w:rFonts w:hint="default"/>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2"/>
        <w:keepNext w:val="0"/>
        <w:keepLines w:val="0"/>
        <w:pageBreakBefore w:val="0"/>
        <w:widowControl/>
        <w:kinsoku/>
        <w:wordWrap/>
        <w:overflowPunct/>
        <w:topLinePunct w:val="0"/>
        <w:autoSpaceDE w:val="0"/>
        <w:autoSpaceDN w:val="0"/>
        <w:bidi w:val="0"/>
        <w:adjustRightInd w:val="0"/>
        <w:snapToGrid/>
        <w:spacing w:line="240" w:lineRule="exact"/>
        <w:textAlignment w:val="auto"/>
        <w:outlineLvl w:val="9"/>
        <w:rPr>
          <w:rFonts w:hint="default" w:ascii="Times New Roman" w:hAnsi="Times New Roman" w:cs="Times New Roman"/>
        </w:rPr>
      </w:pPr>
    </w:p>
    <w:p>
      <w:pPr>
        <w:tabs>
          <w:tab w:val="left" w:pos="3240"/>
        </w:tabs>
        <w:ind w:firstLine="2880" w:firstLineChars="9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62336;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DF4HXAAAACQEAAA8AAAAAAAAAAQAgAAAAIgAAAGRycy9kb3ducmV2LnhtbFBLAQIUABQAAAAI&#10;AIdO4kDj644r7gEAALgDAAAOAAAAAAAAAAEAIAAAACYBAABkcnMvZTJvRG9jLnhtbFBLBQYAAAAA&#10;BgAGAFkBAACGBQ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123</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hint="eastAsia" w:eastAsia="方正小标宋_GBK"/>
          <w:sz w:val="44"/>
          <w:szCs w:val="44"/>
          <w:lang w:eastAsia="zh-CN"/>
        </w:rPr>
      </w:pPr>
      <w:r>
        <w:rPr>
          <w:rFonts w:eastAsia="方正小标宋_GBK"/>
          <w:sz w:val="44"/>
          <w:szCs w:val="44"/>
        </w:rPr>
        <w:t>重庆市</w:t>
      </w:r>
      <w:r>
        <w:rPr>
          <w:rFonts w:hint="eastAsia" w:eastAsia="方正小标宋_GBK"/>
          <w:sz w:val="44"/>
          <w:szCs w:val="44"/>
          <w:lang w:eastAsia="zh-CN"/>
        </w:rPr>
        <w:t>渝北区民政局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9"/>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关于学习</w:t>
      </w:r>
      <w:r>
        <w:rPr>
          <w:rFonts w:hint="eastAsia" w:ascii="Times New Roman" w:hAnsi="Times New Roman" w:eastAsia="方正小标宋_GBK"/>
          <w:color w:val="000000" w:themeColor="text1"/>
          <w:sz w:val="44"/>
          <w:szCs w:val="44"/>
          <w:lang w:eastAsia="zh-CN"/>
          <w14:textFill>
            <w14:solidFill>
              <w14:schemeClr w14:val="tx1"/>
            </w14:solidFill>
          </w14:textFill>
        </w:rPr>
        <w:t>宣传</w:t>
      </w:r>
      <w:r>
        <w:rPr>
          <w:rFonts w:hint="eastAsia" w:ascii="Times New Roman" w:hAnsi="Times New Roman" w:eastAsia="方正小标宋_GBK"/>
          <w:color w:val="000000" w:themeColor="text1"/>
          <w:sz w:val="44"/>
          <w:szCs w:val="44"/>
          <w14:textFill>
            <w14:solidFill>
              <w14:schemeClr w14:val="tx1"/>
            </w14:solidFill>
          </w14:textFill>
        </w:rPr>
        <w:t>贯彻</w:t>
      </w:r>
      <w:r>
        <w:rPr>
          <w:rFonts w:hint="eastAsia" w:ascii="Times New Roman" w:hAnsi="Times New Roman" w:eastAsia="方正小标宋_GBK"/>
          <w:color w:val="000000" w:themeColor="text1"/>
          <w:sz w:val="44"/>
          <w:szCs w:val="44"/>
          <w:lang w:eastAsia="zh-CN"/>
          <w14:textFill>
            <w14:solidFill>
              <w14:schemeClr w14:val="tx1"/>
            </w14:solidFill>
          </w14:textFill>
        </w:rPr>
        <w:t>《重庆市慈善条例》</w:t>
      </w:r>
      <w:r>
        <w:rPr>
          <w:rFonts w:hint="eastAsia" w:ascii="Times New Roman" w:hAnsi="Times New Roman" w:eastAsia="方正小标宋_GBK"/>
          <w:color w:val="000000" w:themeColor="text1"/>
          <w:sz w:val="44"/>
          <w:szCs w:val="44"/>
          <w14:textFill>
            <w14:solidFill>
              <w14:schemeClr w14:val="tx1"/>
            </w14:solidFill>
          </w14:textFill>
        </w:rPr>
        <w:t>的通知</w:t>
      </w:r>
    </w:p>
    <w:p>
      <w:pPr>
        <w:pStyle w:val="9"/>
        <w:keepNext w:val="0"/>
        <w:keepLines w:val="0"/>
        <w:pageBreakBefore w:val="0"/>
        <w:widowControl/>
        <w:kinsoku/>
        <w:wordWrap/>
        <w:overflowPunct/>
        <w:topLinePunct w:val="0"/>
        <w:autoSpaceDE/>
        <w:autoSpaceDN/>
        <w:bidi w:val="0"/>
        <w:adjustRightInd w:val="0"/>
        <w:snapToGrid w:val="0"/>
        <w:spacing w:line="400" w:lineRule="exact"/>
        <w:textAlignment w:val="auto"/>
        <w:outlineLvl w:val="9"/>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center"/>
        <w:outlineLvl w:val="9"/>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pP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各</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镇</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人民政府、各街道办事处，有关单位：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outlineLvl w:val="9"/>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pPr>
      <w:r>
        <w:rPr>
          <w:rFonts w:hint="eastAsia" w:ascii="方正仿宋_GBK" w:hAnsi="方正仿宋_GBK" w:eastAsia="方正仿宋_GBK" w:cs="方正仿宋_GBK"/>
          <w:kern w:val="0"/>
          <w:sz w:val="32"/>
          <w:szCs w:val="32"/>
          <w:lang w:val="en-US" w:eastAsia="zh-CN"/>
        </w:rPr>
        <w:t>《重庆市慈善条例》（以下称条例）已于2022年7月22日经重庆市第五届人民代表大会常务委员会第三十五次会议通过，于2022年9月1日起施行</w:t>
      </w:r>
      <w:r>
        <w:rPr>
          <w:rFonts w:hint="eastAsia" w:ascii="方正仿宋_GBK" w:hAnsi="方正仿宋_GBK" w:eastAsia="方正仿宋_GBK" w:cs="方正仿宋_GBK"/>
          <w:sz w:val="32"/>
          <w:szCs w:val="32"/>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为</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了</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抓好《条例》学习宣传贯彻执行</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，现将有关事项通知如下</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center"/>
        <w:outlineLvl w:val="9"/>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sectPr>
          <w:pgSz w:w="11906" w:h="16838"/>
          <w:pgMar w:top="2098" w:right="1474" w:bottom="1814" w:left="1587" w:header="851" w:footer="992" w:gutter="0"/>
          <w:pgNumType w:fmt="numberInDash"/>
          <w:cols w:space="425" w:num="1"/>
          <w:docGrid w:type="lines" w:linePitch="312" w:charSpace="0"/>
        </w:sectPr>
      </w:pPr>
      <w:r>
        <w:rPr>
          <w:rStyle w:val="12"/>
          <w:rFonts w:hint="eastAsia" w:ascii="Times New Roman" w:hAnsi="Times New Roman" w:eastAsia="方正黑体_GBK" w:cs="Times New Roman"/>
          <w:b w:val="0"/>
          <w:bCs/>
          <w:color w:val="000000" w:themeColor="text1"/>
          <w:sz w:val="32"/>
          <w:szCs w:val="32"/>
          <w:shd w:val="clear" w:color="auto" w:fill="FFFFFF"/>
          <w:lang w:eastAsia="zh-CN"/>
          <w14:textFill>
            <w14:solidFill>
              <w14:schemeClr w14:val="tx1"/>
            </w14:solidFill>
          </w14:textFill>
        </w:rPr>
        <w:t>一、</w:t>
      </w:r>
      <w:r>
        <w:rPr>
          <w:rStyle w:val="12"/>
          <w:rFonts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充分认识</w:t>
      </w:r>
      <w:r>
        <w:rPr>
          <w:rStyle w:val="12"/>
          <w:rFonts w:hint="eastAsia" w:ascii="Times New Roman" w:hAnsi="Times New Roman" w:eastAsia="方正黑体_GBK" w:cs="Times New Roman"/>
          <w:b w:val="0"/>
          <w:bCs/>
          <w:color w:val="000000" w:themeColor="text1"/>
          <w:sz w:val="32"/>
          <w:szCs w:val="32"/>
          <w:shd w:val="clear" w:color="auto" w:fill="FFFFFF"/>
          <w:lang w:eastAsia="zh-CN"/>
          <w14:textFill>
            <w14:solidFill>
              <w14:schemeClr w14:val="tx1"/>
            </w14:solidFill>
          </w14:textFill>
        </w:rPr>
        <w:t>《条例》</w:t>
      </w:r>
      <w:r>
        <w:rPr>
          <w:rStyle w:val="12"/>
          <w:rFonts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的重要意义。</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《重庆市慈善条例》深入贯彻习近平总书记对慈善工作的重要指示批示精神，突出问题</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导向，坚持促进与监管并重</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推动补齐</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我市</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慈善领域短板，提升慈善公信力和影响力。</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条例</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的颁布实施，将推动我市慈善工作机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center"/>
        <w:outlineLvl w:val="9"/>
        <w:rPr>
          <w:rFonts w:hint="eastAsia"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制健全，规范慈善组织管理和慈善活动，推进慈善组织发展和慈善人才建设，浓厚慈善氛围，</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繁荣慈善文化，</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激发慈善活力，</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为全面建设社会主义现代化国家和实现党的第二个百年奋斗目标凝聚强大力量。</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对全市</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慈善事业</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发展具有开创意义、历史意义、指导意义</w:t>
      </w:r>
      <w:r>
        <w:rPr>
          <w:rFonts w:hint="eastAsia" w:ascii="Times New Roman" w:hAnsi="Times New Roman" w:eastAsia="方正仿宋_GBK" w:cs="Times New Roman"/>
          <w:color w:val="000000"/>
          <w:kern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center"/>
        <w:outlineLvl w:val="9"/>
        <w:rPr>
          <w:rFonts w:ascii="Times New Roman" w:hAnsi="Times New Roman" w:eastAsia="方正仿宋_GBK" w:cs="Times New Roman"/>
          <w:color w:val="000000"/>
          <w:sz w:val="32"/>
          <w:szCs w:val="32"/>
          <w:shd w:val="clear" w:color="auto" w:fill="FFFFFF"/>
        </w:rPr>
      </w:pPr>
      <w:r>
        <w:rPr>
          <w:rStyle w:val="12"/>
          <w:rFonts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二、全面组织</w:t>
      </w:r>
      <w:r>
        <w:rPr>
          <w:rStyle w:val="12"/>
          <w:rFonts w:hint="eastAsia" w:ascii="Times New Roman" w:hAnsi="Times New Roman" w:eastAsia="方正黑体_GBK" w:cs="Times New Roman"/>
          <w:b w:val="0"/>
          <w:bCs/>
          <w:color w:val="000000" w:themeColor="text1"/>
          <w:sz w:val="32"/>
          <w:szCs w:val="32"/>
          <w:shd w:val="clear" w:color="auto" w:fill="FFFFFF"/>
          <w:lang w:eastAsia="zh-CN"/>
          <w14:textFill>
            <w14:solidFill>
              <w14:schemeClr w14:val="tx1"/>
            </w14:solidFill>
          </w14:textFill>
        </w:rPr>
        <w:t>《条例》</w:t>
      </w:r>
      <w:r>
        <w:rPr>
          <w:rStyle w:val="12"/>
          <w:rFonts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的学习宣传。</w:t>
      </w:r>
      <w:r>
        <w:rPr>
          <w:rFonts w:hint="eastAsia" w:ascii="Times New Roman" w:hAnsi="Times New Roman" w:eastAsia="方正仿宋_GBK" w:cs="Times New Roman"/>
          <w:color w:val="000000"/>
          <w:sz w:val="32"/>
          <w:szCs w:val="32"/>
          <w:highlight w:val="none"/>
          <w:shd w:val="clear" w:color="auto" w:fill="FFFFFF"/>
          <w:lang w:val="en-US" w:eastAsia="zh-CN"/>
        </w:rPr>
        <w:t>有计划有组织的开展条例的学习宣传，</w:t>
      </w:r>
      <w:r>
        <w:rPr>
          <w:rFonts w:hint="eastAsia" w:ascii="Times New Roman" w:hAnsi="Times New Roman" w:eastAsia="方正仿宋_GBK" w:cs="Times New Roman"/>
          <w:color w:val="000000"/>
          <w:sz w:val="32"/>
          <w:szCs w:val="32"/>
          <w:shd w:val="clear" w:color="auto" w:fill="FFFFFF"/>
          <w:lang w:eastAsia="zh-CN"/>
        </w:rPr>
        <w:t>将《中</w:t>
      </w:r>
      <w:r>
        <w:rPr>
          <w:rFonts w:hint="eastAsia" w:ascii="Times New Roman" w:hAnsi="Times New Roman" w:eastAsia="方正仿宋_GBK" w:cs="Times New Roman"/>
          <w:color w:val="000000"/>
          <w:sz w:val="32"/>
          <w:szCs w:val="32"/>
          <w:highlight w:val="none"/>
          <w:shd w:val="clear" w:color="auto" w:fill="FFFFFF"/>
          <w:lang w:eastAsia="zh-CN"/>
        </w:rPr>
        <w:t>华人民共和国慈善法》</w:t>
      </w:r>
      <w:r>
        <w:rPr>
          <w:rFonts w:ascii="Times New Roman" w:hAnsi="Times New Roman" w:eastAsia="方正仿宋_GBK" w:cs="Times New Roman"/>
          <w:color w:val="000000"/>
          <w:sz w:val="32"/>
          <w:szCs w:val="32"/>
          <w:highlight w:val="none"/>
          <w:shd w:val="clear" w:color="auto" w:fill="FFFFFF"/>
        </w:rPr>
        <w:t>纳入</w:t>
      </w:r>
      <w:r>
        <w:rPr>
          <w:rFonts w:hint="eastAsia"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学习范畴之内</w:t>
      </w:r>
      <w:r>
        <w:rPr>
          <w:rFonts w:ascii="Times New Roman" w:hAnsi="Times New Roman" w:eastAsia="方正仿宋_GBK" w:cs="Times New Roman"/>
          <w:color w:val="000000"/>
          <w:sz w:val="32"/>
          <w:szCs w:val="32"/>
          <w:highlight w:val="none"/>
          <w:shd w:val="clear" w:color="auto" w:fill="FFFFFF"/>
        </w:rPr>
        <w:t>，</w:t>
      </w:r>
      <w:r>
        <w:rPr>
          <w:rFonts w:hint="eastAsia" w:ascii="Times New Roman" w:hAnsi="Times New Roman" w:eastAsia="方正仿宋_GBK" w:cs="Times New Roman"/>
          <w:color w:val="000000"/>
          <w:sz w:val="32"/>
          <w:szCs w:val="32"/>
          <w:shd w:val="clear" w:color="auto" w:fill="FFFFFF"/>
          <w:lang w:eastAsia="zh-CN"/>
        </w:rPr>
        <w:t>通过发放宣传册、专题培训、知识竞赛等，用好大屏幕、网络媒体等宣传阵地，联合第七个“中华慈善日”和第一个“重庆慈善周”系列活动，打出学习宣传慈善法的“组合拳”，营造浓厚氛围。推动慈善法进机关、进企业、进社区、进校园等，迅速掀起学习热潮，促进条例的普及和运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center"/>
        <w:outlineLvl w:val="9"/>
        <w:rPr>
          <w:rFonts w:hint="eastAsia" w:ascii="Times New Roman" w:hAnsi="Times New Roman" w:eastAsia="方正仿宋_GBK" w:cs="Times New Roman"/>
          <w:color w:val="000000"/>
          <w:sz w:val="32"/>
          <w:szCs w:val="32"/>
          <w:shd w:val="clear" w:color="auto" w:fill="FFFFFF"/>
          <w:lang w:eastAsia="zh-CN"/>
        </w:rPr>
      </w:pPr>
      <w:r>
        <w:rPr>
          <w:rStyle w:val="12"/>
          <w:rFonts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三、</w:t>
      </w:r>
      <w:r>
        <w:rPr>
          <w:rStyle w:val="12"/>
          <w:rFonts w:hint="eastAsia" w:ascii="Times New Roman" w:hAnsi="Times New Roman" w:eastAsia="方正黑体_GBK" w:cs="Times New Roman"/>
          <w:b w:val="0"/>
          <w:bCs/>
          <w:color w:val="000000" w:themeColor="text1"/>
          <w:sz w:val="32"/>
          <w:szCs w:val="32"/>
          <w:shd w:val="clear" w:color="auto" w:fill="FFFFFF"/>
          <w:lang w:eastAsia="zh-CN"/>
          <w14:textFill>
            <w14:solidFill>
              <w14:schemeClr w14:val="tx1"/>
            </w14:solidFill>
          </w14:textFill>
        </w:rPr>
        <w:t>扎实</w:t>
      </w:r>
      <w:r>
        <w:rPr>
          <w:rStyle w:val="12"/>
          <w:rFonts w:hint="eastAsia"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推动</w:t>
      </w:r>
      <w:r>
        <w:rPr>
          <w:rStyle w:val="12"/>
          <w:rFonts w:hint="eastAsia" w:ascii="Times New Roman" w:hAnsi="Times New Roman" w:eastAsia="方正黑体_GBK" w:cs="Times New Roman"/>
          <w:b w:val="0"/>
          <w:bCs/>
          <w:color w:val="000000" w:themeColor="text1"/>
          <w:sz w:val="32"/>
          <w:szCs w:val="32"/>
          <w:shd w:val="clear" w:color="auto" w:fill="FFFFFF"/>
          <w:lang w:eastAsia="zh-CN"/>
          <w14:textFill>
            <w14:solidFill>
              <w14:schemeClr w14:val="tx1"/>
            </w14:solidFill>
          </w14:textFill>
        </w:rPr>
        <w:t>《条例》的见行见效</w:t>
      </w:r>
      <w:r>
        <w:rPr>
          <w:rStyle w:val="12"/>
          <w:rFonts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w:t>
      </w:r>
      <w:r>
        <w:rPr>
          <w:rStyle w:val="12"/>
          <w:rFonts w:hint="eastAsia" w:ascii="方正仿宋_GBK" w:hAnsi="方正仿宋_GBK" w:eastAsia="方正仿宋_GBK" w:cs="方正仿宋_GBK"/>
          <w:b w:val="0"/>
          <w:bCs/>
          <w:color w:val="000000" w:themeColor="text1"/>
          <w:sz w:val="32"/>
          <w:szCs w:val="32"/>
          <w:highlight w:val="none"/>
          <w:shd w:val="clear" w:color="auto" w:fill="FFFFFF"/>
          <w:lang w:eastAsia="zh-CN"/>
          <w14:textFill>
            <w14:solidFill>
              <w14:schemeClr w14:val="tx1"/>
            </w14:solidFill>
          </w14:textFill>
        </w:rPr>
        <w:t>我们</w:t>
      </w: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要把贯彻</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落实</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条例</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作为全面推进新时代</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慈善</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事业高质量发展的</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重要抓手和根本遵循，确保我区慈善工作规范运行、有效监管、健康发展。渝北区红十字会、渝北区慈善会、渝北区恩三公益服务中心等慈善组织要严格按照条例运行管理，依法依规做好募捐、资金管理使用、公开公示、制度建立、年检等工作。相关部门要履行监督管理职责，大力支持慈善发展，</w:t>
      </w:r>
      <w:r>
        <w:rPr>
          <w:rFonts w:hint="eastAsia" w:ascii="Times New Roman" w:hAnsi="Times New Roman" w:eastAsia="方正仿宋_GBK" w:cs="Times New Roman"/>
          <w:color w:val="000000"/>
          <w:sz w:val="32"/>
          <w:szCs w:val="32"/>
          <w:shd w:val="clear" w:color="auto" w:fill="FFFFFF"/>
          <w:lang w:eastAsia="zh-CN"/>
        </w:rPr>
        <w:t>有效发挥慈善在第三次分配中的作用，帮扶困难群体，促进</w:t>
      </w:r>
      <w:r>
        <w:rPr>
          <w:rFonts w:hint="default" w:ascii="Times New Roman" w:hAnsi="Times New Roman" w:eastAsia="方正仿宋_GBK" w:cs="Times New Roman"/>
          <w:color w:val="000000"/>
          <w:sz w:val="32"/>
          <w:szCs w:val="32"/>
          <w:shd w:val="clear" w:color="auto" w:fill="FFFFFF"/>
          <w:lang w:eastAsia="zh-CN"/>
        </w:rPr>
        <w:t>共同富裕</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各</w:t>
      </w:r>
      <w:r>
        <w:rPr>
          <w:rFonts w:hint="eastAsia" w:ascii="Times New Roman" w:hAnsi="Times New Roman" w:eastAsia="方正仿宋_GBK" w:cs="Times New Roman"/>
          <w:color w:val="000000" w:themeColor="text1"/>
          <w:kern w:val="0"/>
          <w:sz w:val="32"/>
          <w:szCs w:val="32"/>
          <w:shd w:val="clear" w:color="auto" w:fill="FFFFFF"/>
          <w14:textFill>
            <w14:solidFill>
              <w14:schemeClr w14:val="tx1"/>
            </w14:solidFill>
          </w14:textFill>
        </w:rPr>
        <w:t>镇街</w:t>
      </w:r>
      <w:r>
        <w:rPr>
          <w:rFonts w:ascii="Times New Roman" w:hAnsi="Times New Roman" w:eastAsia="方正仿宋_GBK" w:cs="Times New Roman"/>
          <w:color w:val="000000"/>
          <w:sz w:val="32"/>
          <w:szCs w:val="32"/>
          <w:shd w:val="clear" w:color="auto" w:fill="FFFFFF"/>
        </w:rPr>
        <w:t>要</w:t>
      </w:r>
      <w:r>
        <w:rPr>
          <w:rFonts w:hint="eastAsia" w:ascii="Times New Roman" w:hAnsi="Times New Roman" w:eastAsia="方正仿宋_GBK" w:cs="Times New Roman"/>
          <w:color w:val="000000"/>
          <w:sz w:val="32"/>
          <w:szCs w:val="32"/>
          <w:shd w:val="clear" w:color="auto" w:fill="FFFFFF"/>
          <w:lang w:eastAsia="zh-CN"/>
        </w:rPr>
        <w:t>切实加强业务学习，在积极培育慈善组织、志愿者组织、社会组织、激励措施、项目策划等方面想办法，找思路，增强五社联动。相关部门、团体、组织等</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要加强工作联系，通力配合，</w:t>
      </w:r>
      <w:r>
        <w:rPr>
          <w:rFonts w:hint="eastAsia" w:ascii="Times New Roman" w:hAnsi="Times New Roman" w:eastAsia="方正仿宋_GBK" w:cs="Times New Roman"/>
          <w:color w:val="000000"/>
          <w:sz w:val="32"/>
          <w:szCs w:val="32"/>
          <w:shd w:val="clear" w:color="auto" w:fill="FFFFFF"/>
          <w:lang w:eastAsia="zh-CN"/>
        </w:rPr>
        <w:t>切实促进条例贯彻落实。要齐力营造人人知晓慈善，人人参与慈善，人人享受慈善的社会环境，不断增强我区慈善工作的生命力和服务力，促进我区慈善事业蓬勃发展。</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center"/>
        <w:outlineLvl w:val="9"/>
        <w:rPr>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center"/>
        <w:outlineLvl w:val="9"/>
        <w:rPr>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shd w:val="clear" w:color="auto" w:fill="FFFFFF"/>
          <w:lang w:eastAsia="zh-CN"/>
          <w14:textFill>
            <w14:solidFill>
              <w14:schemeClr w14:val="tx1"/>
            </w14:solidFill>
          </w14:textFill>
        </w:rPr>
        <w:t>附件：《重庆市慈善条例》</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center"/>
        <w:outlineLvl w:val="9"/>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center"/>
        <w:outlineLvl w:val="9"/>
        <w:rPr>
          <w:rFonts w:hint="eastAsia" w:ascii="Times New Roman" w:hAnsi="Times New Roman" w:eastAsia="方正仿宋_GBK" w:cs="Times New Roman"/>
          <w:color w:val="000000"/>
          <w:sz w:val="32"/>
          <w:szCs w:val="32"/>
          <w:shd w:val="clear" w:color="auto" w:fill="FFFFFF"/>
          <w:lang w:eastAsia="zh-CN"/>
        </w:rPr>
      </w:pPr>
    </w:p>
    <w:p>
      <w:pPr>
        <w:keepNext w:val="0"/>
        <w:keepLines w:val="0"/>
        <w:pageBreakBefore w:val="0"/>
        <w:kinsoku/>
        <w:wordWrap/>
        <w:overflowPunct w:val="0"/>
        <w:topLinePunct w:val="0"/>
        <w:autoSpaceDE/>
        <w:autoSpaceDN/>
        <w:bidi w:val="0"/>
        <w:snapToGrid w:val="0"/>
        <w:spacing w:line="560" w:lineRule="exact"/>
        <w:jc w:val="center"/>
        <w:outlineLvl w:val="9"/>
        <w:rPr>
          <w:rFonts w:hint="eastAsia" w:eastAsia="方正仿宋_GBK"/>
          <w:color w:val="000000" w:themeColor="text1"/>
          <w:sz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重庆市</w:t>
      </w:r>
      <w:r>
        <w:rPr>
          <w:rFonts w:hint="eastAsia" w:eastAsia="方正仿宋_GBK"/>
          <w:color w:val="000000" w:themeColor="text1"/>
          <w:sz w:val="32"/>
          <w:szCs w:val="32"/>
          <w:lang w:eastAsia="zh-CN"/>
          <w14:textFill>
            <w14:solidFill>
              <w14:schemeClr w14:val="tx1"/>
            </w14:solidFill>
          </w14:textFill>
        </w:rPr>
        <w:t>渝北区民政局</w:t>
      </w:r>
    </w:p>
    <w:p>
      <w:pPr>
        <w:keepNext w:val="0"/>
        <w:keepLines w:val="0"/>
        <w:pageBreakBefore w:val="0"/>
        <w:kinsoku/>
        <w:wordWrap/>
        <w:overflowPunct w:val="0"/>
        <w:topLinePunct w:val="0"/>
        <w:autoSpaceDE/>
        <w:autoSpaceDN/>
        <w:bidi w:val="0"/>
        <w:snapToGrid w:val="0"/>
        <w:spacing w:line="560" w:lineRule="exact"/>
        <w:ind w:firstLine="5760" w:firstLineChars="1800"/>
        <w:outlineLvl w:val="9"/>
        <w:rPr>
          <w:rFonts w:hint="eastAsia" w:ascii="方正仿宋_GBK" w:hAnsi="方正仿宋_GBK" w:eastAsia="方正仿宋_GBK" w:cs="方正仿宋_GBK"/>
          <w:color w:val="000000" w:themeColor="text1"/>
          <w:sz w:val="44"/>
          <w:szCs w:val="44"/>
          <w14:textFill>
            <w14:solidFill>
              <w14:schemeClr w14:val="tx1"/>
            </w14:solidFill>
          </w14:textFill>
        </w:rPr>
      </w:pPr>
      <w:r>
        <w:rPr>
          <w:rFonts w:hint="eastAsia" w:ascii="方正仿宋_GBK" w:hAnsi="方正仿宋_GBK" w:eastAsia="方正仿宋_GBK" w:cs="方正仿宋_GBK"/>
          <w:color w:val="000000" w:themeColor="text1"/>
          <w:sz w:val="32"/>
          <w14:textFill>
            <w14:solidFill>
              <w14:schemeClr w14:val="tx1"/>
            </w14:solidFill>
          </w14:textFill>
        </w:rPr>
        <w:t>20</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32"/>
          <w14:textFill>
            <w14:solidFill>
              <w14:schemeClr w14:val="tx1"/>
            </w14:solidFill>
          </w14:textFill>
        </w:rPr>
        <w:t>年</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14:textFill>
            <w14:solidFill>
              <w14:schemeClr w14:val="tx1"/>
            </w14:solidFill>
          </w14:textFill>
        </w:rPr>
        <w:t>月</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14:textFill>
            <w14:solidFill>
              <w14:schemeClr w14:val="tx1"/>
            </w14:solidFill>
          </w14:textFill>
        </w:rPr>
        <w:t>日</w:t>
      </w:r>
    </w:p>
    <w:p>
      <w:pPr>
        <w:keepNext w:val="0"/>
        <w:keepLines w:val="0"/>
        <w:pageBreakBefore w:val="0"/>
        <w:kinsoku/>
        <w:wordWrap/>
        <w:topLinePunct w:val="0"/>
        <w:autoSpaceDE/>
        <w:autoSpaceDN/>
        <w:bidi w:val="0"/>
        <w:adjustRightInd w:val="0"/>
        <w:snapToGrid w:val="0"/>
        <w:spacing w:line="560" w:lineRule="exact"/>
        <w:ind w:firstLine="640" w:firstLineChars="200"/>
        <w:textAlignment w:val="center"/>
        <w:outlineLvl w:val="9"/>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960" w:firstLineChars="300"/>
        <w:textAlignment w:val="center"/>
        <w:outlineLvl w:val="9"/>
        <w:rPr>
          <w:rFonts w:hint="eastAsia" w:ascii="Times New Roman" w:hAnsi="Times New Roman" w:eastAsia="方正仿宋_GBK" w:cs="Times New Roman"/>
          <w:color w:val="000000"/>
          <w:sz w:val="32"/>
          <w:szCs w:val="32"/>
          <w:shd w:val="clear" w:color="auto" w:fill="FFFFFF"/>
          <w:lang w:eastAsia="zh-CN"/>
        </w:rPr>
      </w:pPr>
      <w:r>
        <w:rPr>
          <w:rFonts w:hint="eastAsia" w:ascii="Times New Roman" w:hAnsi="Times New Roman" w:eastAsia="方正仿宋_GBK" w:cs="Times New Roman"/>
          <w:color w:val="000000"/>
          <w:sz w:val="32"/>
          <w:szCs w:val="32"/>
          <w:shd w:val="clear" w:color="auto" w:fill="FFFFFF"/>
          <w:lang w:eastAsia="zh-CN"/>
        </w:rPr>
        <w:t>（此件公开发布）</w:t>
      </w: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hint="eastAsia" w:ascii="Times New Roman" w:hAnsi="Times New Roman" w:eastAsia="方正小标宋_GBK" w:cs="Times New Roman"/>
          <w:color w:val="000000"/>
          <w:sz w:val="44"/>
          <w:szCs w:val="44"/>
          <w:lang w:bidi="ar"/>
        </w:rPr>
      </w:pPr>
    </w:p>
    <w:p>
      <w:pPr>
        <w:keepNext w:val="0"/>
        <w:keepLines w:val="0"/>
        <w:pageBreakBefore w:val="0"/>
        <w:kinsoku/>
        <w:wordWrap/>
        <w:topLinePunct w:val="0"/>
        <w:autoSpaceDE/>
        <w:autoSpaceDN/>
        <w:bidi w:val="0"/>
        <w:spacing w:line="560" w:lineRule="exact"/>
        <w:jc w:val="center"/>
        <w:outlineLvl w:val="9"/>
        <w:rPr>
          <w:rFonts w:ascii="Times New Roman" w:hAnsi="Times New Roman" w:eastAsia="方正小标宋_GBK" w:cs="Times New Roman"/>
          <w:color w:val="000000"/>
          <w:sz w:val="44"/>
          <w:szCs w:val="44"/>
          <w:lang w:bidi="ar"/>
        </w:rPr>
      </w:pPr>
      <w:r>
        <w:rPr>
          <w:rFonts w:hint="eastAsia" w:ascii="Times New Roman" w:hAnsi="Times New Roman" w:eastAsia="方正小标宋_GBK" w:cs="Times New Roman"/>
          <w:color w:val="000000"/>
          <w:sz w:val="44"/>
          <w:szCs w:val="44"/>
          <w:lang w:bidi="ar"/>
        </w:rPr>
        <w:t>重庆市慈善条例</w:t>
      </w:r>
    </w:p>
    <w:p>
      <w:pPr>
        <w:keepNext w:val="0"/>
        <w:keepLines w:val="0"/>
        <w:pageBreakBefore w:val="0"/>
        <w:kinsoku/>
        <w:wordWrap/>
        <w:topLinePunct w:val="0"/>
        <w:autoSpaceDE/>
        <w:autoSpaceDN/>
        <w:bidi w:val="0"/>
        <w:spacing w:line="560" w:lineRule="exact"/>
        <w:jc w:val="center"/>
        <w:outlineLvl w:val="9"/>
        <w:rPr>
          <w:rFonts w:ascii="Times New Roman" w:hAnsi="Times New Roman" w:eastAsia="方正楷体_GBK" w:cs="Times New Roman"/>
          <w:color w:val="000000"/>
          <w:sz w:val="32"/>
          <w:szCs w:val="32"/>
          <w:lang w:bidi="ar"/>
        </w:rPr>
      </w:pPr>
    </w:p>
    <w:p>
      <w:pPr>
        <w:keepNext w:val="0"/>
        <w:keepLines w:val="0"/>
        <w:pageBreakBefore w:val="0"/>
        <w:kinsoku/>
        <w:wordWrap/>
        <w:topLinePunct w:val="0"/>
        <w:autoSpaceDE/>
        <w:autoSpaceDN/>
        <w:bidi w:val="0"/>
        <w:spacing w:line="560" w:lineRule="exact"/>
        <w:jc w:val="center"/>
        <w:outlineLvl w:val="9"/>
        <w:rPr>
          <w:rFonts w:ascii="Times New Roman" w:hAnsi="Times New Roman" w:eastAsia="方正楷体_GBK" w:cs="Times New Roman"/>
          <w:color w:val="000000"/>
          <w:sz w:val="32"/>
          <w:szCs w:val="32"/>
          <w:lang w:bidi="ar"/>
        </w:rPr>
      </w:pPr>
      <w:r>
        <w:rPr>
          <w:rFonts w:hint="eastAsia" w:ascii="Times New Roman" w:hAnsi="Times New Roman" w:eastAsia="方正楷体_GBK" w:cs="Times New Roman"/>
          <w:color w:val="000000"/>
          <w:sz w:val="32"/>
          <w:szCs w:val="32"/>
          <w:lang w:bidi="ar"/>
        </w:rPr>
        <w:t>（202</w:t>
      </w:r>
      <w:r>
        <w:rPr>
          <w:rFonts w:ascii="Times New Roman" w:hAnsi="Times New Roman" w:eastAsia="方正楷体_GBK" w:cs="Times New Roman"/>
          <w:color w:val="000000"/>
          <w:sz w:val="32"/>
          <w:szCs w:val="32"/>
          <w:lang w:bidi="ar"/>
        </w:rPr>
        <w:t>2</w:t>
      </w:r>
      <w:r>
        <w:rPr>
          <w:rFonts w:hint="eastAsia" w:ascii="Times New Roman" w:hAnsi="Times New Roman" w:eastAsia="方正楷体_GBK" w:cs="Times New Roman"/>
          <w:color w:val="000000"/>
          <w:sz w:val="32"/>
          <w:szCs w:val="32"/>
          <w:lang w:bidi="ar"/>
        </w:rPr>
        <w:t>年</w:t>
      </w:r>
      <w:r>
        <w:rPr>
          <w:rFonts w:ascii="Times New Roman" w:hAnsi="Times New Roman" w:eastAsia="方正楷体_GBK" w:cs="Times New Roman"/>
          <w:color w:val="000000"/>
          <w:sz w:val="32"/>
          <w:szCs w:val="32"/>
          <w:lang w:bidi="ar"/>
        </w:rPr>
        <w:t>7</w:t>
      </w:r>
      <w:r>
        <w:rPr>
          <w:rFonts w:hint="eastAsia" w:ascii="Times New Roman" w:hAnsi="Times New Roman" w:eastAsia="方正楷体_GBK" w:cs="Times New Roman"/>
          <w:color w:val="000000"/>
          <w:sz w:val="32"/>
          <w:szCs w:val="32"/>
          <w:lang w:bidi="ar"/>
        </w:rPr>
        <w:t>月</w:t>
      </w:r>
      <w:r>
        <w:rPr>
          <w:rFonts w:ascii="Times New Roman" w:hAnsi="Times New Roman" w:eastAsia="方正楷体_GBK" w:cs="Times New Roman"/>
          <w:color w:val="000000"/>
          <w:sz w:val="32"/>
          <w:szCs w:val="32"/>
          <w:lang w:bidi="ar"/>
        </w:rPr>
        <w:t>22</w:t>
      </w:r>
      <w:r>
        <w:rPr>
          <w:rFonts w:hint="eastAsia" w:ascii="Times New Roman" w:hAnsi="Times New Roman" w:eastAsia="方正楷体_GBK" w:cs="Times New Roman"/>
          <w:color w:val="000000"/>
          <w:sz w:val="32"/>
          <w:szCs w:val="32"/>
          <w:lang w:bidi="ar"/>
        </w:rPr>
        <w:t>日重庆市第五届人民代表大会常务委员会第三十五次会议通过）</w:t>
      </w:r>
    </w:p>
    <w:p>
      <w:pPr>
        <w:keepNext w:val="0"/>
        <w:keepLines w:val="0"/>
        <w:pageBreakBefore w:val="0"/>
        <w:kinsoku/>
        <w:wordWrap/>
        <w:topLinePunct w:val="0"/>
        <w:autoSpaceDE/>
        <w:autoSpaceDN/>
        <w:bidi w:val="0"/>
        <w:spacing w:line="560" w:lineRule="exact"/>
        <w:ind w:left="210" w:right="210"/>
        <w:outlineLvl w:val="9"/>
        <w:rPr>
          <w:rFonts w:ascii="Times New Roman" w:hAnsi="Times New Roman" w:eastAsia="方正仿宋_GBK" w:cs="Times New Roman"/>
          <w:szCs w:val="20"/>
        </w:rPr>
      </w:pPr>
    </w:p>
    <w:p>
      <w:pPr>
        <w:keepNext w:val="0"/>
        <w:keepLines w:val="0"/>
        <w:pageBreakBefore w:val="0"/>
        <w:kinsoku/>
        <w:wordWrap/>
        <w:topLinePunct w:val="0"/>
        <w:autoSpaceDE/>
        <w:autoSpaceDN/>
        <w:bidi w:val="0"/>
        <w:spacing w:line="560" w:lineRule="exact"/>
        <w:ind w:firstLine="640" w:firstLineChars="200"/>
        <w:outlineLvl w:val="9"/>
        <w:rPr>
          <w:rFonts w:ascii="方正仿宋_GBK" w:hAnsi="方正仿宋_GBK" w:eastAsia="方正仿宋_GBK" w:cs="方正仿宋_GBK"/>
          <w:color w:val="000000"/>
          <w:sz w:val="32"/>
          <w:szCs w:val="32"/>
        </w:rPr>
      </w:pPr>
      <w:r>
        <w:rPr>
          <w:rFonts w:hint="eastAsia" w:ascii="Times New Roman" w:hAnsi="Times New Roman" w:eastAsia="方正黑体_GBK" w:cs="Times New Roman"/>
          <w:color w:val="000000"/>
          <w:sz w:val="32"/>
          <w:szCs w:val="32"/>
          <w:lang w:bidi="ar"/>
        </w:rPr>
        <w:t>第一条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为</w:t>
      </w:r>
      <w:r>
        <w:rPr>
          <w:rFonts w:hint="eastAsia" w:ascii="方正仿宋_GBK" w:hAnsi="方正仿宋_GBK" w:eastAsia="方正仿宋_GBK" w:cs="方正仿宋_GBK"/>
          <w:color w:val="000000"/>
          <w:sz w:val="32"/>
          <w:szCs w:val="32"/>
          <w:lang w:bidi="ar"/>
        </w:rPr>
        <w:t>了发展慈善事业，弘扬慈善文化，规范慈善活动，保护慈善活动参与者的合法权益，培育和践行社会主义核心价值观，促进社会进步，共享发展成果，</w:t>
      </w:r>
      <w:r>
        <w:rPr>
          <w:rFonts w:hint="eastAsia" w:ascii="方正仿宋_GBK" w:hAnsi="方正仿宋_GBK" w:eastAsia="方正仿宋_GBK" w:cs="方正仿宋_GBK"/>
          <w:color w:val="000000"/>
          <w:kern w:val="0"/>
          <w:sz w:val="32"/>
          <w:szCs w:val="32"/>
          <w:lang w:bidi="ar"/>
        </w:rPr>
        <w:t>根据《中华人民共和国慈善法》等法律、行政法规，结合本市实际，制定本条例。</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在本市行政区域内开展慈善活动以及与慈善有关的活动，适用本条例。法律、行政法规另有规定或者本市地方性法规有特别规定的，适用其规定。</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第三条</w:t>
      </w:r>
      <w:r>
        <w:rPr>
          <w:rFonts w:ascii="Times New Roman" w:hAnsi="Times New Roman" w:eastAsia="方正仿宋_GBK" w:cs="Times New Roman"/>
          <w:color w:val="000000"/>
          <w:sz w:val="32"/>
          <w:szCs w:val="32"/>
          <w:lang w:bidi="ar"/>
        </w:rPr>
        <w:t xml:space="preserve"> </w:t>
      </w:r>
      <w:r>
        <w:rPr>
          <w:rFonts w:ascii="Times New Roman" w:hAnsi="Times New Roman" w:eastAsia="方正仿宋_GBK" w:cs="Times New Roman"/>
          <w:color w:val="000000"/>
          <w:sz w:val="32"/>
          <w:szCs w:val="32"/>
          <w:lang w:val="en" w:bidi="ar"/>
        </w:rPr>
        <w:t xml:space="preserve"> </w:t>
      </w:r>
      <w:r>
        <w:rPr>
          <w:rFonts w:hint="eastAsia" w:ascii="Times New Roman" w:hAnsi="Times New Roman" w:eastAsia="方正仿宋_GBK" w:cs="Times New Roman"/>
          <w:color w:val="000000"/>
          <w:sz w:val="32"/>
          <w:szCs w:val="32"/>
          <w:lang w:bidi="ar"/>
        </w:rPr>
        <w:t>慈善</w:t>
      </w:r>
      <w:r>
        <w:rPr>
          <w:rFonts w:hint="eastAsia" w:ascii="方正仿宋_GBK" w:hAnsi="方正仿宋_GBK" w:eastAsia="方正仿宋_GBK" w:cs="方正仿宋_GBK"/>
          <w:color w:val="000000"/>
          <w:sz w:val="32"/>
          <w:szCs w:val="32"/>
          <w:lang w:bidi="ar"/>
        </w:rPr>
        <w:t>工作必须坚持中国共产党的领导。开展慈善活动应当遵循合法、自愿、诚信和非</w:t>
      </w:r>
      <w:r>
        <w:rPr>
          <w:rFonts w:hint="eastAsia" w:ascii="Times New Roman" w:hAnsi="Times New Roman" w:eastAsia="方正仿宋_GBK" w:cs="Times New Roman"/>
          <w:color w:val="000000"/>
          <w:sz w:val="32"/>
          <w:szCs w:val="32"/>
          <w:lang w:bidi="ar"/>
        </w:rPr>
        <w:t>营利的原则，不得违背社会公德、危害国家安全、损害社会公共利益和他人合法权益。</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第四条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市、区县（自治县）人民政府应当将慈善事业发展纳入国民经济和社会发展规划，制定促进慈善事业发展的政策和措施，建立健全慈善工作协调机制。</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乡镇人</w:t>
      </w:r>
      <w:r>
        <w:rPr>
          <w:rFonts w:hint="eastAsia" w:ascii="方正仿宋_GBK" w:hAnsi="方正仿宋_GBK" w:eastAsia="方正仿宋_GBK" w:cs="方正仿宋_GBK"/>
          <w:color w:val="000000"/>
          <w:sz w:val="32"/>
          <w:szCs w:val="32"/>
          <w:lang w:bidi="ar"/>
        </w:rPr>
        <w:t>民政府、街道办事处负责落实辖区内的相关慈善工作，促进村（社区）慈善事业发展，引</w:t>
      </w:r>
      <w:r>
        <w:rPr>
          <w:rFonts w:hint="eastAsia" w:ascii="Times New Roman" w:hAnsi="Times New Roman" w:eastAsia="方正仿宋_GBK" w:cs="Times New Roman"/>
          <w:color w:val="000000"/>
          <w:sz w:val="32"/>
          <w:szCs w:val="32"/>
          <w:lang w:bidi="ar"/>
        </w:rPr>
        <w:t>导村民、居民参与慈善活动。</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第五条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市、区县（自治县）民政部门主管本行政区域内的慈善工作。</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教育部门负责指导开展慈善文化教育，引导青少年参与力所能及的慈善活动。</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财政、税务部门负责落实对慈善组织、捐赠人、受益人的税费优惠政策。</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新闻出版等部门负责指导新闻媒体开展慈善公益宣传，传播慈善典型，弘扬慈善文化。</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发展改革、公安、人力社保、住房城乡建设、城市管理、交通、卫生健康、文化旅游、应急、审计、市场监管、医疗保障、网信、民族宗教等部门依法在各自的职责范围内开展慈善相关工作。</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rPr>
        <w:t>工会、共青团、妇联、残联、工商联等群团组织应当结合各自职责协助开展慈善相关工作。</w:t>
      </w:r>
    </w:p>
    <w:p>
      <w:pPr>
        <w:keepNext w:val="0"/>
        <w:keepLines w:val="0"/>
        <w:pageBreakBefore w:val="0"/>
        <w:kinsoku/>
        <w:wordWrap/>
        <w:topLinePunct w:val="0"/>
        <w:autoSpaceDE/>
        <w:autoSpaceDN/>
        <w:bidi w:val="0"/>
        <w:spacing w:line="560" w:lineRule="exact"/>
        <w:ind w:firstLine="640" w:firstLineChars="200"/>
        <w:outlineLvl w:val="9"/>
        <w:rPr>
          <w:rFonts w:ascii="方正仿宋_GBK" w:hAnsi="方正仿宋_GBK" w:eastAsia="方正仿宋_GBK" w:cs="方正仿宋_GBK"/>
          <w:color w:val="000000"/>
          <w:sz w:val="32"/>
          <w:szCs w:val="32"/>
        </w:rPr>
      </w:pPr>
      <w:r>
        <w:rPr>
          <w:rFonts w:hint="eastAsia" w:ascii="Times New Roman" w:hAnsi="Times New Roman" w:eastAsia="方正黑体_GBK" w:cs="Times New Roman"/>
          <w:color w:val="000000"/>
          <w:sz w:val="32"/>
          <w:szCs w:val="32"/>
          <w:lang w:bidi="ar"/>
        </w:rPr>
        <w:t>第六条</w:t>
      </w:r>
      <w:r>
        <w:rPr>
          <w:rFonts w:ascii="Times New Roman" w:hAnsi="Times New Roman" w:eastAsia="方正仿宋_GBK" w:cs="Times New Roman"/>
          <w:color w:val="000000"/>
          <w:sz w:val="32"/>
          <w:szCs w:val="32"/>
          <w:lang w:bidi="ar"/>
        </w:rPr>
        <w:t xml:space="preserve">  </w:t>
      </w:r>
      <w:r>
        <w:rPr>
          <w:rFonts w:hint="eastAsia" w:ascii="方正仿宋_GBK" w:hAnsi="方正仿宋_GBK" w:eastAsia="方正仿宋_GBK" w:cs="方正仿宋_GBK"/>
          <w:color w:val="000000"/>
          <w:sz w:val="32"/>
          <w:szCs w:val="32"/>
          <w:lang w:bidi="ar"/>
        </w:rPr>
        <w:t>每年</w:t>
      </w:r>
      <w:r>
        <w:rPr>
          <w:rFonts w:ascii="Times New Roman" w:hAnsi="Times New Roman" w:eastAsia="方正仿宋_GBK" w:cs="Times New Roman"/>
          <w:color w:val="000000"/>
          <w:sz w:val="32"/>
          <w:szCs w:val="32"/>
          <w:lang w:bidi="ar"/>
        </w:rPr>
        <w:t>9</w:t>
      </w:r>
      <w:r>
        <w:rPr>
          <w:rFonts w:hint="eastAsia" w:ascii="Times New Roman" w:hAnsi="Times New Roman" w:eastAsia="方正仿宋_GBK" w:cs="Times New Roman"/>
          <w:color w:val="000000"/>
          <w:sz w:val="32"/>
          <w:szCs w:val="32"/>
          <w:lang w:bidi="ar"/>
        </w:rPr>
        <w:t>月</w:t>
      </w:r>
      <w:r>
        <w:rPr>
          <w:rFonts w:ascii="Times New Roman" w:hAnsi="Times New Roman" w:eastAsia="方正仿宋_GBK" w:cs="Times New Roman"/>
          <w:color w:val="000000"/>
          <w:sz w:val="32"/>
          <w:szCs w:val="32"/>
          <w:lang w:bidi="ar"/>
        </w:rPr>
        <w:t>5</w:t>
      </w:r>
      <w:r>
        <w:rPr>
          <w:rFonts w:hint="eastAsia" w:ascii="Times New Roman" w:hAnsi="Times New Roman" w:eastAsia="方正仿宋_GBK" w:cs="Times New Roman"/>
          <w:color w:val="000000"/>
          <w:sz w:val="32"/>
          <w:szCs w:val="32"/>
          <w:lang w:bidi="ar"/>
        </w:rPr>
        <w:t>日</w:t>
      </w:r>
      <w:r>
        <w:rPr>
          <w:rFonts w:hint="eastAsia" w:ascii="方正仿宋_GBK" w:hAnsi="方正仿宋_GBK" w:eastAsia="方正仿宋_GBK" w:cs="方正仿宋_GBK"/>
          <w:color w:val="000000"/>
          <w:sz w:val="32"/>
          <w:szCs w:val="32"/>
          <w:lang w:bidi="ar"/>
        </w:rPr>
        <w:t>“中华慈善日”所在周为“重庆慈善周”，相关部门、单位和慈善组织应当集中开展慈善宣传，推动慈善活动深入机关、企事业单位、城乡社区和家庭。</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第七条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慈善组织应当依法登记或者认定。</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慈善组织应当依照法律法规和章程的规定开展慈善活动，履行下列义务：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（一）建立健全内部治理结构，明确决策、执行、监督等方面的职责权限；</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（二）执行国家统一的会计制度，依法开展会计核算，建立健全会计监督制度，并接受政府有关部门的监督管理；</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（三）建立健全公开募捐、定向募</w:t>
      </w:r>
      <w:r>
        <w:rPr>
          <w:rFonts w:hint="eastAsia" w:ascii="方正仿宋_GBK" w:hAnsi="方正仿宋_GBK" w:eastAsia="方正仿宋_GBK" w:cs="方正仿宋_GBK"/>
          <w:color w:val="000000"/>
          <w:sz w:val="32"/>
          <w:szCs w:val="32"/>
          <w:lang w:bidi="ar"/>
        </w:rPr>
        <w:t>捐制度，严格募捐程序，维护募捐对象合法权益，不得欺骗、诱导、强迫募捐对象捐</w:t>
      </w:r>
      <w:r>
        <w:rPr>
          <w:rFonts w:hint="eastAsia" w:ascii="Times New Roman" w:hAnsi="Times New Roman" w:eastAsia="方正仿宋_GBK" w:cs="Times New Roman"/>
          <w:color w:val="000000"/>
          <w:sz w:val="32"/>
          <w:szCs w:val="32"/>
          <w:lang w:bidi="ar"/>
        </w:rPr>
        <w:t>赠；</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（四）建立健全慈善捐赠制度，依法签订并履行捐赠协议，维护捐赠人合法权益；</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（五）建立健全捐赠财产接受、保值增值、专项基金管理、关联交易、重大投资、费用支出和管理、剩余资产处置等财产管理使用制度，加强财产管理；</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（六）建立健全项目管理制度，对慈善项目实施情况进行跟踪监督；</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（七）建立健全档案管理制</w:t>
      </w:r>
      <w:r>
        <w:rPr>
          <w:rFonts w:hint="eastAsia" w:ascii="方正仿宋_GBK" w:hAnsi="方正仿宋_GBK" w:eastAsia="方正仿宋_GBK" w:cs="方正仿宋_GBK"/>
          <w:color w:val="000000"/>
          <w:sz w:val="32"/>
          <w:szCs w:val="32"/>
          <w:lang w:bidi="ar"/>
        </w:rPr>
        <w:t>度，开展慈善项目和</w:t>
      </w:r>
      <w:r>
        <w:rPr>
          <w:rFonts w:hint="eastAsia" w:ascii="Times New Roman" w:hAnsi="Times New Roman" w:eastAsia="方正仿宋_GBK" w:cs="Times New Roman"/>
          <w:color w:val="000000"/>
          <w:sz w:val="32"/>
          <w:szCs w:val="32"/>
          <w:lang w:bidi="ar"/>
        </w:rPr>
        <w:t>专项基金档案等资料的收集、整理、保管和使用工作；</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（八）建立健全信息公开制度，明确信息公开的范围、方式和责任，并依法向社会公开；</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（九）按照国家规定报送年度工作报告和财务会计报告；</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（十）法律法规规定的其他义务。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履行前款规定义务的情况，应当作为评估慈善组织的重要内容。</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第八条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民政部门、其他相关部门应当依法加强对慈善组织和慈善活动的日常监督检查、重大慈善项目的专项检查，重点监督检查慈善组织募捐活动、财产管理使用、信息公开等事项。根据监督检查需要，可以委托社会审计机构对慈善组织的财务收支、业务活动等情况进行审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市、区县（自治县）民政部门应当加强慈善信托备案和相关监督管理工作。金融监督管理机构应当根据职责，加强对信托公司慈善信托业务和商业银行慈善信托账户资金保管业务的监督管理工作。</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财政、税务部门应当依法对慈善组织的财务会计、享受税收优惠和使用公益事业捐赠票据等情况进行监督管理。</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第九条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鼓励社会力量兴办慈善组织，引导自然人、法人和非法人组织积极参与慈善事业。</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市、区县（自治县）人民政府及有关部门和单位支持引导慈善组织发展，可以采取下列措施：</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（一）通过孵化培育、人员培训、公益创投、项目指导等方式，为慈善组织能力建设提供服务；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（二）依法通过购买服务等方式，支持符合条件的慈善组织向社会提供服务；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（三）鼓励慈善组</w:t>
      </w:r>
      <w:r>
        <w:rPr>
          <w:rFonts w:hint="eastAsia" w:ascii="方正仿宋_GBK" w:hAnsi="方正仿宋_GBK" w:eastAsia="方正仿宋_GBK" w:cs="方正仿宋_GBK"/>
          <w:color w:val="000000"/>
          <w:sz w:val="32"/>
          <w:szCs w:val="32"/>
          <w:lang w:bidi="ar"/>
        </w:rPr>
        <w:t>织依法兴办非营</w:t>
      </w:r>
      <w:r>
        <w:rPr>
          <w:rFonts w:hint="eastAsia" w:ascii="Times New Roman" w:hAnsi="Times New Roman" w:eastAsia="方正仿宋_GBK" w:cs="Times New Roman"/>
          <w:color w:val="000000"/>
          <w:sz w:val="32"/>
          <w:szCs w:val="32"/>
          <w:lang w:bidi="ar"/>
        </w:rPr>
        <w:t>利性的医疗、教育、养老、托幼、助残、应急救援、生态环境保护、心理健康等方面社会服务机构；</w:t>
      </w:r>
      <w:r>
        <w:rPr>
          <w:rFonts w:ascii="Times New Roman" w:hAnsi="Times New Roman" w:eastAsia="方正仿宋_GBK" w:cs="Times New Roman"/>
          <w:color w:val="000000"/>
          <w:sz w:val="32"/>
          <w:szCs w:val="32"/>
          <w:lang w:bidi="ar"/>
        </w:rPr>
        <w:t xml:space="preserve"> </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（四）简化办事流程，为慈善活动提供便利；</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（五）法律法规规定的其他措施。</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慈善组织通过互联网开展公开募捐的，应当在国务院民政部门指定的信息平台发布公开募捐信息，并可以同时在其网站、移动客户端等网络平台发布公开募捐信息。</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鼓励慈善组织运用大数据、云计算、区块链等技术，创新慈善活动载体，开发网络慈善项目，增强慈善募捐能力。</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市、区县（自治县）民政部门应当依法加强对慈善组织利用互联网平台发布公开募捐信息的监督管理。</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第十一条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个人为解决本人、家庭成员或者近亲属重大疾病、意外伤害等困难的需要，可以向慈善组织或者所在单位、城乡社区组织等求助，也可以向社会求助。求助人应当对求助信息的真实性负责，不得以虚构事实、夸大困难等方式欺骗、诱导他人捐赠。</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个人求助的，求助人应当合理确定求助上限，公开受助款物用途以及剩余款物处理方式等内容。受助款物达到求助上限、求助目的已经实现或者受助情况发生变化不再需要救助时，求助人或者相关人员应当及时发布不再接受捐赠的信息。</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广播、电视、报刊以及网络服务提供者、电</w:t>
      </w:r>
      <w:r>
        <w:rPr>
          <w:rFonts w:hint="eastAsia" w:ascii="方正仿宋_GBK" w:hAnsi="方正仿宋_GBK" w:eastAsia="方正仿宋_GBK" w:cs="方正仿宋_GBK"/>
          <w:color w:val="000000"/>
          <w:sz w:val="32"/>
          <w:szCs w:val="32"/>
          <w:lang w:bidi="ar"/>
        </w:rPr>
        <w:t>信运营商等应当</w:t>
      </w:r>
      <w:r>
        <w:rPr>
          <w:rFonts w:hint="eastAsia" w:ascii="Times New Roman" w:hAnsi="Times New Roman" w:eastAsia="方正仿宋_GBK" w:cs="Times New Roman"/>
          <w:color w:val="000000"/>
          <w:sz w:val="32"/>
          <w:szCs w:val="32"/>
          <w:lang w:bidi="ar"/>
        </w:rPr>
        <w:t>对发布的个人求助信息的真实性进行核实，并在显著位置向公众进行风险防范提示，告知其信息不属于慈善公开募捐信息；发现求助人有虚构事实等违法行为的，应当停止提供服务，采取必要措施消除、降低影响，并向公安、民政等有关部门报告，协助调查处理。</w:t>
      </w:r>
    </w:p>
    <w:p>
      <w:pPr>
        <w:keepNext w:val="0"/>
        <w:keepLines w:val="0"/>
        <w:pageBreakBefore w:val="0"/>
        <w:kinsoku/>
        <w:wordWrap/>
        <w:topLinePunct w:val="0"/>
        <w:autoSpaceDE/>
        <w:autoSpaceDN/>
        <w:bidi w:val="0"/>
        <w:spacing w:line="560" w:lineRule="exact"/>
        <w:ind w:firstLine="640" w:firstLineChars="200"/>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bidi="ar"/>
        </w:rPr>
        <w:t>不具有公开募捐资格的组织或者个人不得利用个人求助实施公开募捐行为。</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第十二条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发生重大自然灾害、事故灾难和公共卫生事件等突发事件时，市、区县（自治县）人民政府应当将慈善活动纳入突发事件应对体系，建立协调机制，统筹慈善资源，提供需求信息，畅通捐赠物资收储、调配、通关、运输、发放的便捷通道，引导各类慈善力量开展募捐、接受捐赠、救助、志愿服务等慈善活动，有序参与突发事件应对处置。</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sz w:val="32"/>
          <w:szCs w:val="32"/>
          <w:lang w:bidi="ar"/>
        </w:rPr>
        <w:t>慈善组织应当根据市、区县（自治县）人民政府及有关部门提供的需求信息，依法开展应对突发事件的慈善募捐活动，</w:t>
      </w:r>
      <w:r>
        <w:rPr>
          <w:rFonts w:hint="eastAsia" w:ascii="Times New Roman" w:hAnsi="Times New Roman" w:eastAsia="方正仿宋_GBK" w:cs="Times New Roman"/>
          <w:color w:val="000000"/>
          <w:kern w:val="0"/>
          <w:sz w:val="32"/>
          <w:szCs w:val="32"/>
          <w:lang w:bidi="ar"/>
        </w:rPr>
        <w:t>及时公开慈善捐赠款物的募捐、接受和使用等信息，并接受社会监督。</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鼓励和支持自然人、法人和非法人组织有序参与应对突发事件的慈善活动。</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sz w:val="32"/>
          <w:szCs w:val="32"/>
          <w:lang w:bidi="ar"/>
        </w:rPr>
        <w:t>第十三条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自然人、法人和非法人组织开展演出、比赛、销售、拍卖等经营性活动，承诺将全部或者部分所得用于慈善目的的，应当遵守下列规定：</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（一）在举办活动前与慈善组织或者其他接受捐赠的人签订书面捐赠协议，并不得指定</w:t>
      </w:r>
      <w:r>
        <w:rPr>
          <w:rFonts w:hint="eastAsia" w:ascii="Times New Roman" w:hAnsi="Times New Roman" w:eastAsia="方正仿宋_GBK" w:cs="Times New Roman"/>
          <w:color w:val="000000"/>
          <w:sz w:val="32"/>
          <w:szCs w:val="32"/>
          <w:lang w:bidi="ar"/>
        </w:rPr>
        <w:t>捐赠人的</w:t>
      </w:r>
      <w:r>
        <w:rPr>
          <w:rFonts w:hint="eastAsia" w:ascii="Times New Roman" w:hAnsi="Times New Roman" w:eastAsia="方正仿宋_GBK" w:cs="Times New Roman"/>
          <w:color w:val="000000"/>
          <w:kern w:val="0"/>
          <w:sz w:val="32"/>
          <w:szCs w:val="32"/>
          <w:lang w:bidi="ar"/>
        </w:rPr>
        <w:t>利害关系人作为受益人；</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（二）在捐赠协议中明确约定经营性活动所得用于捐赠的具体比例或者金额、用途以及履行时限等；</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（三）对外宣传应当符合捐赠协议的约定，不得有虚假或者引人误解的内容；</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lang w:bidi="ar"/>
        </w:rPr>
        <w:t>（四）按照捐赠协议履行捐赠义务，并在活动结束后三个月内或者按照捐赠协议的约定时限将捐赠情况向社会公开。</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黑体_GBK" w:cs="Times New Roman"/>
          <w:color w:val="000000"/>
          <w:sz w:val="32"/>
          <w:szCs w:val="32"/>
          <w:lang w:bidi="ar"/>
        </w:rPr>
        <w:t>第十四条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kern w:val="0"/>
          <w:sz w:val="32"/>
          <w:szCs w:val="32"/>
          <w:lang w:bidi="ar"/>
        </w:rPr>
        <w:t>慈善组织应当按照募捐方案或者捐赠协议依法使用捐赠财产。</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慈善组织确需变更募捐方案规定的捐赠财产用途的，应当报民政部门备案。</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rPr>
        <w:t>慈善组织确需变更捐赠协议约定的捐赠财产用途的，应当事先征得捐赠人的同意；无法联系到捐赠人的，应当将变更捐赠财产用途等信息在全国慈善信息公开平台上公告，公告时间不得少于六十日。捐赠财产有保质期限要求的，视情况缩短公告时间。</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第十五条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市、区县（自治县）人民政府可以根据经济社会发展情况引导、规范和促进慈善信托发展。</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strike/>
          <w:color w:val="000000"/>
          <w:sz w:val="32"/>
          <w:szCs w:val="32"/>
        </w:rPr>
      </w:pPr>
      <w:r>
        <w:rPr>
          <w:rFonts w:hint="eastAsia" w:ascii="Times New Roman" w:hAnsi="Times New Roman" w:eastAsia="方正仿宋_GBK" w:cs="Times New Roman"/>
          <w:color w:val="000000"/>
          <w:sz w:val="32"/>
          <w:szCs w:val="32"/>
        </w:rPr>
        <w:t>鼓励、支持社会各界运用慈善信托方式参与慈善活动。支持设立以扶弱济困和促进生态环境保护、教育、科学等事业发展为目的的慈善信托。</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第十六条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慈善组织应当合理设计慈善项目，科学控制运行成本，优化管理和监督流程。对已完成的慈善项目可以委托第三方专业机构或者自行组织开展项目评估，评估结果应当在慈善组织年度工作报告中载明，并向社会公开。</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民政部门可以对前款规定的慈善项目开展评估。</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第十七条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鼓励、支持慈善组织吸纳社会工作专业人才开展扶老托幼、生态环境保护、基层治理等领域的慈善服务。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鼓励、支持</w:t>
      </w:r>
      <w:r>
        <w:rPr>
          <w:rFonts w:hint="eastAsia" w:ascii="Times New Roman" w:hAnsi="Times New Roman" w:eastAsia="方正仿宋_GBK" w:cs="Times New Roman"/>
          <w:color w:val="000000"/>
          <w:sz w:val="32"/>
          <w:szCs w:val="32"/>
          <w:lang w:bidi="ar"/>
        </w:rPr>
        <w:t>机关</w:t>
      </w:r>
      <w:r>
        <w:rPr>
          <w:rFonts w:hint="eastAsia" w:ascii="Times New Roman" w:hAnsi="Times New Roman" w:eastAsia="方正仿宋_GBK" w:cs="Times New Roman"/>
          <w:color w:val="000000"/>
          <w:kern w:val="0"/>
          <w:sz w:val="32"/>
          <w:szCs w:val="32"/>
          <w:lang w:bidi="ar"/>
        </w:rPr>
        <w:t>、企事业单位、社会组织等成立志愿服务队伍，开展慈善服务。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鼓励、支持具备专业知识、技能的志愿者开展慈善服务。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鼓励、支持青少年开展与其年龄、文化程度、技能和身体状况相适应的的慈善服务。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鼓励高等院校、中等职业学校将学生参加慈善服务情况纳入实践学分管理。</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第十八条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开展慈善服务，应当尊重捐赠人、受益人、志愿者的人格尊严，不得侵害其隐私。未经捐赠人、受益人、志愿者同意，不得公开或者泄露其有关信息，不得向其收取或者变相收取报酬。</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rPr>
      </w:pPr>
      <w:r>
        <w:rPr>
          <w:rFonts w:hint="eastAsia" w:ascii="Times New Roman" w:hAnsi="Times New Roman" w:eastAsia="方正黑体_GBK" w:cs="Times New Roman"/>
          <w:color w:val="000000"/>
          <w:sz w:val="32"/>
          <w:szCs w:val="32"/>
          <w:lang w:bidi="ar"/>
        </w:rPr>
        <w:t>第十九条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慈善组织应当在全国慈善信息公开平台依法公布基本信息、年度工作报告和财务会计报告、公开募捐情况、慈善项目有关情况、慈善信托有关情况、重大资产变动及投资、重大交换交易及资金往来、关联交易行为以及法律法规要求公开的其他信息。信息公开不得侵犯国家秘密、商业秘密和个人隐私。具有公开募捐资格的慈善组织的财务会计报告须经审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sz w:val="32"/>
          <w:szCs w:val="32"/>
        </w:rPr>
        <w:t>具有公开募捐资格的慈善组织应当</w:t>
      </w:r>
      <w:r>
        <w:rPr>
          <w:rFonts w:hint="eastAsia" w:ascii="Times New Roman" w:hAnsi="Times New Roman" w:eastAsia="方正仿宋_GBK" w:cs="Times New Roman"/>
          <w:color w:val="000000"/>
          <w:kern w:val="0"/>
          <w:sz w:val="32"/>
          <w:szCs w:val="32"/>
          <w:lang w:bidi="ar"/>
        </w:rPr>
        <w:t>通过全国慈善信息公开平台定期向社会公开募捐情况和慈善项目实施情况。</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黑体_GBK" w:cs="Times New Roman"/>
          <w:color w:val="000000"/>
          <w:kern w:val="0"/>
          <w:sz w:val="32"/>
          <w:szCs w:val="32"/>
          <w:lang w:bidi="ar"/>
        </w:rPr>
        <w:t>第二十条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本市支持慈善文化建设，搭建慈善文化传承、发展平台，开展慈善理论研究，培育巴渝慈善文化品牌，鼓励将慈善文化纳入企业文化建设。</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color w:val="000000"/>
          <w:kern w:val="0"/>
          <w:sz w:val="32"/>
          <w:szCs w:val="32"/>
          <w:lang w:bidi="ar"/>
        </w:rPr>
        <w:t>学校等教育机构应当将慈善教育纳入德育教学内容，通过慈善文本、绘本、音像作品等多种形式传授慈善知识，弘扬中华民族慈善文化。</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sz w:val="32"/>
          <w:szCs w:val="32"/>
        </w:rPr>
      </w:pPr>
      <w:r>
        <w:rPr>
          <w:rFonts w:hint="eastAsia" w:ascii="Times New Roman" w:hAnsi="Times New Roman" w:eastAsia="方正仿宋_GBK" w:cs="Times New Roman"/>
          <w:color w:val="000000"/>
          <w:kern w:val="0"/>
          <w:sz w:val="32"/>
          <w:szCs w:val="32"/>
          <w:lang w:bidi="ar"/>
        </w:rPr>
        <w:t>广播、电视、报刊、互联网等媒体应当积极开展慈善公益宣传活动，普及慈善知识，传播慈善文化</w:t>
      </w:r>
      <w:r>
        <w:rPr>
          <w:rFonts w:hint="eastAsia" w:ascii="Times New Roman" w:hAnsi="Times New Roman" w:eastAsia="方正仿宋_GBK" w:cs="Times New Roman"/>
          <w:color w:val="000000"/>
          <w:sz w:val="32"/>
          <w:szCs w:val="32"/>
        </w:rPr>
        <w:t>。</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第二十一条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市、区县（自治县）人民政府应当支持慈善从业人员专业化、职业化发展。</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bidi="ar"/>
        </w:rPr>
        <w:t>鼓励高等院校、中等职业学校与慈善组织合作建立慈善从业人员培养、培训基地。</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第二十二条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财政、民政、税务部门应当加大慈善捐赠税费减免政策宣传，优化办理流程，提高服务效率，依法确认、及时更新具有非营利性组织免税资格、公益性捐赠税前扣除资格的慈善组织名单，并向社会公告。</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慈善组织及其取得的收入，受益人接受慈善捐赠，自然人、法人和非法人组织捐赠财产用于慈善活动，依法享受税收优惠。</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捐赠人向慈善组织捐赠实物、有价证券、股权和知识产权，依法免征权利转让的相关行政事业性费用。慈善组织公益性建设和服务项目，依法减免有关行政事业性费用。</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仿宋_GBK" w:cs="Times New Roman"/>
          <w:color w:val="000000"/>
          <w:sz w:val="32"/>
          <w:szCs w:val="32"/>
          <w:lang w:bidi="ar"/>
        </w:rPr>
        <w:t>开展慈善活动的自然人、法人和非法人组织参与抢险救灾任务的，相关保障按照国家和本市有关规定执行。</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第二十三条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鼓励和支持慈善组织采取协议委托、公益招投标、联合劝募、公益创投等方式与有服务专长的组织开展合作，提高款物的募集能力和使用效益。</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lang w:bidi="ar"/>
        </w:rPr>
        <w:t>鼓励慈善组织和社会力量通过资金物资支持、志愿服务等形式依法参与乡村振兴。</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第二十四条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鼓励金融机构为慈善财产提供保值增值、保险保障等服务。</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鼓励广播、电视、报刊、互联网等媒体以及会展中心、体育场馆、影剧院、文化宫、公园、商场等场所，为开展慈善活动或者开展慈善宣传提供场地、减免费用或者给予其他便利。</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鼓励律师事务所、会计师事务所以及评估、鉴定、公证等机构为慈善活动提供服务时减免费用。</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bidi="ar"/>
        </w:rPr>
        <w:t>第二十五条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经受益人同意，捐赠人对其捐赠的慈善项目可以冠名纪念，法律法规规定需要批准的，</w:t>
      </w:r>
      <w:r>
        <w:rPr>
          <w:rFonts w:hint="eastAsia" w:ascii="Times New Roman" w:hAnsi="Times New Roman" w:eastAsia="方正仿宋_GBK" w:cs="Times New Roman"/>
          <w:color w:val="000000"/>
          <w:sz w:val="32"/>
          <w:szCs w:val="32"/>
        </w:rPr>
        <w:t>适用</w:t>
      </w:r>
      <w:r>
        <w:rPr>
          <w:rFonts w:hint="eastAsia" w:ascii="Times New Roman" w:hAnsi="Times New Roman" w:eastAsia="方正仿宋_GBK" w:cs="Times New Roman"/>
          <w:color w:val="000000"/>
          <w:sz w:val="32"/>
          <w:szCs w:val="32"/>
          <w:lang w:bidi="ar"/>
        </w:rPr>
        <w:t>其规定。</w:t>
      </w:r>
    </w:p>
    <w:p>
      <w:pPr>
        <w:keepNext w:val="0"/>
        <w:keepLines w:val="0"/>
        <w:pageBreakBefore w:val="0"/>
        <w:kinsoku/>
        <w:wordWrap/>
        <w:topLinePunct w:val="0"/>
        <w:autoSpaceDE/>
        <w:autoSpaceDN/>
        <w:bidi w:val="0"/>
        <w:spacing w:line="560" w:lineRule="exact"/>
        <w:ind w:firstLine="640" w:firstLineChars="200"/>
        <w:jc w:val="left"/>
        <w:outlineLvl w:val="9"/>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bidi="ar"/>
        </w:rPr>
        <w:t>捐赠人可以与受益人、接受捐赠的</w:t>
      </w:r>
      <w:r>
        <w:rPr>
          <w:rFonts w:hint="eastAsia" w:ascii="方正仿宋_GBK" w:hAnsi="方正仿宋_GBK" w:eastAsia="方正仿宋_GBK" w:cs="方正仿宋_GBK"/>
          <w:color w:val="000000"/>
          <w:kern w:val="0"/>
          <w:sz w:val="32"/>
          <w:szCs w:val="32"/>
          <w:lang w:bidi="ar"/>
        </w:rPr>
        <w:t>慈善组织等依法签订书面</w:t>
      </w:r>
      <w:r>
        <w:rPr>
          <w:rFonts w:hint="eastAsia" w:ascii="Times New Roman" w:hAnsi="Times New Roman" w:eastAsia="方正仿宋_GBK" w:cs="Times New Roman"/>
          <w:color w:val="000000"/>
          <w:kern w:val="0"/>
          <w:sz w:val="32"/>
          <w:szCs w:val="32"/>
          <w:lang w:bidi="ar"/>
        </w:rPr>
        <w:t>协议，对冠名捐赠的设立和取消条件、方式、期限等作出约定。</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kern w:val="0"/>
          <w:sz w:val="32"/>
          <w:szCs w:val="32"/>
          <w:lang w:bidi="ar"/>
        </w:rPr>
      </w:pPr>
      <w:r>
        <w:rPr>
          <w:rFonts w:hint="eastAsia" w:ascii="Times New Roman" w:hAnsi="Times New Roman" w:eastAsia="方正黑体_GBK" w:cs="Times New Roman"/>
          <w:color w:val="000000"/>
          <w:sz w:val="32"/>
          <w:szCs w:val="32"/>
          <w:lang w:bidi="ar"/>
        </w:rPr>
        <w:t>第二十六条</w:t>
      </w:r>
      <w:r>
        <w:rPr>
          <w:rFonts w:ascii="Times New Roman" w:hAnsi="Times New Roman" w:eastAsia="方正仿宋_GBK" w:cs="Times New Roman"/>
          <w:color w:val="000000"/>
          <w:sz w:val="32"/>
          <w:szCs w:val="32"/>
          <w:lang w:bidi="ar"/>
        </w:rPr>
        <w:t xml:space="preserve"> </w:t>
      </w:r>
      <w:r>
        <w:rPr>
          <w:rFonts w:ascii="Times New Roman" w:hAnsi="Times New Roman" w:eastAsia="方正仿宋_GBK" w:cs="Times New Roman"/>
          <w:kern w:val="0"/>
          <w:sz w:val="32"/>
          <w:szCs w:val="32"/>
          <w:lang w:bidi="ar"/>
        </w:rPr>
        <w:t xml:space="preserve"> </w:t>
      </w:r>
      <w:r>
        <w:rPr>
          <w:rFonts w:hint="eastAsia" w:ascii="Times New Roman" w:hAnsi="Times New Roman" w:eastAsia="方正仿宋_GBK" w:cs="Times New Roman"/>
          <w:kern w:val="0"/>
          <w:sz w:val="32"/>
          <w:szCs w:val="32"/>
          <w:lang w:bidi="ar"/>
        </w:rPr>
        <w:t>本市开展</w:t>
      </w:r>
      <w:r>
        <w:rPr>
          <w:rFonts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bidi="ar"/>
        </w:rPr>
        <w:t>重庆慈善奖</w:t>
      </w:r>
      <w:r>
        <w:rPr>
          <w:rFonts w:ascii="Times New Roman" w:hAnsi="Times New Roman" w:eastAsia="方正仿宋_GBK" w:cs="Times New Roman"/>
          <w:kern w:val="0"/>
          <w:sz w:val="32"/>
          <w:szCs w:val="32"/>
          <w:lang w:bidi="ar"/>
        </w:rPr>
        <w:t>”</w:t>
      </w:r>
      <w:r>
        <w:rPr>
          <w:rFonts w:hint="eastAsia" w:ascii="Times New Roman" w:hAnsi="Times New Roman" w:eastAsia="方正仿宋_GBK" w:cs="Times New Roman"/>
          <w:kern w:val="0"/>
          <w:sz w:val="32"/>
          <w:szCs w:val="32"/>
          <w:lang w:bidi="ar"/>
        </w:rPr>
        <w:t>评选。按照相关规定，</w:t>
      </w:r>
      <w:r>
        <w:rPr>
          <w:rFonts w:hint="eastAsia" w:ascii="Times New Roman" w:hAnsi="Times New Roman" w:eastAsia="方正仿宋_GBK" w:cs="Times New Roman"/>
          <w:color w:val="000000"/>
          <w:sz w:val="32"/>
          <w:szCs w:val="32"/>
        </w:rPr>
        <w:t>对在慈善事业中做出突出贡献的自然人、法人和非法人组织，由市、区县（自治县）人民政府或者有关部门予以</w:t>
      </w:r>
      <w:r>
        <w:rPr>
          <w:rFonts w:hint="eastAsia" w:ascii="Times New Roman" w:hAnsi="Times New Roman" w:eastAsia="方正仿宋_GBK" w:cs="Times New Roman"/>
          <w:kern w:val="0"/>
          <w:sz w:val="32"/>
          <w:szCs w:val="32"/>
          <w:lang w:bidi="ar"/>
        </w:rPr>
        <w:t>表彰。</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慈善组织可以采取发放捐赠证书、纪念徽标、纪念牌匾等方式，对参与慈善活动的自然人、法人和非法人组织给予褒扬。</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第二十七条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本市加强村（社区）慈善工作，</w:t>
      </w:r>
      <w:r>
        <w:rPr>
          <w:rFonts w:hint="eastAsia" w:ascii="Times New Roman" w:hAnsi="Times New Roman" w:eastAsia="方正仿宋_GBK" w:cs="Times New Roman"/>
          <w:sz w:val="32"/>
          <w:szCs w:val="32"/>
        </w:rPr>
        <w:t>健全</w:t>
      </w:r>
      <w:r>
        <w:rPr>
          <w:rFonts w:hint="eastAsia" w:ascii="Times New Roman" w:hAnsi="Times New Roman" w:eastAsia="方正仿宋_GBK" w:cs="Times New Roman"/>
          <w:color w:val="000000"/>
          <w:sz w:val="32"/>
          <w:szCs w:val="32"/>
          <w:lang w:bidi="ar"/>
        </w:rPr>
        <w:t>慈善等社会力量参与基层治理的激励政策，创新村（社区）与社会组织、社会工作者、村（社区）志愿者、社会慈善资源联动机制。</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支持设立社区基金会、村（社区）慈善捐助站点，发展村（社区）服务类慈善组织；鼓励慈善组织与社会工作者、村（社区）志愿者、村（社区）社会组织合作实施慈善项目。</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第二十八条</w:t>
      </w: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sz w:val="32"/>
          <w:szCs w:val="32"/>
          <w:lang w:bidi="ar"/>
        </w:rPr>
        <w:t>鼓励用人单位在同等条件下优先招聘和录用参与慈善活动并有良好服务记录的志愿者。</w:t>
      </w:r>
      <w:r>
        <w:rPr>
          <w:rFonts w:ascii="Times New Roman" w:hAnsi="Times New Roman" w:eastAsia="方正仿宋_GBK" w:cs="Times New Roman"/>
          <w:color w:val="000000"/>
          <w:sz w:val="32"/>
          <w:szCs w:val="32"/>
          <w:lang w:bidi="ar"/>
        </w:rPr>
        <w:t xml:space="preserve">  </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44"/>
          <w:sz w:val="32"/>
          <w:szCs w:val="32"/>
        </w:rPr>
      </w:pPr>
      <w:r>
        <w:rPr>
          <w:rFonts w:hint="eastAsia" w:ascii="Times New Roman" w:hAnsi="Times New Roman" w:eastAsia="方正仿宋_GBK" w:cs="Times New Roman"/>
          <w:color w:val="000000"/>
          <w:sz w:val="32"/>
          <w:szCs w:val="32"/>
          <w:lang w:bidi="ar"/>
        </w:rPr>
        <w:t>为慈善事业做出较大贡献的个人，因本人或者家庭生活遇到困难，向慈善组织等提出救助申请的，慈善组织等应当优先给予救助。</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kern w:val="0"/>
          <w:sz w:val="32"/>
          <w:szCs w:val="32"/>
          <w:lang w:bidi="ar"/>
        </w:rPr>
      </w:pPr>
      <w:r>
        <w:rPr>
          <w:rFonts w:hint="eastAsia" w:ascii="Times New Roman" w:hAnsi="Times New Roman" w:eastAsia="方正黑体_GBK" w:cs="Times New Roman"/>
          <w:color w:val="000000"/>
          <w:sz w:val="32"/>
          <w:szCs w:val="32"/>
          <w:lang w:bidi="ar"/>
        </w:rPr>
        <w:t>第二十九条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市、区县（自治县）有关部门和单位应当加强慈善领域信用体系建设，依法建立信用制度，构建信用信息共享机制。</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lang w:bidi="ar"/>
        </w:rPr>
      </w:pPr>
      <w:r>
        <w:rPr>
          <w:rFonts w:hint="eastAsia" w:ascii="Times New Roman" w:hAnsi="Times New Roman" w:eastAsia="方正黑体_GBK" w:cs="Times New Roman"/>
          <w:color w:val="000000"/>
          <w:sz w:val="32"/>
          <w:szCs w:val="32"/>
          <w:lang w:bidi="ar"/>
        </w:rPr>
        <w:t>第三十条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财政、民政、公安、人力社保、文化旅游、网信、审计、税务等部门应当加强协同监管和信息共享。</w:t>
      </w:r>
    </w:p>
    <w:p>
      <w:pPr>
        <w:keepNext w:val="0"/>
        <w:keepLines w:val="0"/>
        <w:pageBreakBefore w:val="0"/>
        <w:kinsoku/>
        <w:wordWrap/>
        <w:topLinePunct w:val="0"/>
        <w:autoSpaceDE/>
        <w:autoSpaceDN/>
        <w:bidi w:val="0"/>
        <w:spacing w:line="560" w:lineRule="exact"/>
        <w:ind w:firstLine="640" w:firstLineChars="200"/>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bidi="ar"/>
        </w:rPr>
        <w:t>民政部门应当通过官方网站、微信公众号或者新闻媒体，向社会公布慈善违法案件相关处理情况。</w:t>
      </w:r>
    </w:p>
    <w:p>
      <w:pPr>
        <w:keepNext w:val="0"/>
        <w:keepLines w:val="0"/>
        <w:pageBreakBefore w:val="0"/>
        <w:kinsoku/>
        <w:wordWrap/>
        <w:topLinePunct w:val="0"/>
        <w:autoSpaceDE/>
        <w:autoSpaceDN/>
        <w:bidi w:val="0"/>
        <w:spacing w:line="560" w:lineRule="exact"/>
        <w:ind w:firstLine="640" w:firstLineChars="200"/>
        <w:outlineLvl w:val="9"/>
        <w:rPr>
          <w:rFonts w:ascii="方正仿宋_GBK" w:hAnsi="方正仿宋_GBK" w:eastAsia="方正仿宋_GBK" w:cs="方正仿宋_GBK"/>
          <w:color w:val="000000"/>
          <w:sz w:val="32"/>
          <w:szCs w:val="32"/>
          <w:lang w:bidi="ar"/>
        </w:rPr>
      </w:pPr>
      <w:r>
        <w:rPr>
          <w:rFonts w:hint="eastAsia" w:ascii="Times New Roman" w:hAnsi="Times New Roman" w:eastAsia="方正黑体_GBK" w:cs="Times New Roman"/>
          <w:color w:val="000000"/>
          <w:sz w:val="32"/>
          <w:szCs w:val="32"/>
          <w:lang w:bidi="ar"/>
        </w:rPr>
        <w:t>第三十一条</w:t>
      </w:r>
      <w:r>
        <w:rPr>
          <w:rFonts w:ascii="Times New Roman" w:hAnsi="Times New Roman" w:eastAsia="方正仿宋_GBK" w:cs="Times New Roman"/>
          <w:color w:val="000000"/>
          <w:sz w:val="32"/>
          <w:szCs w:val="32"/>
          <w:lang w:bidi="ar"/>
        </w:rPr>
        <w:t xml:space="preserve">  </w:t>
      </w:r>
      <w:r>
        <w:rPr>
          <w:rFonts w:hint="eastAsia" w:ascii="方正仿宋_GBK" w:hAnsi="方正仿宋_GBK" w:eastAsia="方正仿宋_GBK" w:cs="方正仿宋_GBK"/>
          <w:color w:val="000000"/>
          <w:sz w:val="32"/>
          <w:szCs w:val="32"/>
          <w:lang w:bidi="ar"/>
        </w:rPr>
        <w:t>违反本条例规定提供虚假信息、虚构事实，</w:t>
      </w:r>
      <w:r>
        <w:rPr>
          <w:rFonts w:hint="eastAsia" w:ascii="方正仿宋_GBK" w:hAnsi="方正仿宋_GBK" w:eastAsia="方正仿宋_GBK" w:cs="方正仿宋_GBK"/>
          <w:color w:val="000000"/>
          <w:sz w:val="32"/>
          <w:szCs w:val="32"/>
          <w:lang w:val="zh-CN"/>
        </w:rPr>
        <w:t>欺骗、诱导</w:t>
      </w:r>
      <w:r>
        <w:rPr>
          <w:rFonts w:hint="eastAsia" w:ascii="方正仿宋_GBK" w:hAnsi="方正仿宋_GBK" w:eastAsia="方正仿宋_GBK" w:cs="方正仿宋_GBK"/>
          <w:color w:val="000000"/>
          <w:sz w:val="32"/>
          <w:szCs w:val="32"/>
          <w:lang w:bidi="ar"/>
        </w:rPr>
        <w:t>他人捐赠，构成违反治安管理行为的，由公安机关依法给予治安管理处罚；构成犯罪的，依法追究刑事责任。</w:t>
      </w:r>
    </w:p>
    <w:p>
      <w:pPr>
        <w:keepNext w:val="0"/>
        <w:keepLines w:val="0"/>
        <w:pageBreakBefore w:val="0"/>
        <w:kinsoku/>
        <w:wordWrap/>
        <w:topLinePunct w:val="0"/>
        <w:autoSpaceDE/>
        <w:autoSpaceDN/>
        <w:bidi w:val="0"/>
        <w:spacing w:line="560" w:lineRule="exact"/>
        <w:ind w:firstLine="640" w:firstLineChars="200"/>
        <w:outlineLvl w:val="9"/>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广播、电视、报刊以及网络服务提供者、电信运营商等违反本条例规定，发现求助人有虚构事实等违法行为未履行报告义务的，由其主管部门责令改正，给予警告、通报批评。</w:t>
      </w:r>
    </w:p>
    <w:p>
      <w:pPr>
        <w:keepNext w:val="0"/>
        <w:keepLines w:val="0"/>
        <w:pageBreakBefore w:val="0"/>
        <w:kinsoku/>
        <w:wordWrap/>
        <w:topLinePunct w:val="0"/>
        <w:autoSpaceDE/>
        <w:autoSpaceDN/>
        <w:bidi w:val="0"/>
        <w:spacing w:line="560" w:lineRule="exact"/>
        <w:ind w:firstLine="640" w:firstLineChars="200"/>
        <w:outlineLvl w:val="9"/>
        <w:rPr>
          <w:rFonts w:ascii="方正仿宋_GBK" w:hAnsi="方正仿宋_GBK" w:eastAsia="方正仿宋_GBK" w:cs="方正仿宋_GBK"/>
          <w:color w:val="000000"/>
          <w:sz w:val="32"/>
          <w:szCs w:val="32"/>
        </w:rPr>
      </w:pPr>
      <w:r>
        <w:rPr>
          <w:rFonts w:hint="eastAsia" w:ascii="Times New Roman" w:hAnsi="Times New Roman" w:eastAsia="方正黑体_GBK" w:cs="Times New Roman"/>
          <w:color w:val="000000"/>
          <w:sz w:val="32"/>
          <w:szCs w:val="32"/>
          <w:lang w:bidi="ar"/>
        </w:rPr>
        <w:t>第三十二条</w:t>
      </w:r>
      <w:r>
        <w:rPr>
          <w:rFonts w:ascii="Times New Roman" w:hAnsi="Times New Roman" w:eastAsia="方正黑体_GBK" w:cs="Times New Roman"/>
          <w:color w:val="000000"/>
          <w:sz w:val="32"/>
          <w:szCs w:val="32"/>
          <w:lang w:bidi="ar"/>
        </w:rPr>
        <w:t xml:space="preserve">  </w:t>
      </w:r>
      <w:r>
        <w:rPr>
          <w:rFonts w:hint="eastAsia" w:ascii="方正仿宋_GBK" w:hAnsi="方正仿宋_GBK" w:eastAsia="方正仿宋_GBK" w:cs="方正仿宋_GBK"/>
          <w:color w:val="000000"/>
          <w:sz w:val="32"/>
          <w:szCs w:val="32"/>
          <w:lang w:bidi="ar"/>
        </w:rPr>
        <w:t>违反本条例规定的行为，法律、行政法规有法律责任规定的，适用其规定。</w:t>
      </w:r>
    </w:p>
    <w:p>
      <w:pPr>
        <w:keepNext w:val="0"/>
        <w:keepLines w:val="0"/>
        <w:pageBreakBefore w:val="0"/>
        <w:kinsoku/>
        <w:wordWrap/>
        <w:topLinePunct w:val="0"/>
        <w:autoSpaceDE/>
        <w:autoSpaceDN/>
        <w:bidi w:val="0"/>
        <w:spacing w:line="560" w:lineRule="exact"/>
        <w:ind w:firstLine="640" w:firstLineChars="200"/>
        <w:outlineLvl w:val="9"/>
        <w:rPr>
          <w:rFonts w:ascii="方正仿宋_GBK" w:hAnsi="Times New Roman" w:eastAsia="方正仿宋_GBK" w:cs="Times New Roman"/>
          <w:bCs/>
          <w:sz w:val="32"/>
          <w:szCs w:val="32"/>
        </w:rPr>
      </w:pPr>
      <w:r>
        <w:rPr>
          <w:rFonts w:hint="eastAsia" w:ascii="Times New Roman" w:hAnsi="Times New Roman" w:eastAsia="方正黑体_GBK" w:cs="Times New Roman"/>
          <w:color w:val="000000"/>
          <w:sz w:val="32"/>
          <w:szCs w:val="32"/>
          <w:lang w:bidi="ar"/>
        </w:rPr>
        <w:t>第三十三条</w:t>
      </w:r>
      <w:r>
        <w:rPr>
          <w:rFonts w:ascii="Times New Roman" w:hAnsi="Times New Roman" w:eastAsia="方正仿宋_GBK" w:cs="Times New Roman"/>
          <w:color w:val="000000"/>
          <w:sz w:val="32"/>
          <w:szCs w:val="32"/>
          <w:lang w:bidi="ar"/>
        </w:rPr>
        <w:t xml:space="preserve">  </w:t>
      </w:r>
      <w:r>
        <w:rPr>
          <w:rFonts w:hint="eastAsia" w:ascii="Times New Roman" w:hAnsi="Times New Roman" w:eastAsia="方正仿宋_GBK" w:cs="Times New Roman"/>
          <w:color w:val="000000"/>
          <w:sz w:val="32"/>
          <w:szCs w:val="32"/>
          <w:lang w:bidi="ar"/>
        </w:rPr>
        <w:t>本条例自</w:t>
      </w:r>
      <w:r>
        <w:rPr>
          <w:rFonts w:ascii="Times New Roman" w:hAnsi="Times New Roman" w:eastAsia="方正黑体_GBK" w:cs="Times New Roman"/>
          <w:color w:val="000000"/>
          <w:sz w:val="32"/>
          <w:szCs w:val="32"/>
          <w:lang w:bidi="ar"/>
        </w:rPr>
        <w:t>2022</w:t>
      </w:r>
      <w:r>
        <w:rPr>
          <w:rFonts w:hint="eastAsia" w:ascii="方正仿宋_GBK" w:hAnsi="Times New Roman" w:eastAsia="方正仿宋_GBK" w:cs="Times New Roman"/>
          <w:color w:val="000000"/>
          <w:sz w:val="32"/>
          <w:szCs w:val="32"/>
          <w:lang w:bidi="ar"/>
        </w:rPr>
        <w:t>年</w:t>
      </w:r>
      <w:r>
        <w:rPr>
          <w:rFonts w:ascii="Times New Roman" w:hAnsi="Times New Roman" w:eastAsia="方正黑体_GBK" w:cs="Times New Roman"/>
          <w:color w:val="000000"/>
          <w:sz w:val="32"/>
          <w:szCs w:val="32"/>
          <w:lang w:bidi="ar"/>
        </w:rPr>
        <w:t>9</w:t>
      </w:r>
      <w:r>
        <w:rPr>
          <w:rFonts w:hint="eastAsia" w:ascii="方正仿宋_GBK" w:hAnsi="Times New Roman" w:eastAsia="方正仿宋_GBK" w:cs="Times New Roman"/>
          <w:color w:val="000000"/>
          <w:sz w:val="32"/>
          <w:szCs w:val="32"/>
          <w:lang w:bidi="ar"/>
        </w:rPr>
        <w:t>月</w:t>
      </w:r>
      <w:r>
        <w:rPr>
          <w:rFonts w:ascii="Times New Roman" w:hAnsi="Times New Roman" w:eastAsia="方正黑体_GBK" w:cs="Times New Roman"/>
          <w:color w:val="000000"/>
          <w:sz w:val="32"/>
          <w:szCs w:val="32"/>
          <w:lang w:bidi="ar"/>
        </w:rPr>
        <w:t>1</w:t>
      </w:r>
      <w:r>
        <w:rPr>
          <w:rFonts w:hint="eastAsia" w:ascii="方正仿宋_GBK"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bidi="ar"/>
        </w:rPr>
        <w:t>起施行。</w:t>
      </w:r>
    </w:p>
    <w:p>
      <w:pPr>
        <w:keepNext w:val="0"/>
        <w:keepLines w:val="0"/>
        <w:pageBreakBefore w:val="0"/>
        <w:kinsoku/>
        <w:wordWrap/>
        <w:topLinePunct w:val="0"/>
        <w:autoSpaceDE/>
        <w:autoSpaceDN w:val="0"/>
        <w:bidi w:val="0"/>
        <w:spacing w:line="560" w:lineRule="exact"/>
        <w:ind w:firstLine="640" w:firstLineChars="200"/>
        <w:jc w:val="center"/>
        <w:rPr>
          <w:rFonts w:eastAsia="方正仿宋_GBK"/>
          <w:color w:val="000000"/>
          <w:sz w:val="32"/>
          <w:szCs w:val="32"/>
        </w:rPr>
      </w:pPr>
    </w:p>
    <w:p>
      <w:pPr>
        <w:pStyle w:val="5"/>
        <w:keepNext w:val="0"/>
        <w:keepLines w:val="0"/>
        <w:pageBreakBefore w:val="0"/>
        <w:kinsoku/>
        <w:wordWrap/>
        <w:topLinePunct w:val="0"/>
        <w:autoSpaceDE/>
        <w:bidi w:val="0"/>
        <w:spacing w:line="560" w:lineRule="exact"/>
        <w:rPr>
          <w:rFonts w:ascii="方正仿宋_GBK" w:eastAsia="方正仿宋_GBK"/>
          <w:sz w:val="28"/>
          <w:szCs w:val="28"/>
        </w:rPr>
      </w:pPr>
    </w:p>
    <w:p>
      <w:pPr>
        <w:pStyle w:val="5"/>
        <w:keepNext w:val="0"/>
        <w:keepLines w:val="0"/>
        <w:pageBreakBefore w:val="0"/>
        <w:kinsoku/>
        <w:wordWrap/>
        <w:topLinePunct w:val="0"/>
        <w:autoSpaceDE/>
        <w:bidi w:val="0"/>
        <w:spacing w:line="560" w:lineRule="exact"/>
        <w:rPr>
          <w:rFonts w:ascii="方正仿宋_GBK" w:eastAsia="方正仿宋_GBK"/>
          <w:sz w:val="28"/>
          <w:szCs w:val="28"/>
        </w:rPr>
      </w:pPr>
    </w:p>
    <w:p>
      <w:pPr>
        <w:pStyle w:val="5"/>
        <w:keepNext w:val="0"/>
        <w:keepLines w:val="0"/>
        <w:pageBreakBefore w:val="0"/>
        <w:kinsoku/>
        <w:wordWrap/>
        <w:topLinePunct w:val="0"/>
        <w:autoSpaceDE/>
        <w:bidi w:val="0"/>
        <w:spacing w:line="560" w:lineRule="exact"/>
        <w:rPr>
          <w:rFonts w:ascii="方正仿宋_GBK" w:eastAsia="方正仿宋_GBK"/>
          <w:sz w:val="28"/>
          <w:szCs w:val="28"/>
        </w:rPr>
      </w:pPr>
    </w:p>
    <w:p>
      <w:pPr>
        <w:pStyle w:val="5"/>
        <w:keepNext w:val="0"/>
        <w:keepLines w:val="0"/>
        <w:pageBreakBefore w:val="0"/>
        <w:kinsoku/>
        <w:wordWrap/>
        <w:topLinePunct w:val="0"/>
        <w:autoSpaceDE/>
        <w:bidi w:val="0"/>
        <w:spacing w:line="560" w:lineRule="exact"/>
        <w:rPr>
          <w:rFonts w:ascii="方正仿宋_GBK" w:eastAsia="方正仿宋_GBK"/>
          <w:sz w:val="28"/>
          <w:szCs w:val="28"/>
        </w:rPr>
      </w:pPr>
    </w:p>
    <w:p>
      <w:pPr>
        <w:pStyle w:val="5"/>
        <w:keepNext w:val="0"/>
        <w:keepLines w:val="0"/>
        <w:pageBreakBefore w:val="0"/>
        <w:kinsoku/>
        <w:wordWrap/>
        <w:topLinePunct w:val="0"/>
        <w:autoSpaceDE/>
        <w:bidi w:val="0"/>
        <w:spacing w:line="560" w:lineRule="exact"/>
        <w:ind w:left="0" w:leftChars="0" w:firstLine="0" w:firstLineChars="0"/>
        <w:rPr>
          <w:rFonts w:ascii="方正仿宋_GBK" w:eastAsia="方正仿宋_GBK"/>
          <w:sz w:val="28"/>
          <w:szCs w:val="28"/>
        </w:rPr>
      </w:pPr>
    </w:p>
    <w:p>
      <w:pPr>
        <w:pStyle w:val="5"/>
        <w:keepNext w:val="0"/>
        <w:keepLines w:val="0"/>
        <w:pageBreakBefore w:val="0"/>
        <w:kinsoku/>
        <w:wordWrap/>
        <w:topLinePunct w:val="0"/>
        <w:autoSpaceDE/>
        <w:bidi w:val="0"/>
        <w:spacing w:line="560" w:lineRule="exact"/>
        <w:ind w:left="0" w:leftChars="0" w:firstLine="0" w:firstLineChars="0"/>
        <w:rPr>
          <w:rFonts w:ascii="方正仿宋_GBK" w:eastAsia="方正仿宋_GBK"/>
          <w:sz w:val="28"/>
          <w:szCs w:val="28"/>
        </w:rPr>
      </w:pPr>
    </w:p>
    <w:p>
      <w:pPr>
        <w:pStyle w:val="5"/>
        <w:keepNext w:val="0"/>
        <w:keepLines w:val="0"/>
        <w:pageBreakBefore w:val="0"/>
        <w:kinsoku/>
        <w:wordWrap/>
        <w:topLinePunct w:val="0"/>
        <w:autoSpaceDE/>
        <w:bidi w:val="0"/>
        <w:spacing w:line="560" w:lineRule="exact"/>
        <w:ind w:left="0" w:leftChars="0" w:firstLine="0" w:firstLineChars="0"/>
        <w:rPr>
          <w:rFonts w:ascii="方正仿宋_GBK" w:eastAsia="方正仿宋_GBK"/>
          <w:sz w:val="28"/>
          <w:szCs w:val="28"/>
        </w:rPr>
      </w:pPr>
    </w:p>
    <w:p>
      <w:pPr>
        <w:pStyle w:val="5"/>
        <w:keepNext w:val="0"/>
        <w:keepLines w:val="0"/>
        <w:pageBreakBefore w:val="0"/>
        <w:kinsoku/>
        <w:wordWrap/>
        <w:topLinePunct w:val="0"/>
        <w:autoSpaceDE/>
        <w:bidi w:val="0"/>
        <w:spacing w:line="560" w:lineRule="exact"/>
        <w:ind w:left="0" w:leftChars="0" w:firstLine="0" w:firstLineChars="0"/>
        <w:rPr>
          <w:rFonts w:hint="eastAsia" w:ascii="方正仿宋_GBK" w:eastAsia="方正仿宋_GBK"/>
          <w:sz w:val="28"/>
          <w:szCs w:val="28"/>
          <w:lang w:eastAsia="zh-CN"/>
        </w:rPr>
      </w:pPr>
      <w: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46990</wp:posOffset>
                </wp:positionV>
                <wp:extent cx="5943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3.7pt;height:0pt;width:468pt;z-index:251666432;mso-width-relative:page;mso-height-relative:page;" filled="f" stroked="t" coordsize="21600,21600" o:gfxdata="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8ONe1QAAAAYBAAAPAAAA&#10;AAAAAAEAIAAAACIAAABkcnMvZG93bnJldi54bWxQSwECFAAUAAAACACHTuJAw534bt8BAACkAwAA&#10;DgAAAAAAAAABACAAAAAkAQAAZHJzL2Uyb0RvYy54bWxQSwUGAAAAAAYABgBZAQAAdQUAAAAA&#10;">
                <v:fill on="f" focussize="0,0"/>
                <v:stroke color="#000000" joinstyle="round"/>
                <v:imagedata o:title=""/>
                <o:lock v:ext="edit" aspectratio="f"/>
              </v:line>
            </w:pict>
          </mc:Fallback>
        </mc:AlternateContent>
      </w:r>
      <w:r>
        <w:rPr>
          <w:rFonts w:hint="eastAsia" w:ascii="方正仿宋_GBK" w:eastAsia="方正仿宋_GBK"/>
          <w:sz w:val="28"/>
          <w:szCs w:val="28"/>
          <w:lang w:eastAsia="zh-CN"/>
        </w:rPr>
        <w:t>抄送：渝北区红十字会、渝北区慈善会、渝北区恩三公益服务中心</w:t>
      </w:r>
    </w:p>
    <w:p>
      <w:pPr>
        <w:keepNext w:val="0"/>
        <w:keepLines w:val="0"/>
        <w:pageBreakBefore w:val="0"/>
        <w:kinsoku/>
        <w:wordWrap/>
        <w:topLinePunct w:val="0"/>
        <w:autoSpaceDE/>
        <w:bidi w:val="0"/>
        <w:adjustRightInd w:val="0"/>
        <w:snapToGrid w:val="0"/>
        <w:spacing w:line="560" w:lineRule="exact"/>
        <w:rPr>
          <w:rFonts w:hint="eastAsia" w:ascii="方正黑体_GBK" w:hAnsi="方正黑体_GBK" w:eastAsia="方正黑体_GBK" w:cs="方正黑体_GBK"/>
          <w:sz w:val="32"/>
          <w:szCs w:val="32"/>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9182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18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4pt;height:0pt;width:466pt;z-index:251661312;mso-width-relative:page;mso-height-relative:page;" filled="f" stroked="t" coordsize="21600,21600" o:gfxdata="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2I9yHRAAAABAEAAA8AAAAAAAAAAQAg&#10;AAAAIgAAAGRycy9kb3ducmV2LnhtbFBLAQIUABQAAAAIAIdO4kC3JgTA3AEAAKQDAAAOAAAAAAAA&#10;AAEAIAAAACA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396240</wp:posOffset>
                </wp:positionV>
                <wp:extent cx="5943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pt;margin-top:31.2pt;height:0pt;width:468pt;z-index:251660288;mso-width-relative:page;mso-height-relative:page;" filled="f" stroked="t" coordsize="21600,21600" o:gfxdata="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osjI9UAAAAIAQAADwAA&#10;AAAAAAABACAAAAAiAAAAZHJzL2Rvd25yZXYueG1sUEsBAhQAFAAAAAgAh07iQBNxtCvgAQAApAMA&#10;AA4AAAAAAAAAAQAgAAAAJAEAAGRycy9lMm9Eb2MueG1sUEsFBgAAAAAGAAYAWQEAAHYFAAAAAA==&#10;">
                <v:fill on="f" focussize="0,0"/>
                <v:stroke color="#000000" joinstyle="round"/>
                <v:imagedata o:title=""/>
                <o:lock v:ext="edit" aspectratio="f"/>
              </v:line>
            </w:pict>
          </mc:Fallback>
        </mc:AlternateContent>
      </w:r>
      <w:r>
        <w:rPr>
          <w:rFonts w:hint="eastAsia" w:ascii="方正仿宋_GBK" w:eastAsia="方正仿宋_GBK" w:cs="方正仿宋_GBK"/>
          <w:sz w:val="28"/>
          <w:szCs w:val="28"/>
        </w:rPr>
        <w:t>重庆市渝北区民政局办公室</w:t>
      </w:r>
      <w:r>
        <w:rPr>
          <w:rFonts w:ascii="方正仿宋_GBK" w:eastAsia="方正仿宋_GBK" w:cs="方正仿宋_GBK"/>
          <w:sz w:val="28"/>
          <w:szCs w:val="28"/>
        </w:rPr>
        <w:t xml:space="preserve">  </w:t>
      </w:r>
      <w:r>
        <w:rPr>
          <w:rFonts w:hint="eastAsia" w:ascii="方正仿宋_GBK" w:eastAsia="方正仿宋_GBK" w:cs="方正仿宋_GBK"/>
          <w:sz w:val="28"/>
          <w:szCs w:val="28"/>
        </w:rPr>
        <w:t xml:space="preserve">               </w:t>
      </w:r>
      <w:r>
        <w:rPr>
          <w:rFonts w:hint="eastAsia" w:ascii="方正仿宋_GBK" w:eastAsia="方正仿宋_GBK" w:cs="方正仿宋_GBK"/>
          <w:sz w:val="28"/>
          <w:szCs w:val="28"/>
          <w:lang w:val="en-US" w:eastAsia="zh-CN"/>
        </w:rPr>
        <w:t xml:space="preserve">  </w:t>
      </w:r>
      <w:r>
        <w:rPr>
          <w:rFonts w:hint="eastAsia" w:ascii="方正仿宋_GBK" w:eastAsia="方正仿宋_GBK" w:cs="方正仿宋_GBK"/>
          <w:sz w:val="28"/>
          <w:szCs w:val="28"/>
        </w:rPr>
        <w:t xml:space="preserve">  </w:t>
      </w:r>
      <w:r>
        <w:rPr>
          <w:rFonts w:ascii="方正仿宋_GBK" w:eastAsia="方正仿宋_GBK" w:cs="方正仿宋_GBK"/>
          <w:sz w:val="28"/>
          <w:szCs w:val="28"/>
        </w:rPr>
        <w:t>20</w:t>
      </w:r>
      <w:r>
        <w:rPr>
          <w:rFonts w:hint="eastAsia" w:ascii="方正仿宋_GBK" w:eastAsia="方正仿宋_GBK" w:cs="方正仿宋_GBK"/>
          <w:sz w:val="28"/>
          <w:szCs w:val="28"/>
        </w:rPr>
        <w:t>2</w:t>
      </w:r>
      <w:r>
        <w:rPr>
          <w:rFonts w:hint="eastAsia" w:ascii="方正仿宋_GBK" w:eastAsia="方正仿宋_GBK" w:cs="方正仿宋_GBK"/>
          <w:sz w:val="28"/>
          <w:szCs w:val="28"/>
          <w:lang w:val="en-US" w:eastAsia="zh-CN"/>
        </w:rPr>
        <w:t>2</w:t>
      </w:r>
      <w:r>
        <w:rPr>
          <w:rFonts w:hint="eastAsia" w:ascii="方正仿宋_GBK" w:eastAsia="方正仿宋_GBK" w:cs="方正仿宋_GBK"/>
          <w:sz w:val="28"/>
          <w:szCs w:val="28"/>
        </w:rPr>
        <w:t>年</w:t>
      </w:r>
      <w:r>
        <w:rPr>
          <w:rFonts w:hint="eastAsia" w:ascii="方正仿宋_GBK" w:eastAsia="方正仿宋_GBK" w:cs="方正仿宋_GBK"/>
          <w:sz w:val="28"/>
          <w:szCs w:val="28"/>
          <w:lang w:val="en-US" w:eastAsia="zh-CN"/>
        </w:rPr>
        <w:t>9</w:t>
      </w:r>
      <w:r>
        <w:rPr>
          <w:rFonts w:hint="eastAsia" w:ascii="方正仿宋_GBK" w:eastAsia="方正仿宋_GBK" w:cs="方正仿宋_GBK"/>
          <w:sz w:val="28"/>
          <w:szCs w:val="28"/>
        </w:rPr>
        <w:t>月</w:t>
      </w:r>
      <w:r>
        <w:rPr>
          <w:rFonts w:hint="eastAsia" w:ascii="方正仿宋_GBK" w:eastAsia="方正仿宋_GBK" w:cs="方正仿宋_GBK"/>
          <w:sz w:val="28"/>
          <w:szCs w:val="28"/>
          <w:lang w:val="en-US" w:eastAsia="zh-CN"/>
        </w:rPr>
        <w:t>1</w:t>
      </w:r>
      <w:r>
        <w:rPr>
          <w:rFonts w:hint="eastAsia" w:ascii="方正仿宋_GBK" w:eastAsia="方正仿宋_GBK" w:cs="方正仿宋_GBK"/>
          <w:sz w:val="28"/>
          <w:szCs w:val="28"/>
        </w:rPr>
        <w:t>日印发</w:t>
      </w:r>
    </w:p>
    <w:sectPr>
      <w:footerReference r:id="rId3" w:type="default"/>
      <w:pgSz w:w="11906" w:h="16838"/>
      <w:pgMar w:top="2098" w:right="1474" w:bottom="181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OGI4OTA4ZDhiNWM3YjFiNTY1NmI3MGRhOTVkNzYifQ=="/>
    <w:docVar w:name="KGWebUrl" w:val="http://23.143.0.11:80/seeyon/officeservlet"/>
  </w:docVars>
  <w:rsids>
    <w:rsidRoot w:val="53B900BC"/>
    <w:rsid w:val="00101AE9"/>
    <w:rsid w:val="00674C94"/>
    <w:rsid w:val="00D9012D"/>
    <w:rsid w:val="018A66A8"/>
    <w:rsid w:val="021263CC"/>
    <w:rsid w:val="02BA5D3C"/>
    <w:rsid w:val="02D70480"/>
    <w:rsid w:val="02F56D74"/>
    <w:rsid w:val="02FD26E5"/>
    <w:rsid w:val="036666B3"/>
    <w:rsid w:val="037F3E2F"/>
    <w:rsid w:val="039C4C6C"/>
    <w:rsid w:val="040556DD"/>
    <w:rsid w:val="041651F4"/>
    <w:rsid w:val="042913CB"/>
    <w:rsid w:val="053D1E4A"/>
    <w:rsid w:val="062E0F1B"/>
    <w:rsid w:val="065117BF"/>
    <w:rsid w:val="06C76C7A"/>
    <w:rsid w:val="07416A2C"/>
    <w:rsid w:val="0781151E"/>
    <w:rsid w:val="07A47FD8"/>
    <w:rsid w:val="07F36916"/>
    <w:rsid w:val="090A41C1"/>
    <w:rsid w:val="09FD572D"/>
    <w:rsid w:val="0A142645"/>
    <w:rsid w:val="0A480BD5"/>
    <w:rsid w:val="0AA6251B"/>
    <w:rsid w:val="0B383300"/>
    <w:rsid w:val="0B970EC6"/>
    <w:rsid w:val="0CD33A99"/>
    <w:rsid w:val="0F1113DA"/>
    <w:rsid w:val="0FA1450C"/>
    <w:rsid w:val="0FDA17CC"/>
    <w:rsid w:val="105570A4"/>
    <w:rsid w:val="109E553B"/>
    <w:rsid w:val="116A526D"/>
    <w:rsid w:val="11DC5CCF"/>
    <w:rsid w:val="14567B41"/>
    <w:rsid w:val="14A405FA"/>
    <w:rsid w:val="155B515D"/>
    <w:rsid w:val="161C272A"/>
    <w:rsid w:val="16316860"/>
    <w:rsid w:val="167A58EE"/>
    <w:rsid w:val="16BF171B"/>
    <w:rsid w:val="17A95542"/>
    <w:rsid w:val="18316649"/>
    <w:rsid w:val="190653E0"/>
    <w:rsid w:val="1A57517C"/>
    <w:rsid w:val="1B843622"/>
    <w:rsid w:val="1BA64C58"/>
    <w:rsid w:val="1BDE0896"/>
    <w:rsid w:val="1C9B22E3"/>
    <w:rsid w:val="1CA668CE"/>
    <w:rsid w:val="1DF61EC7"/>
    <w:rsid w:val="1E107B20"/>
    <w:rsid w:val="1F3C7DAD"/>
    <w:rsid w:val="2000527E"/>
    <w:rsid w:val="208652B5"/>
    <w:rsid w:val="221119BC"/>
    <w:rsid w:val="2217065D"/>
    <w:rsid w:val="22941CAE"/>
    <w:rsid w:val="238166D6"/>
    <w:rsid w:val="24934952"/>
    <w:rsid w:val="24AA1919"/>
    <w:rsid w:val="24F602F4"/>
    <w:rsid w:val="25014981"/>
    <w:rsid w:val="252235A1"/>
    <w:rsid w:val="25EF3419"/>
    <w:rsid w:val="27630880"/>
    <w:rsid w:val="27BA750C"/>
    <w:rsid w:val="282A2DF3"/>
    <w:rsid w:val="28357D92"/>
    <w:rsid w:val="2A5C605E"/>
    <w:rsid w:val="2A9A77ED"/>
    <w:rsid w:val="2E2A1718"/>
    <w:rsid w:val="3001517E"/>
    <w:rsid w:val="30217004"/>
    <w:rsid w:val="30261AC6"/>
    <w:rsid w:val="306727B0"/>
    <w:rsid w:val="31081523"/>
    <w:rsid w:val="31476781"/>
    <w:rsid w:val="31863DA3"/>
    <w:rsid w:val="325D6E47"/>
    <w:rsid w:val="34E16FD5"/>
    <w:rsid w:val="34F43D78"/>
    <w:rsid w:val="35B450D6"/>
    <w:rsid w:val="365E6403"/>
    <w:rsid w:val="368D6CE8"/>
    <w:rsid w:val="370240B1"/>
    <w:rsid w:val="37384EA6"/>
    <w:rsid w:val="374B33A5"/>
    <w:rsid w:val="376618D0"/>
    <w:rsid w:val="37A75B88"/>
    <w:rsid w:val="37B0704E"/>
    <w:rsid w:val="3A511F32"/>
    <w:rsid w:val="3A790DBB"/>
    <w:rsid w:val="3AE04210"/>
    <w:rsid w:val="3BDC124E"/>
    <w:rsid w:val="3EF45B57"/>
    <w:rsid w:val="3F321068"/>
    <w:rsid w:val="3F6E4C49"/>
    <w:rsid w:val="403A7919"/>
    <w:rsid w:val="42021B5E"/>
    <w:rsid w:val="426A2FE7"/>
    <w:rsid w:val="43A21CBF"/>
    <w:rsid w:val="44CC50E8"/>
    <w:rsid w:val="44F54CA7"/>
    <w:rsid w:val="44FE772F"/>
    <w:rsid w:val="45A151AC"/>
    <w:rsid w:val="46203691"/>
    <w:rsid w:val="465E2BBD"/>
    <w:rsid w:val="484F4627"/>
    <w:rsid w:val="48691363"/>
    <w:rsid w:val="48D14811"/>
    <w:rsid w:val="48E21116"/>
    <w:rsid w:val="490E1F0B"/>
    <w:rsid w:val="49127742"/>
    <w:rsid w:val="4A8A3813"/>
    <w:rsid w:val="4C3B4DC5"/>
    <w:rsid w:val="4D514E22"/>
    <w:rsid w:val="4D9A1FBF"/>
    <w:rsid w:val="4E3E066C"/>
    <w:rsid w:val="4F3E697A"/>
    <w:rsid w:val="51E43809"/>
    <w:rsid w:val="52B07B8F"/>
    <w:rsid w:val="52F64383"/>
    <w:rsid w:val="53071EA5"/>
    <w:rsid w:val="53B900BC"/>
    <w:rsid w:val="54046D5C"/>
    <w:rsid w:val="54D46F5D"/>
    <w:rsid w:val="55450A62"/>
    <w:rsid w:val="55836B0B"/>
    <w:rsid w:val="563B6A5D"/>
    <w:rsid w:val="56813D1C"/>
    <w:rsid w:val="5765363E"/>
    <w:rsid w:val="57716102"/>
    <w:rsid w:val="593C03CE"/>
    <w:rsid w:val="59417793"/>
    <w:rsid w:val="59E2108E"/>
    <w:rsid w:val="5A23547D"/>
    <w:rsid w:val="5A487C69"/>
    <w:rsid w:val="5A6E2809"/>
    <w:rsid w:val="5AC16DDD"/>
    <w:rsid w:val="5AC22027"/>
    <w:rsid w:val="5AFF3461"/>
    <w:rsid w:val="5B647768"/>
    <w:rsid w:val="5C426E6C"/>
    <w:rsid w:val="5C983A6F"/>
    <w:rsid w:val="5CEB1280"/>
    <w:rsid w:val="5DB524FD"/>
    <w:rsid w:val="5E6900C7"/>
    <w:rsid w:val="5EE9582C"/>
    <w:rsid w:val="600D75AD"/>
    <w:rsid w:val="610921D9"/>
    <w:rsid w:val="62757814"/>
    <w:rsid w:val="62870350"/>
    <w:rsid w:val="631877B6"/>
    <w:rsid w:val="646507D9"/>
    <w:rsid w:val="64801AB7"/>
    <w:rsid w:val="65B62C5A"/>
    <w:rsid w:val="67527449"/>
    <w:rsid w:val="68A657FF"/>
    <w:rsid w:val="695A6070"/>
    <w:rsid w:val="69890334"/>
    <w:rsid w:val="69A91A96"/>
    <w:rsid w:val="69BE387E"/>
    <w:rsid w:val="6A575068"/>
    <w:rsid w:val="6BC6083A"/>
    <w:rsid w:val="6C1F5711"/>
    <w:rsid w:val="6C583D26"/>
    <w:rsid w:val="6DE704B1"/>
    <w:rsid w:val="6E6B5BDF"/>
    <w:rsid w:val="6E824A93"/>
    <w:rsid w:val="6F125A01"/>
    <w:rsid w:val="6F5210A0"/>
    <w:rsid w:val="6F7418B5"/>
    <w:rsid w:val="73121EBD"/>
    <w:rsid w:val="73E23E29"/>
    <w:rsid w:val="74795BDB"/>
    <w:rsid w:val="74AE1D28"/>
    <w:rsid w:val="75023E22"/>
    <w:rsid w:val="75470B4E"/>
    <w:rsid w:val="77A147BE"/>
    <w:rsid w:val="79584959"/>
    <w:rsid w:val="7AEF6BF7"/>
    <w:rsid w:val="7AF6674C"/>
    <w:rsid w:val="7C3B194B"/>
    <w:rsid w:val="7E64240B"/>
    <w:rsid w:val="7ED06D3F"/>
    <w:rsid w:val="7EFF3A24"/>
    <w:rsid w:val="7F254FAA"/>
    <w:rsid w:val="7F93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index 5"/>
    <w:basedOn w:val="1"/>
    <w:next w:val="1"/>
    <w:qFormat/>
    <w:uiPriority w:val="0"/>
    <w:pPr>
      <w:ind w:left="1680"/>
    </w:pPr>
  </w:style>
  <w:style w:type="paragraph" w:styleId="5">
    <w:name w:val="Normal Indent"/>
    <w:basedOn w:val="1"/>
    <w:qFormat/>
    <w:uiPriority w:val="0"/>
    <w:pPr>
      <w:ind w:firstLine="420" w:firstLineChars="200"/>
    </w:pPr>
  </w:style>
  <w:style w:type="paragraph" w:styleId="6">
    <w:name w:val="Body Text Indent"/>
    <w:basedOn w:val="1"/>
    <w:qFormat/>
    <w:uiPriority w:val="0"/>
    <w:pPr>
      <w:ind w:firstLine="640" w:firstLineChars="200"/>
    </w:pPr>
    <w:rPr>
      <w:rFonts w:ascii="方正仿宋_GBK" w:hAnsi="Times New Roman" w:eastAsia="方正仿宋_GBK" w:cs="Times New Roman"/>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jc w:val="left"/>
    </w:pPr>
    <w:rPr>
      <w:rFonts w:cs="Times New Roman"/>
      <w:kern w:val="0"/>
      <w:sz w:val="24"/>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6289</Words>
  <Characters>6309</Characters>
  <Lines>0</Lines>
  <Paragraphs>0</Paragraphs>
  <TotalTime>1</TotalTime>
  <ScaleCrop>false</ScaleCrop>
  <LinksUpToDate>false</LinksUpToDate>
  <CharactersWithSpaces>6434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2020-06-11T01:09:00Z</dcterms:created>
  <dc:creator>Administrator</dc:creator>
  <cp:lastModifiedBy>杨倩怡</cp:lastModifiedBy>
  <cp:lastPrinted>2022-09-01T03:50:00Z</cp:lastPrinted>
  <dcterms:modified xsi:type="dcterms:W3CDTF">2024-03-20T02:16:37Z</dcterms:modified>
  <dc:title>重庆市渝北区民政局关于印发学习贯彻落实《重庆市慈善条例》的通知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EDF01350FA044DDAA96D588433B50316</vt:lpwstr>
  </property>
</Properties>
</file>