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spacing w:line="540" w:lineRule="exact"/>
        <w:rPr>
          <w:rFonts w:hint="default" w:ascii="Times New Roman" w:hAnsi="Times New Roman" w:cs="Times New Roman"/>
        </w:rPr>
      </w:pPr>
    </w:p>
    <w:p>
      <w:pPr>
        <w:pStyle w:val="4"/>
        <w:spacing w:line="540" w:lineRule="exact"/>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spacing w:line="540" w:lineRule="exact"/>
        <w:rPr>
          <w:rFonts w:hint="default" w:ascii="Times New Roman" w:hAnsi="Times New Roman" w:eastAsia="方正仿宋_GBK" w:cs="Times New Roman"/>
          <w:sz w:val="32"/>
          <w:szCs w:val="32"/>
        </w:rPr>
      </w:pPr>
    </w:p>
    <w:p>
      <w:pPr>
        <w:pStyle w:val="2"/>
        <w:spacing w:line="540" w:lineRule="exact"/>
        <w:rPr>
          <w:rFonts w:hint="default" w:ascii="Times New Roman" w:hAnsi="Times New Roman" w:eastAsia="方正仿宋_GBK" w:cs="Times New Roman"/>
          <w:sz w:val="32"/>
          <w:szCs w:val="32"/>
        </w:rPr>
      </w:pPr>
      <w:r>
        <w:rPr>
          <w:rFonts w:hint="default" w:ascii="Times New Roman" w:hAnsi="Times New Roman" w:eastAsia="黑体" w:cs="Times New Roman"/>
          <w:bCs/>
          <w:sz w:val="44"/>
          <w:szCs w:val="44"/>
        </w:rPr>
        <w:pict>
          <v:shape id="_x0000_s2050" o:spid="_x0000_s2050" o:spt="136" type="#_x0000_t136" style="position:absolute;left:0pt;margin-top:235.55pt;height:56.7pt;width:413.85pt;mso-position-horizontal:center;mso-position-horizontal-relative:margin;mso-position-vertical-relative:page;z-index:251660288;mso-width-relative:page;mso-height-relative:page;" fillcolor="#ED1C24" filled="t" stroked="f" coordsize="21600,21600">
            <v:path/>
            <v:fill on="t" focussize="0,0"/>
            <v:stroke on="f" color="#FF0000"/>
            <v:imagedata o:title=""/>
            <o:lock v:ext="edit"/>
            <v:textpath on="t" fitshape="t" fitpath="t" trim="t" xscale="f" string="重庆市渝北区民政局文件" style="font-family:方正小标宋_GBK;font-size:36pt;v-text-align:center;"/>
          </v:shape>
        </w:pict>
      </w:r>
    </w:p>
    <w:p>
      <w:pPr>
        <w:spacing w:line="540" w:lineRule="exact"/>
        <w:jc w:val="center"/>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渝北民〔2021〕</w:t>
      </w:r>
      <w:r>
        <w:rPr>
          <w:rFonts w:hint="eastAsia" w:ascii="Times New Roman" w:hAnsi="Times New Roman" w:eastAsia="方正仿宋_GBK" w:cs="Times New Roman"/>
          <w:sz w:val="32"/>
          <w:szCs w:val="32"/>
          <w:lang w:val="en-US" w:eastAsia="zh-CN"/>
        </w:rPr>
        <w:t>113</w:t>
      </w:r>
      <w:r>
        <w:rPr>
          <w:rFonts w:hint="default" w:ascii="Times New Roman" w:hAnsi="Times New Roman" w:eastAsia="方正仿宋_GBK" w:cs="Times New Roman"/>
          <w:sz w:val="32"/>
          <w:szCs w:val="32"/>
        </w:rPr>
        <w:t>号</w:t>
      </w:r>
      <w:bookmarkStart w:id="0" w:name="qianfa"/>
      <w:bookmarkEnd w:id="0"/>
    </w:p>
    <w:p>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outlineLvl w:val="9"/>
        <w:rPr>
          <w:rFonts w:hint="eastAsia" w:eastAsia="方正小标宋_GBK"/>
          <w:snapToGrid w:val="0"/>
          <w:color w:val="auto"/>
          <w:kern w:val="0"/>
          <w:sz w:val="44"/>
          <w:szCs w:val="44"/>
        </w:rPr>
      </w:pPr>
      <w:r>
        <w:rPr>
          <w:rFonts w:hint="default" w:ascii="Times New Roman" w:hAnsi="Times New Roman" w:cs="Times New Roman"/>
        </w:rPr>
        <w:pict>
          <v:shape id="自选图形 10" o:spid="_x0000_s2051" o:spt="32" type="#_x0000_t32" style="position:absolute;left:0pt;margin-left:-13.6pt;margin-top:9.3pt;height:0pt;width:464.9pt;z-index:251661312;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">
            <v:path arrowok="t"/>
            <v:fill on="f" focussize="0,0"/>
            <v:stroke weight="1.5pt" color="#FF0000"/>
            <v:imagedata o:title=""/>
            <o:lock v:ext="edit"/>
            <v:textbox>
              <w:txbxContent>
                <w:p/>
              </w:txbxContent>
            </v:textbox>
          </v:shape>
        </w:pict>
      </w:r>
      <w:r>
        <w:rPr>
          <w:rFonts w:hint="default" w:ascii="Times New Roman" w:hAnsi="Times New Roman" w:eastAsia="方正小标宋_GBK" w:cs="Times New Roman"/>
          <w:sz w:val="44"/>
          <w:szCs w:val="44"/>
        </w:rPr>
        <w:t xml:space="preserve"> </w:t>
      </w:r>
    </w:p>
    <w:p>
      <w:pPr>
        <w:keepNext w:val="0"/>
        <w:keepLines w:val="0"/>
        <w:pageBreakBefore w:val="0"/>
        <w:widowControl w:val="0"/>
        <w:kinsoku/>
        <w:wordWrap/>
        <w:overflowPunct/>
        <w:topLinePunct w:val="0"/>
        <w:autoSpaceDE/>
        <w:autoSpaceDN/>
        <w:bidi w:val="0"/>
        <w:adjustRightInd/>
        <w:snapToGrid/>
        <w:spacing w:line="100" w:lineRule="exact"/>
        <w:jc w:val="center"/>
        <w:textAlignment w:val="auto"/>
        <w:outlineLvl w:val="9"/>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重庆市渝北区民政局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关于印发《2021年渝北区“健全三级服务体系 推动五社联动发展”社区社会工作公益创投大赛方案》的通知</w:t>
      </w:r>
    </w:p>
    <w:p>
      <w:pPr>
        <w:pStyle w:val="5"/>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方正小标宋_GBK" w:hAnsi="方正小标宋_GBK" w:eastAsia="方正小标宋_GBK" w:cs="方正小标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Times New Roman" w:hAnsi="Times New Roman" w:eastAsia="方正仿宋_GBK" w:cs="Times New Roman"/>
          <w:kern w:val="32"/>
          <w:sz w:val="32"/>
          <w:szCs w:val="32"/>
        </w:rPr>
      </w:pPr>
      <w:r>
        <w:rPr>
          <w:rFonts w:ascii="Times New Roman" w:hAnsi="方正仿宋_GBK" w:eastAsia="方正仿宋_GBK" w:cs="Times New Roman"/>
          <w:kern w:val="32"/>
          <w:sz w:val="32"/>
          <w:szCs w:val="32"/>
        </w:rPr>
        <w:t>各镇人民政府、</w:t>
      </w:r>
      <w:r>
        <w:rPr>
          <w:rFonts w:hint="eastAsia" w:ascii="Times New Roman" w:hAnsi="方正仿宋_GBK" w:eastAsia="方正仿宋_GBK" w:cs="Times New Roman"/>
          <w:kern w:val="32"/>
          <w:sz w:val="32"/>
          <w:szCs w:val="32"/>
        </w:rPr>
        <w:t>各</w:t>
      </w:r>
      <w:r>
        <w:rPr>
          <w:rFonts w:ascii="Times New Roman" w:hAnsi="方正仿宋_GBK" w:eastAsia="方正仿宋_GBK" w:cs="Times New Roman"/>
          <w:kern w:val="32"/>
          <w:sz w:val="32"/>
          <w:szCs w:val="32"/>
        </w:rPr>
        <w:t>街道办事处：</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ascii="Times New Roman" w:hAnsi="方正仿宋_GBK" w:eastAsia="方正仿宋_GBK" w:cs="Times New Roman"/>
          <w:kern w:val="32"/>
          <w:sz w:val="32"/>
          <w:szCs w:val="32"/>
        </w:rPr>
        <w:t>根据区委、区政府《关于进一步加强和完善城乡社区治理的通知》（渝北委发〔</w:t>
      </w:r>
      <w:r>
        <w:rPr>
          <w:rFonts w:ascii="Times New Roman" w:hAnsi="Times New Roman" w:eastAsia="方正仿宋_GBK" w:cs="Times New Roman"/>
          <w:kern w:val="32"/>
          <w:sz w:val="32"/>
          <w:szCs w:val="32"/>
        </w:rPr>
        <w:t>2018</w:t>
      </w:r>
      <w:r>
        <w:rPr>
          <w:rFonts w:ascii="Times New Roman" w:hAnsi="方正仿宋_GBK" w:eastAsia="方正仿宋_GBK" w:cs="Times New Roman"/>
          <w:kern w:val="32"/>
          <w:sz w:val="32"/>
          <w:szCs w:val="32"/>
        </w:rPr>
        <w:t>〕</w:t>
      </w:r>
      <w:r>
        <w:rPr>
          <w:rFonts w:ascii="Times New Roman" w:hAnsi="Times New Roman" w:eastAsia="方正仿宋_GBK" w:cs="Times New Roman"/>
          <w:kern w:val="32"/>
          <w:sz w:val="32"/>
          <w:szCs w:val="32"/>
        </w:rPr>
        <w:t>28</w:t>
      </w:r>
      <w:r>
        <w:rPr>
          <w:rFonts w:ascii="Times New Roman" w:hAnsi="方正仿宋_GBK" w:eastAsia="方正仿宋_GBK" w:cs="Times New Roman"/>
          <w:kern w:val="32"/>
          <w:sz w:val="32"/>
          <w:szCs w:val="32"/>
        </w:rPr>
        <w:t>号）</w:t>
      </w:r>
      <w:r>
        <w:rPr>
          <w:rFonts w:hint="eastAsia" w:ascii="方正仿宋_GBK" w:hAnsi="方正仿宋_GBK" w:eastAsia="方正仿宋_GBK" w:cs="方正仿宋_GBK"/>
          <w:sz w:val="32"/>
          <w:szCs w:val="32"/>
        </w:rPr>
        <w:t>，结合我区实际，制定了《2021年渝北区“健全三级服务体系 推动五社联动发展”社区社会工作公益创投大赛方案》，现印发给你们，请各相关镇街结合实际，认真贯彻执行，具体工作要求如下：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方正黑体_GBK" w:eastAsia="方正黑体_GBK" w:cs="Times New Roman"/>
          <w:kern w:val="32"/>
          <w:sz w:val="32"/>
          <w:szCs w:val="32"/>
        </w:rPr>
        <w:sectPr>
          <w:pgSz w:w="11906" w:h="16838"/>
          <w:pgMar w:top="2098" w:right="1417" w:bottom="1984" w:left="1474"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Times New Roman" w:eastAsia="方正仿宋_GBK" w:cs="Times New Roman"/>
          <w:b/>
          <w:bCs/>
          <w:kern w:val="32"/>
          <w:sz w:val="32"/>
          <w:szCs w:val="32"/>
          <w:highlight w:val="yellow"/>
        </w:rPr>
      </w:pPr>
      <w:r>
        <w:rPr>
          <w:rFonts w:ascii="Times New Roman" w:hAnsi="方正黑体_GBK" w:eastAsia="方正黑体_GBK" w:cs="Times New Roman"/>
          <w:kern w:val="32"/>
          <w:sz w:val="32"/>
          <w:szCs w:val="32"/>
        </w:rPr>
        <w:t>一、高度重视</w:t>
      </w:r>
      <w:r>
        <w:rPr>
          <w:rFonts w:hint="eastAsia" w:ascii="Times New Roman" w:hAnsi="方正黑体_GBK" w:eastAsia="方正黑体_GBK" w:cs="Times New Roman"/>
          <w:kern w:val="32"/>
          <w:sz w:val="32"/>
          <w:szCs w:val="32"/>
        </w:rPr>
        <w:t>创投</w:t>
      </w:r>
      <w:r>
        <w:rPr>
          <w:rFonts w:ascii="Times New Roman" w:hAnsi="方正黑体_GBK" w:eastAsia="方正黑体_GBK" w:cs="Times New Roman"/>
          <w:kern w:val="32"/>
          <w:sz w:val="32"/>
          <w:szCs w:val="32"/>
        </w:rPr>
        <w:t>工作。</w:t>
      </w:r>
      <w:r>
        <w:rPr>
          <w:rFonts w:ascii="Times New Roman" w:hAnsi="方正仿宋_GBK" w:eastAsia="方正仿宋_GBK" w:cs="Times New Roman"/>
          <w:kern w:val="32"/>
          <w:sz w:val="32"/>
          <w:szCs w:val="32"/>
        </w:rPr>
        <w:t>各镇街要</w:t>
      </w:r>
      <w:r>
        <w:rPr>
          <w:rFonts w:ascii="Times New Roman" w:hAnsi="Times New Roman" w:eastAsia="方正仿宋_GBK" w:cs="Times New Roman"/>
          <w:sz w:val="32"/>
          <w:szCs w:val="32"/>
        </w:rPr>
        <w:t>坚持以习近平新时代中国特色社会主义思想为指导，全面贯彻党的十九大精神，坚持党的领导、以人为本、改革创新、城乡统筹、因地制宜原则</w:t>
      </w:r>
      <w:r>
        <w:rPr>
          <w:rFonts w:ascii="Times New Roman" w:hAnsi="方正仿宋_GBK" w:eastAsia="方正仿宋_GBK" w:cs="Times New Roman"/>
          <w:kern w:val="32"/>
          <w:sz w:val="32"/>
          <w:szCs w:val="32"/>
        </w:rPr>
        <w:t>，</w:t>
      </w:r>
      <w:r>
        <w:rPr>
          <w:rFonts w:hint="eastAsia" w:ascii="方正仿宋_GBK" w:hAnsi="方正仿宋_GBK" w:eastAsia="方正仿宋_GBK" w:cs="方正仿宋_GBK"/>
          <w:sz w:val="32"/>
          <w:szCs w:val="32"/>
        </w:rPr>
        <w:t>深化社区、社会组织、社会工作、社区志愿者和社区慈善“五社联动”实践</w:t>
      </w:r>
      <w:r>
        <w:rPr>
          <w:rFonts w:ascii="Times New Roman" w:hAnsi="方正仿宋_GBK" w:eastAsia="方正仿宋_GBK" w:cs="Times New Roman"/>
          <w:kern w:val="32"/>
          <w:sz w:val="32"/>
          <w:szCs w:val="32"/>
        </w:rPr>
        <w:t>。要认真对照全</w:t>
      </w:r>
      <w:r>
        <w:rPr>
          <w:rFonts w:hint="eastAsia" w:ascii="Times New Roman" w:hAnsi="方正仿宋_GBK" w:eastAsia="方正仿宋_GBK" w:cs="Times New Roman"/>
          <w:kern w:val="32"/>
          <w:sz w:val="32"/>
          <w:szCs w:val="32"/>
        </w:rPr>
        <w:t>区创投</w:t>
      </w:r>
      <w:r>
        <w:rPr>
          <w:rFonts w:ascii="Times New Roman" w:hAnsi="方正仿宋_GBK" w:eastAsia="方正仿宋_GBK" w:cs="Times New Roman"/>
          <w:kern w:val="32"/>
          <w:sz w:val="32"/>
          <w:szCs w:val="32"/>
        </w:rPr>
        <w:t>实施方案要求落实责任，强化措施，不折不扣完成社区社会工作</w:t>
      </w:r>
      <w:r>
        <w:rPr>
          <w:rFonts w:hint="eastAsia" w:ascii="Times New Roman" w:hAnsi="方正仿宋_GBK" w:eastAsia="方正仿宋_GBK" w:cs="Times New Roman"/>
          <w:kern w:val="32"/>
          <w:sz w:val="32"/>
          <w:szCs w:val="32"/>
        </w:rPr>
        <w:t>创投项目</w:t>
      </w:r>
      <w:r>
        <w:rPr>
          <w:rFonts w:ascii="Times New Roman" w:hAnsi="方正仿宋_GBK" w:eastAsia="方正仿宋_GBK" w:cs="Times New Roman"/>
          <w:kern w:val="32"/>
          <w:sz w:val="32"/>
          <w:szCs w:val="32"/>
        </w:rPr>
        <w:t>。项目实施要高标准、严要求，达到有特色、有亮点、出成效、可推广、群众知晓率和满意度高的效果。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Times New Roman" w:eastAsia="方正仿宋_GBK" w:cs="Times New Roman"/>
          <w:kern w:val="32"/>
          <w:sz w:val="32"/>
          <w:szCs w:val="32"/>
        </w:rPr>
      </w:pPr>
      <w:r>
        <w:rPr>
          <w:rFonts w:ascii="Times New Roman" w:hAnsi="方正黑体_GBK" w:eastAsia="方正黑体_GBK" w:cs="Times New Roman"/>
          <w:kern w:val="32"/>
          <w:sz w:val="32"/>
          <w:szCs w:val="32"/>
        </w:rPr>
        <w:t>二、认真履行牵头职责。</w:t>
      </w:r>
      <w:r>
        <w:rPr>
          <w:rFonts w:hint="eastAsia" w:ascii="Times New Roman" w:hAnsi="方正仿宋_GBK" w:eastAsia="方正仿宋_GBK" w:cs="Times New Roman"/>
          <w:kern w:val="32"/>
          <w:sz w:val="32"/>
          <w:szCs w:val="32"/>
        </w:rPr>
        <w:t>各</w:t>
      </w:r>
      <w:r>
        <w:rPr>
          <w:rFonts w:ascii="Times New Roman" w:hAnsi="方正仿宋_GBK" w:eastAsia="方正仿宋_GBK" w:cs="Times New Roman"/>
          <w:kern w:val="32"/>
          <w:sz w:val="32"/>
          <w:szCs w:val="32"/>
        </w:rPr>
        <w:t>镇街要切实履行职责，结合村（社区）实际，</w:t>
      </w:r>
      <w:r>
        <w:rPr>
          <w:rFonts w:hint="eastAsia" w:ascii="方正仿宋_GBK" w:hAnsi="方正仿宋_GBK" w:eastAsia="方正仿宋_GBK" w:cs="方正仿宋_GBK"/>
          <w:sz w:val="32"/>
          <w:szCs w:val="32"/>
        </w:rPr>
        <w:t>支持推动本土社工机构发展，加快社区（村）社工室建设，动员并支持辖区村（社区）社会工作室及社工机构申报创投项目。</w:t>
      </w:r>
      <w:r>
        <w:rPr>
          <w:rFonts w:ascii="Times New Roman" w:hAnsi="方正仿宋_GBK" w:eastAsia="方正仿宋_GBK" w:cs="Times New Roman"/>
          <w:kern w:val="32"/>
          <w:sz w:val="32"/>
          <w:szCs w:val="32"/>
        </w:rPr>
        <w:t>做好项目专项资金的监管和使用，加快资金预算执行力度，提高资金使用效率；狠抓典型提炼和经验总结，配合我局做好项目评估工作。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Times New Roman" w:eastAsia="方正黑体_GBK" w:cs="Times New Roman"/>
          <w:kern w:val="32"/>
          <w:sz w:val="32"/>
          <w:szCs w:val="32"/>
        </w:rPr>
      </w:pPr>
      <w:r>
        <w:rPr>
          <w:rFonts w:ascii="Times New Roman" w:hAnsi="方正黑体_GBK" w:eastAsia="方正黑体_GBK" w:cs="Times New Roman"/>
          <w:kern w:val="32"/>
          <w:sz w:val="32"/>
          <w:szCs w:val="32"/>
        </w:rPr>
        <w:t>三、加强</w:t>
      </w:r>
      <w:r>
        <w:rPr>
          <w:rFonts w:hint="eastAsia" w:ascii="Times New Roman" w:hAnsi="方正黑体_GBK" w:eastAsia="方正黑体_GBK" w:cs="Times New Roman"/>
          <w:kern w:val="32"/>
          <w:sz w:val="32"/>
          <w:szCs w:val="32"/>
        </w:rPr>
        <w:t>创投</w:t>
      </w:r>
      <w:r>
        <w:rPr>
          <w:rFonts w:ascii="Times New Roman" w:hAnsi="方正黑体_GBK" w:eastAsia="方正黑体_GBK" w:cs="Times New Roman"/>
          <w:kern w:val="32"/>
          <w:sz w:val="32"/>
          <w:szCs w:val="32"/>
        </w:rPr>
        <w:t>工作统筹。</w:t>
      </w:r>
      <w:r>
        <w:rPr>
          <w:rFonts w:hint="eastAsia" w:ascii="Times New Roman" w:hAnsi="方正仿宋_GBK" w:eastAsia="方正仿宋_GBK" w:cs="Times New Roman"/>
          <w:kern w:val="32"/>
          <w:sz w:val="32"/>
          <w:szCs w:val="32"/>
        </w:rPr>
        <w:t>相关</w:t>
      </w:r>
      <w:r>
        <w:rPr>
          <w:rFonts w:ascii="Times New Roman" w:hAnsi="方正仿宋_GBK" w:eastAsia="方正仿宋_GBK" w:cs="Times New Roman"/>
          <w:kern w:val="32"/>
          <w:sz w:val="32"/>
          <w:szCs w:val="32"/>
        </w:rPr>
        <w:t>镇街应</w:t>
      </w:r>
      <w:r>
        <w:rPr>
          <w:rFonts w:hint="eastAsia" w:ascii="Times New Roman" w:hAnsi="方正仿宋_GBK" w:eastAsia="方正仿宋_GBK" w:cs="Times New Roman"/>
          <w:kern w:val="32"/>
          <w:sz w:val="32"/>
          <w:szCs w:val="32"/>
        </w:rPr>
        <w:t>7月27日前</w:t>
      </w:r>
      <w:r>
        <w:rPr>
          <w:rFonts w:ascii="Times New Roman" w:hAnsi="方正仿宋_GBK" w:eastAsia="方正仿宋_GBK" w:cs="Times New Roman"/>
          <w:kern w:val="32"/>
          <w:sz w:val="32"/>
          <w:szCs w:val="32"/>
        </w:rPr>
        <w:t>将项目申报书</w:t>
      </w:r>
      <w:r>
        <w:rPr>
          <w:rFonts w:hint="eastAsia" w:ascii="Times New Roman" w:hAnsi="方正仿宋_GBK" w:eastAsia="方正仿宋_GBK" w:cs="Times New Roman"/>
          <w:kern w:val="32"/>
          <w:sz w:val="32"/>
          <w:szCs w:val="32"/>
        </w:rPr>
        <w:t>及实施方案</w:t>
      </w:r>
      <w:r>
        <w:rPr>
          <w:rFonts w:ascii="Times New Roman" w:hAnsi="方正仿宋_GBK" w:eastAsia="方正仿宋_GBK" w:cs="Times New Roman"/>
          <w:kern w:val="32"/>
          <w:sz w:val="32"/>
          <w:szCs w:val="32"/>
        </w:rPr>
        <w:t>报区民政局审定</w:t>
      </w:r>
      <w:r>
        <w:rPr>
          <w:rFonts w:hint="eastAsia" w:ascii="Times New Roman" w:hAnsi="方正仿宋_GBK" w:eastAsia="方正仿宋_GBK" w:cs="Times New Roman"/>
          <w:kern w:val="32"/>
          <w:sz w:val="32"/>
          <w:szCs w:val="32"/>
        </w:rPr>
        <w:t>，8月3日前提交</w:t>
      </w:r>
      <w:r>
        <w:rPr>
          <w:rFonts w:ascii="Times New Roman" w:hAnsi="方正仿宋_GBK" w:eastAsia="方正仿宋_GBK" w:cs="Times New Roman"/>
          <w:kern w:val="32"/>
          <w:sz w:val="32"/>
          <w:szCs w:val="32"/>
        </w:rPr>
        <w:t>项目申报书</w:t>
      </w:r>
      <w:r>
        <w:rPr>
          <w:rFonts w:hint="eastAsia" w:ascii="Times New Roman" w:hAnsi="方正仿宋_GBK" w:eastAsia="方正仿宋_GBK" w:cs="Times New Roman"/>
          <w:kern w:val="32"/>
          <w:sz w:val="32"/>
          <w:szCs w:val="32"/>
        </w:rPr>
        <w:t>及实施方案纸质件至区民政局，8月10日前指导项目单位完成路演评审资料准备，8月10日组织项目单位参与项目路演评审</w:t>
      </w:r>
      <w:r>
        <w:rPr>
          <w:rFonts w:ascii="Times New Roman" w:hAnsi="方正仿宋_GBK" w:eastAsia="方正仿宋_GBK" w:cs="Times New Roman"/>
          <w:kern w:val="32"/>
          <w:sz w:val="32"/>
          <w:szCs w:val="32"/>
        </w:rPr>
        <w:t>。实施过程中</w:t>
      </w:r>
      <w:r>
        <w:rPr>
          <w:rFonts w:hint="eastAsia" w:ascii="Times New Roman" w:hAnsi="方正仿宋_GBK" w:eastAsia="方正仿宋_GBK" w:cs="Times New Roman"/>
          <w:kern w:val="32"/>
          <w:sz w:val="32"/>
          <w:szCs w:val="32"/>
        </w:rPr>
        <w:t>每月</w:t>
      </w:r>
      <w:r>
        <w:rPr>
          <w:rFonts w:ascii="Times New Roman" w:hAnsi="方正仿宋_GBK" w:eastAsia="方正仿宋_GBK" w:cs="Times New Roman"/>
          <w:kern w:val="32"/>
          <w:sz w:val="32"/>
          <w:szCs w:val="32"/>
        </w:rPr>
        <w:t>向区民政局报送项目实施进度表</w:t>
      </w:r>
      <w:r>
        <w:rPr>
          <w:rFonts w:hint="eastAsia" w:ascii="Times New Roman" w:hAnsi="方正仿宋_GBK" w:eastAsia="方正仿宋_GBK" w:cs="Times New Roman"/>
          <w:kern w:val="32"/>
          <w:sz w:val="32"/>
          <w:szCs w:val="32"/>
        </w:rPr>
        <w:t>及财务使用情况表</w:t>
      </w:r>
      <w:r>
        <w:rPr>
          <w:rFonts w:ascii="Times New Roman" w:hAnsi="方正仿宋_GBK" w:eastAsia="方正仿宋_GBK" w:cs="Times New Roman"/>
          <w:kern w:val="32"/>
          <w:sz w:val="32"/>
          <w:szCs w:val="32"/>
        </w:rPr>
        <w:t>，并于</w:t>
      </w:r>
      <w:r>
        <w:rPr>
          <w:rFonts w:ascii="Times New Roman" w:hAnsi="Times New Roman" w:eastAsia="方正仿宋_GBK" w:cs="Times New Roman"/>
          <w:kern w:val="32"/>
          <w:sz w:val="32"/>
          <w:szCs w:val="32"/>
        </w:rPr>
        <w:t>202</w:t>
      </w:r>
      <w:r>
        <w:rPr>
          <w:rFonts w:hint="eastAsia" w:ascii="Times New Roman" w:hAnsi="Times New Roman" w:eastAsia="方正仿宋_GBK" w:cs="Times New Roman"/>
          <w:kern w:val="32"/>
          <w:sz w:val="32"/>
          <w:szCs w:val="32"/>
        </w:rPr>
        <w:t>2</w:t>
      </w:r>
      <w:r>
        <w:rPr>
          <w:rFonts w:ascii="Times New Roman" w:hAnsi="方正仿宋_GBK" w:eastAsia="方正仿宋_GBK" w:cs="Times New Roman"/>
          <w:kern w:val="32"/>
          <w:sz w:val="32"/>
          <w:szCs w:val="32"/>
        </w:rPr>
        <w:t>年</w:t>
      </w:r>
      <w:r>
        <w:rPr>
          <w:rFonts w:hint="eastAsia" w:ascii="Times New Roman" w:hAnsi="Times New Roman" w:eastAsia="方正仿宋_GBK" w:cs="Times New Roman"/>
          <w:kern w:val="32"/>
          <w:sz w:val="32"/>
          <w:szCs w:val="32"/>
        </w:rPr>
        <w:t>8</w:t>
      </w:r>
      <w:r>
        <w:rPr>
          <w:rFonts w:ascii="Times New Roman" w:hAnsi="方正仿宋_GBK" w:eastAsia="方正仿宋_GBK" w:cs="Times New Roman"/>
          <w:kern w:val="32"/>
          <w:sz w:val="32"/>
          <w:szCs w:val="32"/>
        </w:rPr>
        <w:t>月</w:t>
      </w:r>
      <w:r>
        <w:rPr>
          <w:rFonts w:hint="eastAsia" w:ascii="Times New Roman" w:hAnsi="Times New Roman" w:eastAsia="方正仿宋_GBK" w:cs="Times New Roman"/>
          <w:kern w:val="32"/>
          <w:sz w:val="32"/>
          <w:szCs w:val="32"/>
        </w:rPr>
        <w:t>30</w:t>
      </w:r>
      <w:r>
        <w:rPr>
          <w:rFonts w:ascii="Times New Roman" w:hAnsi="方正仿宋_GBK" w:eastAsia="方正仿宋_GBK" w:cs="Times New Roman"/>
          <w:kern w:val="32"/>
          <w:sz w:val="32"/>
          <w:szCs w:val="32"/>
        </w:rPr>
        <w:t>日前向区民政局报送</w:t>
      </w:r>
      <w:r>
        <w:rPr>
          <w:rFonts w:hint="eastAsia" w:ascii="Times New Roman" w:hAnsi="方正仿宋_GBK" w:eastAsia="方正仿宋_GBK" w:cs="Times New Roman"/>
          <w:kern w:val="32"/>
          <w:sz w:val="32"/>
          <w:szCs w:val="32"/>
        </w:rPr>
        <w:t>社会工作公益创投项目实施</w:t>
      </w:r>
      <w:r>
        <w:rPr>
          <w:rFonts w:ascii="Times New Roman" w:hAnsi="方正仿宋_GBK" w:eastAsia="方正仿宋_GBK" w:cs="Times New Roman"/>
          <w:kern w:val="32"/>
          <w:sz w:val="32"/>
          <w:szCs w:val="32"/>
        </w:rPr>
        <w:t>总结材料。</w:t>
      </w:r>
    </w:p>
    <w:p>
      <w:pPr>
        <w:pStyle w:val="5"/>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四、加大宣传工作力度。</w:t>
      </w:r>
      <w:r>
        <w:rPr>
          <w:rFonts w:hint="eastAsia" w:ascii="方正仿宋_GBK" w:hAnsi="方正仿宋_GBK" w:eastAsia="方正仿宋_GBK" w:cs="方正仿宋_GBK"/>
          <w:sz w:val="32"/>
          <w:szCs w:val="32"/>
        </w:rPr>
        <w:t>相关镇街要加大对社区社会工作公益创投项目的宣传报道，创新方式方法，加大写作力度，提高稿件质量，营造浓厚氛围。</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Times New Roman" w:hAnsi="Times New Roman" w:eastAsia="方正仿宋_GBK" w:cs="Times New Roman"/>
          <w:kern w:val="3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ascii="Times New Roman" w:hAnsi="Times New Roman" w:eastAsia="方正仿宋_GBK" w:cs="Times New Roman"/>
          <w:sz w:val="32"/>
          <w:szCs w:val="2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outlineLvl w:val="9"/>
        <w:rPr>
          <w:rFonts w:ascii="Times New Roman" w:hAnsi="方正仿宋_GBK" w:eastAsia="方正仿宋_GBK" w:cs="Times New Roman"/>
          <w:kern w:val="3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480" w:firstLineChars="1400"/>
        <w:jc w:val="left"/>
        <w:textAlignment w:val="auto"/>
        <w:outlineLvl w:val="9"/>
        <w:rPr>
          <w:rFonts w:ascii="Times New Roman" w:hAnsi="Times New Roman" w:eastAsia="方正仿宋_GBK" w:cs="Times New Roman"/>
          <w:kern w:val="32"/>
          <w:sz w:val="32"/>
          <w:szCs w:val="32"/>
        </w:rPr>
      </w:pPr>
      <w:r>
        <w:rPr>
          <w:rFonts w:ascii="Times New Roman" w:hAnsi="方正仿宋_GBK" w:eastAsia="方正仿宋_GBK" w:cs="Times New Roman"/>
          <w:kern w:val="32"/>
          <w:sz w:val="32"/>
          <w:szCs w:val="32"/>
        </w:rPr>
        <w:t>重庆市渝北区民政局</w:t>
      </w: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jc w:val="left"/>
        <w:textAlignment w:val="auto"/>
        <w:outlineLvl w:val="9"/>
        <w:rPr>
          <w:rFonts w:ascii="Times New Roman" w:hAnsi="方正仿宋_GBK" w:eastAsia="方正仿宋_GBK" w:cs="Times New Roman"/>
          <w:kern w:val="32"/>
          <w:sz w:val="32"/>
          <w:szCs w:val="32"/>
        </w:rPr>
      </w:pPr>
      <w:r>
        <w:rPr>
          <w:rFonts w:ascii="Times New Roman" w:hAnsi="Times New Roman" w:eastAsia="方正仿宋_GBK" w:cs="Times New Roman"/>
          <w:kern w:val="32"/>
          <w:sz w:val="32"/>
          <w:szCs w:val="32"/>
        </w:rPr>
        <w:t>20</w:t>
      </w:r>
      <w:r>
        <w:rPr>
          <w:rFonts w:hint="eastAsia" w:ascii="Times New Roman" w:hAnsi="Times New Roman" w:eastAsia="方正仿宋_GBK" w:cs="Times New Roman"/>
          <w:kern w:val="32"/>
          <w:sz w:val="32"/>
          <w:szCs w:val="32"/>
        </w:rPr>
        <w:t>21</w:t>
      </w:r>
      <w:r>
        <w:rPr>
          <w:rFonts w:ascii="Times New Roman" w:hAnsi="方正仿宋_GBK" w:eastAsia="方正仿宋_GBK" w:cs="Times New Roman"/>
          <w:kern w:val="32"/>
          <w:sz w:val="32"/>
          <w:szCs w:val="32"/>
        </w:rPr>
        <w:t>年</w:t>
      </w:r>
      <w:r>
        <w:rPr>
          <w:rFonts w:hint="eastAsia" w:ascii="Times New Roman" w:hAnsi="Times New Roman" w:eastAsia="方正仿宋_GBK" w:cs="Times New Roman"/>
          <w:kern w:val="32"/>
          <w:sz w:val="32"/>
          <w:szCs w:val="32"/>
        </w:rPr>
        <w:t>7</w:t>
      </w:r>
      <w:r>
        <w:rPr>
          <w:rFonts w:ascii="Times New Roman" w:hAnsi="方正仿宋_GBK" w:eastAsia="方正仿宋_GBK" w:cs="Times New Roman"/>
          <w:kern w:val="32"/>
          <w:sz w:val="32"/>
          <w:szCs w:val="32"/>
        </w:rPr>
        <w:t>月</w:t>
      </w:r>
      <w:r>
        <w:rPr>
          <w:rFonts w:hint="eastAsia" w:ascii="Times New Roman" w:hAnsi="Times New Roman" w:eastAsia="方正仿宋_GBK" w:cs="Times New Roman"/>
          <w:kern w:val="32"/>
          <w:sz w:val="32"/>
          <w:szCs w:val="32"/>
        </w:rPr>
        <w:t>2</w:t>
      </w:r>
      <w:r>
        <w:rPr>
          <w:rFonts w:hint="eastAsia" w:ascii="Times New Roman" w:hAnsi="Times New Roman" w:eastAsia="方正仿宋_GBK" w:cs="Times New Roman"/>
          <w:kern w:val="32"/>
          <w:sz w:val="32"/>
          <w:szCs w:val="32"/>
          <w:lang w:val="en-US" w:eastAsia="zh-CN"/>
        </w:rPr>
        <w:t>1</w:t>
      </w:r>
      <w:r>
        <w:rPr>
          <w:rFonts w:ascii="Times New Roman" w:hAnsi="方正仿宋_GBK" w:eastAsia="方正仿宋_GBK" w:cs="Times New Roman"/>
          <w:kern w:val="32"/>
          <w:sz w:val="32"/>
          <w:szCs w:val="32"/>
        </w:rPr>
        <w:t>日</w:t>
      </w:r>
    </w:p>
    <w:p>
      <w:pPr>
        <w:spacing w:line="560" w:lineRule="exact"/>
        <w:ind w:firstLine="4480" w:firstLineChars="1400"/>
        <w:jc w:val="left"/>
        <w:rPr>
          <w:rFonts w:ascii="Times New Roman" w:hAnsi="Times New Roman" w:eastAsia="方正仿宋_GBK" w:cs="Times New Roman"/>
          <w:kern w:val="32"/>
          <w:sz w:val="32"/>
          <w:szCs w:val="32"/>
        </w:rPr>
      </w:pPr>
    </w:p>
    <w:p>
      <w:pPr>
        <w:spacing w:line="560" w:lineRule="exact"/>
        <w:ind w:firstLine="640" w:firstLineChars="200"/>
        <w:rPr>
          <w:rFonts w:ascii="Times New Roman" w:hAnsi="方正仿宋_GBK" w:eastAsia="方正仿宋_GBK" w:cs="Times New Roman"/>
          <w:kern w:val="32"/>
          <w:sz w:val="32"/>
          <w:szCs w:val="32"/>
        </w:rPr>
      </w:pPr>
      <w:r>
        <w:rPr>
          <w:rFonts w:ascii="Times New Roman" w:hAnsi="方正仿宋_GBK" w:eastAsia="方正仿宋_GBK" w:cs="Times New Roman"/>
          <w:kern w:val="32"/>
          <w:sz w:val="32"/>
          <w:szCs w:val="32"/>
        </w:rPr>
        <w:t>（联系人：陈斯嘉</w:t>
      </w:r>
      <w:r>
        <w:rPr>
          <w:rFonts w:ascii="Times New Roman" w:hAnsi="Times New Roman" w:eastAsia="方正仿宋_GBK" w:cs="Times New Roman"/>
          <w:kern w:val="32"/>
          <w:sz w:val="32"/>
          <w:szCs w:val="32"/>
        </w:rPr>
        <w:t xml:space="preserve"> </w:t>
      </w:r>
      <w:r>
        <w:rPr>
          <w:rFonts w:hint="eastAsia" w:ascii="Times New Roman" w:hAnsi="Times New Roman" w:eastAsia="方正仿宋_GBK" w:cs="Times New Roman"/>
          <w:kern w:val="32"/>
          <w:sz w:val="32"/>
          <w:szCs w:val="32"/>
        </w:rPr>
        <w:t>，</w:t>
      </w:r>
      <w:r>
        <w:rPr>
          <w:rFonts w:ascii="Times New Roman" w:hAnsi="方正仿宋_GBK" w:eastAsia="方正仿宋_GBK" w:cs="Times New Roman"/>
          <w:kern w:val="32"/>
          <w:sz w:val="32"/>
          <w:szCs w:val="32"/>
        </w:rPr>
        <w:t>联系电话：</w:t>
      </w:r>
      <w:r>
        <w:rPr>
          <w:rFonts w:ascii="Times New Roman" w:hAnsi="Times New Roman" w:eastAsia="方正仿宋_GBK" w:cs="Times New Roman"/>
          <w:kern w:val="32"/>
          <w:sz w:val="32"/>
          <w:szCs w:val="32"/>
        </w:rPr>
        <w:t>86010708</w:t>
      </w:r>
      <w:r>
        <w:rPr>
          <w:rFonts w:ascii="Times New Roman" w:hAnsi="方正仿宋_GBK" w:eastAsia="方正仿宋_GBK" w:cs="Times New Roman"/>
          <w:kern w:val="32"/>
          <w:sz w:val="32"/>
          <w:szCs w:val="32"/>
        </w:rPr>
        <w:t>）</w:t>
      </w: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ind w:firstLine="640" w:firstLineChars="200"/>
        <w:rPr>
          <w:rFonts w:hint="eastAsia" w:ascii="Times New Roman" w:hAnsi="方正仿宋_GBK" w:eastAsia="方正仿宋_GBK" w:cs="Times New Roman"/>
          <w:kern w:val="32"/>
          <w:sz w:val="32"/>
          <w:szCs w:val="32"/>
          <w:lang w:eastAsia="zh-CN"/>
        </w:rPr>
      </w:pPr>
      <w:bookmarkStart w:id="1" w:name="_GoBack"/>
      <w:bookmarkEnd w:id="1"/>
      <w:r>
        <w:rPr>
          <w:rFonts w:hint="eastAsia" w:ascii="Times New Roman" w:hAnsi="方正仿宋_GBK" w:eastAsia="方正仿宋_GBK" w:cs="Times New Roman"/>
          <w:kern w:val="32"/>
          <w:sz w:val="32"/>
          <w:szCs w:val="32"/>
          <w:lang w:eastAsia="zh-CN"/>
        </w:rPr>
        <w:t>（此件公开发布）</w:t>
      </w: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pStyle w:val="2"/>
        <w:rPr>
          <w:rFonts w:ascii="Times New Roman" w:hAnsi="方正仿宋_GBK" w:eastAsia="方正仿宋_GBK" w:cs="Times New Roman"/>
          <w:kern w:val="32"/>
          <w:sz w:val="32"/>
          <w:szCs w:val="32"/>
        </w:rPr>
      </w:pPr>
    </w:p>
    <w:p>
      <w:pPr>
        <w:keepNext w:val="0"/>
        <w:keepLines w:val="0"/>
        <w:pageBreakBefore w:val="0"/>
        <w:kinsoku/>
        <w:wordWrap/>
        <w:overflowPunct/>
        <w:topLinePunct w:val="0"/>
        <w:autoSpaceDE/>
        <w:autoSpaceDN/>
        <w:bidi w:val="0"/>
        <w:adjustRightInd/>
        <w:snapToGrid/>
        <w:spacing w:line="560" w:lineRule="exact"/>
        <w:jc w:val="center"/>
        <w:textAlignment w:val="auto"/>
        <w:outlineLvl w:val="9"/>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2021年渝北区“健全三级服务体系 推动五社联动发展”社区社会工作公益创投大赛方案</w:t>
      </w:r>
    </w:p>
    <w:p>
      <w:pPr>
        <w:keepNext w:val="0"/>
        <w:keepLines w:val="0"/>
        <w:pageBreakBefore w:val="0"/>
        <w:kinsoku/>
        <w:wordWrap/>
        <w:overflowPunct/>
        <w:topLinePunct w:val="0"/>
        <w:autoSpaceDE/>
        <w:autoSpaceDN/>
        <w:bidi w:val="0"/>
        <w:adjustRightInd/>
        <w:snapToGrid/>
        <w:spacing w:line="560" w:lineRule="exact"/>
        <w:ind w:firstLine="880" w:firstLineChars="200"/>
        <w:jc w:val="left"/>
        <w:textAlignment w:val="auto"/>
        <w:outlineLvl w:val="9"/>
        <w:rPr>
          <w:rFonts w:ascii="方正小标宋_GBK" w:hAnsi="方正小标宋_GBK" w:eastAsia="方正小标宋_GBK" w:cs="方正小标宋_GBK"/>
          <w:sz w:val="44"/>
          <w:szCs w:val="44"/>
        </w:rPr>
      </w:pP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为确保2021年渝北区民政局“健全三级服务体系、推动五社联动发展”社区社会工作公益创投大赛取得预期成效，制定如下方案：</w:t>
      </w:r>
    </w:p>
    <w:p>
      <w:pPr>
        <w:keepNext w:val="0"/>
        <w:keepLines w:val="0"/>
        <w:pageBreakBefore w:val="0"/>
        <w:kinsoku/>
        <w:wordWrap/>
        <w:overflowPunct/>
        <w:topLinePunct w:val="0"/>
        <w:autoSpaceDE/>
        <w:autoSpaceDN/>
        <w:bidi w:val="0"/>
        <w:adjustRightInd/>
        <w:snapToGrid/>
        <w:spacing w:line="560" w:lineRule="exact"/>
        <w:jc w:val="left"/>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w:t>
      </w:r>
      <w:r>
        <w:rPr>
          <w:rFonts w:hint="eastAsia" w:ascii="方正黑体_GBK" w:hAnsi="方正黑体_GBK" w:eastAsia="方正黑体_GBK" w:cs="方正黑体_GBK"/>
          <w:sz w:val="32"/>
          <w:szCs w:val="32"/>
        </w:rPr>
        <w:t xml:space="preserve">   一、活动内容</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以加强和完善城乡社区治理为目的，充分发挥社会工作创新基层社会治理、服务城乡居民的重要作用，加强镇街、社区（村）党组织对社会工作的领导，深化社区、社会组织、社会工作、社区志愿者和社区慈善“五社联动”实践，支持推动本土社工机构发展，加快社区（村）社工室建设。在渝北区社会工作三级服务体系下，鼓励本土社工机构和社区（村）社工室以公益创投的方式，选择一个或两个社区为项目实施地，申报和实施社区社会工作公益项目，为城乡居民提供专业社会工作服务，解决社区问题、深化专业服务、提升服务水平。</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二、活动目标</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（一）健全社会工作三级服务体系。</w:t>
      </w:r>
      <w:r>
        <w:rPr>
          <w:rFonts w:hint="eastAsia" w:ascii="方正仿宋_GBK" w:hAnsi="方正仿宋_GBK" w:eastAsia="方正仿宋_GBK" w:cs="方正仿宋_GBK"/>
          <w:sz w:val="32"/>
          <w:szCs w:val="32"/>
        </w:rPr>
        <w:t>发挥“区级—镇街—社区”社会工作三级服务体系的平台作用，形成三级服务体系的互动畅通和有效运作。</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（二）推动社会工作“五社联动”。</w:t>
      </w:r>
      <w:r>
        <w:rPr>
          <w:rFonts w:hint="eastAsia" w:ascii="方正仿宋_GBK" w:hAnsi="方正仿宋_GBK" w:eastAsia="方正仿宋_GBK" w:cs="方正仿宋_GBK"/>
          <w:sz w:val="32"/>
          <w:szCs w:val="32"/>
        </w:rPr>
        <w:t>通过创意设计、项目运作、专家评估等，培育和发展本土社工机构，打造社区（村）社工室，促进社区、社工、社会工作、社区志愿者和社区慈善有效联动，发挥合力。</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（三）满足城乡居民多样化需求。</w:t>
      </w:r>
      <w:r>
        <w:rPr>
          <w:rFonts w:hint="eastAsia" w:ascii="方正仿宋_GBK" w:hAnsi="方正仿宋_GBK" w:eastAsia="方正仿宋_GBK" w:cs="方正仿宋_GBK"/>
          <w:sz w:val="32"/>
          <w:szCs w:val="32"/>
        </w:rPr>
        <w:t>通过社会机构和社区（村）社工室参与公益创投，在社区实施以人为本、助人自助的公益服务项目，满足城乡居民群众多样化、个性化的服务需求，促进社会和谐。</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（四）助推社会治理体系转变。</w:t>
      </w:r>
      <w:r>
        <w:rPr>
          <w:rFonts w:hint="eastAsia" w:ascii="方正仿宋_GBK" w:hAnsi="方正仿宋_GBK" w:eastAsia="方正仿宋_GBK" w:cs="方正仿宋_GBK"/>
          <w:sz w:val="32"/>
          <w:szCs w:val="32"/>
        </w:rPr>
        <w:t>通过公益创投项目实施，在社区配置充足的专业力量，在推广“三事分流”工作机制的基础上，创新社区治理服务模式，提高服务对象解决问题的能力，切实解决本辖区服务对象面临的突出的专业问题，总结经验形成长效可推广的社区治理工作机制，为加强和创新社会治理、构建社会主义和谐社会提供经验和示范。</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三、组织领导</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为切实加强组织领导，成立渝北区社会工作公益创投大赛组委会。渝北区民政局局长为组长，相关业务分管领导为副组长，成员包括渝北区民政局办公室负责人和相关业务科室负责人。</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四、工作分工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渝北区</w:t>
      </w:r>
      <w:r>
        <w:rPr>
          <w:rFonts w:hint="eastAsia" w:ascii="方正仿宋_GBK" w:hAnsi="方正仿宋_GBK" w:eastAsia="方正仿宋_GBK" w:cs="方正仿宋_GBK"/>
          <w:bCs/>
          <w:sz w:val="32"/>
          <w:szCs w:val="32"/>
        </w:rPr>
        <w:t>社会工作指导中心</w:t>
      </w:r>
      <w:r>
        <w:rPr>
          <w:rFonts w:hint="eastAsia" w:ascii="方正仿宋_GBK" w:hAnsi="方正仿宋_GBK" w:eastAsia="方正仿宋_GBK" w:cs="方正仿宋_GBK"/>
          <w:sz w:val="32"/>
          <w:szCs w:val="32"/>
        </w:rPr>
        <w:t>：负责协调有关职能部门保证公益创投大赛顺利开展；负责项目的申报、</w:t>
      </w:r>
      <w:r>
        <w:rPr>
          <w:rFonts w:hint="eastAsia" w:ascii="方正仿宋_GBK" w:hAnsi="方正仿宋_GBK" w:eastAsia="方正仿宋_GBK" w:cs="方正仿宋_GBK"/>
          <w:bCs/>
          <w:sz w:val="32"/>
          <w:szCs w:val="32"/>
        </w:rPr>
        <w:t>协调指导、制度建设、</w:t>
      </w:r>
      <w:r>
        <w:rPr>
          <w:rFonts w:hint="eastAsia" w:ascii="方正仿宋_GBK" w:hAnsi="方正仿宋_GBK" w:eastAsia="方正仿宋_GBK" w:cs="方正仿宋_GBK"/>
          <w:sz w:val="32"/>
          <w:szCs w:val="32"/>
        </w:rPr>
        <w:t>实施督导、开展培训、日常</w:t>
      </w:r>
      <w:r>
        <w:rPr>
          <w:rFonts w:hint="eastAsia" w:ascii="方正仿宋_GBK" w:hAnsi="方正仿宋_GBK" w:eastAsia="方正仿宋_GBK" w:cs="方正仿宋_GBK"/>
          <w:bCs/>
          <w:sz w:val="32"/>
          <w:szCs w:val="32"/>
        </w:rPr>
        <w:t>督促检查、经验推广及标准化工作等</w:t>
      </w:r>
      <w:r>
        <w:rPr>
          <w:rFonts w:hint="eastAsia" w:ascii="方正仿宋_GBK" w:hAnsi="方正仿宋_GBK" w:eastAsia="方正仿宋_GBK" w:cs="方正仿宋_GBK"/>
          <w:sz w:val="32"/>
          <w:szCs w:val="32"/>
        </w:rPr>
        <w:t>，指导各项目形成经验材料，为本项目向全区推行做出分析。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渝北区民政局办公室：负责协调新闻媒体开展系列宣传活动，广泛宣扬公益慈善、社会工作和社区治理理念，为大赛顺利进行营造良好氛围。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渝北区民政局社事科：负责组织动员社工机构参与本大赛活动，作为社工机构业务主管部门做好相关监管工作，作为未成年人保护类、婚俗改革类项目的业务指导科室，负责做好相关项目的申报、实施及验收全过程的动员、指导、管理，负责配合创投大赛路演评选活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渝北区民政局政权科：具体负责制定活动方案，负责对社区（村）申报的项目全过程进行指导，负责组织创投大赛路演评选活动。作为社区治理类项目的业务指导科室，负责做好相关项目申报、实施及验收全过程的动员、指导、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渝北区民政局救助科：作为社会救助类项目的业务指导科室，负责做好相关项目动员、申报、实施及验收全过程的动员、指导、管理。 </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申报单位镇街：负责组织动员辖区社工机构和社区（村）社会工作室参与本大赛活动；负责镇街党（工）委、政府配备镇街级项目资金；负责对参与申报的社工机构和社区（村）社会工作室方案进行审核，对项目实施进行管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各申报单位镇街</w:t>
      </w:r>
      <w:r>
        <w:rPr>
          <w:rFonts w:hint="eastAsia" w:ascii="方正仿宋_GBK" w:hAnsi="方正仿宋_GBK" w:eastAsia="方正仿宋_GBK" w:cs="方正仿宋_GBK"/>
          <w:bCs/>
          <w:sz w:val="32"/>
          <w:szCs w:val="32"/>
        </w:rPr>
        <w:t>社会工作站</w:t>
      </w:r>
      <w:r>
        <w:rPr>
          <w:rFonts w:hint="eastAsia" w:ascii="方正仿宋_GBK" w:hAnsi="方正仿宋_GBK" w:eastAsia="方正仿宋_GBK" w:cs="方正仿宋_GBK"/>
          <w:sz w:val="32"/>
          <w:szCs w:val="32"/>
        </w:rPr>
        <w:t>：负责组织动员辖区社工机构和社区（村）社会工作室参与本大赛活动；负责协调镇街党（工）委、政府配备镇街级项目资金；负责对参与申报的社工机构和社区（村）社会工作室方案进行初审；负责项目覆盖区域的社会工作者开展社会工作管理、培训等服务；负责</w:t>
      </w:r>
      <w:r>
        <w:rPr>
          <w:rFonts w:hint="eastAsia" w:ascii="方正仿宋_GBK" w:hAnsi="方正仿宋_GBK" w:eastAsia="方正仿宋_GBK" w:cs="方正仿宋_GBK"/>
          <w:bCs/>
          <w:sz w:val="32"/>
          <w:szCs w:val="32"/>
        </w:rPr>
        <w:t>对村（社区）社会工作室的项目进行日常督导及评估；负责</w:t>
      </w:r>
      <w:r>
        <w:rPr>
          <w:rFonts w:hint="eastAsia" w:ascii="方正仿宋_GBK" w:hAnsi="方正仿宋_GBK" w:eastAsia="方正仿宋_GBK" w:cs="方正仿宋_GBK"/>
          <w:sz w:val="32"/>
          <w:szCs w:val="32"/>
        </w:rPr>
        <w:t>开展社工服务项目的宣传总结。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五、活动规则</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（一）评审团队</w:t>
      </w:r>
      <w:r>
        <w:rPr>
          <w:rFonts w:hint="eastAsia" w:ascii="方正仿宋_GBK" w:hAnsi="方正仿宋_GBK" w:eastAsia="方正仿宋_GBK" w:cs="方正仿宋_GBK"/>
          <w:sz w:val="32"/>
          <w:szCs w:val="32"/>
        </w:rPr>
        <w:t>。由渝北民政局邀请行业内社工专家和相关单位共同组建评审小组，具体负责公益创投项目的评审工作。</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（二）参加主体。</w:t>
      </w:r>
      <w:r>
        <w:rPr>
          <w:rFonts w:hint="eastAsia" w:ascii="方正仿宋_GBK" w:hAnsi="方正仿宋_GBK" w:eastAsia="方正仿宋_GBK" w:cs="方正仿宋_GBK"/>
          <w:sz w:val="32"/>
          <w:szCs w:val="32"/>
        </w:rPr>
        <w:t>申报公益创投和实施公益项目的主体是在</w:t>
      </w:r>
      <w:r>
        <w:rPr>
          <w:rFonts w:hint="eastAsia" w:ascii="方正仿宋_GBK" w:hAnsi="方正仿宋_GBK" w:eastAsia="方正仿宋_GBK" w:cs="方正仿宋_GBK"/>
          <w:color w:val="191919"/>
          <w:sz w:val="32"/>
          <w:szCs w:val="32"/>
          <w:shd w:val="clear" w:color="auto" w:fill="FFFFFF"/>
        </w:rPr>
        <w:t>经民政部门登记注册的社工机构（在渝北区注册登记的、</w:t>
      </w:r>
      <w:r>
        <w:rPr>
          <w:rFonts w:hint="eastAsia" w:ascii="方正仿宋_GBK" w:hAnsi="方正仿宋_GBK" w:eastAsia="方正仿宋_GBK" w:cs="方正仿宋_GBK"/>
          <w:sz w:val="32"/>
          <w:szCs w:val="32"/>
        </w:rPr>
        <w:t>在项目所在社区或社区所在镇街承接过项目的</w:t>
      </w:r>
      <w:r>
        <w:rPr>
          <w:rFonts w:hint="eastAsia" w:ascii="方正仿宋_GBK" w:hAnsi="方正仿宋_GBK" w:eastAsia="方正仿宋_GBK" w:cs="方正仿宋_GBK"/>
          <w:color w:val="191919"/>
          <w:sz w:val="32"/>
          <w:szCs w:val="32"/>
          <w:shd w:val="clear" w:color="auto" w:fill="FFFFFF"/>
        </w:rPr>
        <w:t>社工机构在同等条件下享有优先权）</w:t>
      </w:r>
      <w:r>
        <w:rPr>
          <w:rFonts w:hint="eastAsia" w:ascii="方正仿宋_GBK" w:hAnsi="方正仿宋_GBK" w:eastAsia="方正仿宋_GBK" w:cs="方正仿宋_GBK"/>
          <w:sz w:val="32"/>
          <w:szCs w:val="32"/>
        </w:rPr>
        <w:t>或渝北区各社区（村）社会工作室。社工机构和渝北区社区（村）社会工作室可单独申报，也可由渝北区社区（村）社会工作室和社工机构联合申报。参与区级、镇街级项目的不能参与社区级项目。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（三）项目类别。</w:t>
      </w:r>
      <w:r>
        <w:rPr>
          <w:rFonts w:hint="eastAsia" w:ascii="方正仿宋_GBK" w:hAnsi="方正仿宋_GBK" w:eastAsia="方正仿宋_GBK" w:cs="方正仿宋_GBK"/>
          <w:sz w:val="32"/>
          <w:szCs w:val="32"/>
        </w:rPr>
        <w:t>本次公益创投大赛项目类别为四类，分为20个子项目，具体类别如下：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社区治理类。全区该类项目申报不得超过10个子项目。</w:t>
      </w:r>
      <w:r>
        <w:rPr>
          <w:rFonts w:hint="eastAsia" w:ascii="方正仿宋_GBK" w:hAnsi="方正仿宋_GBK" w:eastAsia="方正仿宋_GBK" w:cs="方正仿宋_GBK"/>
          <w:bCs/>
          <w:sz w:val="32"/>
          <w:szCs w:val="32"/>
        </w:rPr>
        <w:t>推进社区、社会组织、社会工作者、社区志愿者、社区公益慈善资源“五社联动”，孵化培育社区社会组织，培育发展志愿服务队伍，根据居民需求统筹设计和实施服务项目，促进社会组织、社会资源和各类社区主体有序参与。</w:t>
      </w:r>
      <w:r>
        <w:rPr>
          <w:rFonts w:hint="eastAsia" w:ascii="方正仿宋_GBK" w:hAnsi="方正仿宋_GBK" w:eastAsia="方正仿宋_GBK" w:cs="方正仿宋_GBK"/>
          <w:color w:val="000000"/>
          <w:sz w:val="32"/>
          <w:szCs w:val="32"/>
          <w:shd w:val="clear" w:color="auto" w:fill="FFFFFF"/>
        </w:rPr>
        <w:t>运用“三事分流”、“共治共建共享”“议事协商”等社区治理工作理念，</w:t>
      </w:r>
      <w:r>
        <w:rPr>
          <w:rFonts w:hint="eastAsia" w:ascii="方正仿宋_GBK" w:hAnsi="方正仿宋_GBK" w:eastAsia="方正仿宋_GBK" w:cs="方正仿宋_GBK"/>
          <w:sz w:val="32"/>
          <w:szCs w:val="32"/>
        </w:rPr>
        <w:t>开展协商议事平台建设、社区共治自治、社区社会组织培育发展、志愿队伍建设等项目,使社区治理精准化不断提升，形成可推广、复制的工作经验。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2.未成年人保护类。全区该类项目申报不得超过2个子项目。包括未成年人的家庭教育、生命教育、性教育等公共教育；对困境中的未成年人的救助保护；未成年人的心理健康服务等。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3.婚俗改革类。全区该类项目申报不得超过3个子项目。包括婚姻家庭辅导、文明婚俗文化建设，</w:t>
      </w:r>
      <w:r>
        <w:rPr>
          <w:rFonts w:hint="eastAsia" w:ascii="方正仿宋_GBK" w:hAnsi="方正仿宋_GBK" w:eastAsia="方正仿宋_GBK" w:cs="方正仿宋_GBK"/>
          <w:bCs/>
          <w:sz w:val="32"/>
          <w:szCs w:val="32"/>
        </w:rPr>
        <w:t>宣传婚姻政策法规、婚俗改革、新时代婚姻家庭文化建设，开展婚前辅导、婚姻家庭咨询和辅导等服务。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bCs/>
          <w:sz w:val="32"/>
          <w:szCs w:val="32"/>
        </w:rPr>
      </w:pPr>
      <w:r>
        <w:rPr>
          <w:rFonts w:hint="eastAsia" w:ascii="方正仿宋_GBK" w:hAnsi="方正仿宋_GBK" w:eastAsia="方正仿宋_GBK" w:cs="方正仿宋_GBK"/>
          <w:sz w:val="32"/>
          <w:szCs w:val="32"/>
        </w:rPr>
        <w:t>4.社会救助类。全区该类项目申报不得超过5个子项目。包括对困难群体的探访、宣传倡导、</w:t>
      </w:r>
      <w:r>
        <w:rPr>
          <w:rFonts w:ascii="方正仿宋_GBK" w:hAnsi="方正仿宋_GBK" w:eastAsia="方正仿宋_GBK" w:cs="方正仿宋_GBK"/>
          <w:sz w:val="32"/>
          <w:szCs w:val="32"/>
        </w:rPr>
        <w:t>社会融入</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能力提升</w:t>
      </w:r>
      <w:r>
        <w:rPr>
          <w:rFonts w:hint="eastAsia" w:ascii="方正仿宋_GBK" w:hAnsi="方正仿宋_GBK" w:eastAsia="方正仿宋_GBK" w:cs="方正仿宋_GBK"/>
          <w:sz w:val="32"/>
          <w:szCs w:val="32"/>
        </w:rPr>
        <w:t>、</w:t>
      </w:r>
      <w:r>
        <w:rPr>
          <w:rFonts w:ascii="方正仿宋_GBK" w:hAnsi="方正仿宋_GBK" w:eastAsia="方正仿宋_GBK" w:cs="方正仿宋_GBK"/>
          <w:sz w:val="32"/>
          <w:szCs w:val="32"/>
        </w:rPr>
        <w:t>心理疏导</w:t>
      </w:r>
      <w:r>
        <w:rPr>
          <w:rFonts w:hint="eastAsia" w:ascii="方正仿宋_GBK" w:hAnsi="方正仿宋_GBK" w:eastAsia="方正仿宋_GBK" w:cs="方正仿宋_GBK"/>
          <w:sz w:val="32"/>
          <w:szCs w:val="32"/>
        </w:rPr>
        <w:t>、</w:t>
      </w:r>
      <w:r>
        <w:rPr>
          <w:rFonts w:ascii="方正仿宋_GBK" w:hAnsi="方正仿宋_GBK" w:eastAsia="方正仿宋_GBK" w:cs="方正仿宋_GBK"/>
          <w:kern w:val="0"/>
          <w:sz w:val="32"/>
          <w:szCs w:val="32"/>
        </w:rPr>
        <w:t>资源链接</w:t>
      </w:r>
      <w:r>
        <w:rPr>
          <w:rFonts w:hint="eastAsia" w:ascii="方正仿宋_GBK" w:hAnsi="方正仿宋_GBK" w:eastAsia="方正仿宋_GBK" w:cs="方正仿宋_GBK"/>
          <w:kern w:val="0"/>
          <w:sz w:val="32"/>
          <w:szCs w:val="32"/>
        </w:rPr>
        <w:t>等</w:t>
      </w:r>
      <w:r>
        <w:rPr>
          <w:rFonts w:ascii="方正仿宋_GBK" w:hAnsi="方正仿宋_GBK" w:eastAsia="方正仿宋_GBK" w:cs="方正仿宋_GBK"/>
          <w:kern w:val="0"/>
          <w:sz w:val="32"/>
          <w:szCs w:val="32"/>
        </w:rPr>
        <w:t>服务</w:t>
      </w:r>
      <w:r>
        <w:rPr>
          <w:rFonts w:hint="eastAsia" w:ascii="方正仿宋_GBK" w:hAnsi="方正仿宋_GBK" w:eastAsia="方正仿宋_GBK" w:cs="方正仿宋_GBK"/>
          <w:kern w:val="0"/>
          <w:sz w:val="32"/>
          <w:szCs w:val="32"/>
        </w:rPr>
        <w:t>；对</w:t>
      </w:r>
      <w:r>
        <w:rPr>
          <w:rFonts w:hint="eastAsia" w:ascii="方正仿宋_GBK" w:hAnsi="方正仿宋_GBK" w:eastAsia="方正仿宋_GBK" w:cs="方正仿宋_GBK"/>
          <w:sz w:val="32"/>
          <w:szCs w:val="32"/>
        </w:rPr>
        <w:t>边缘群体的动态监测。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（四）实施范围和周期。</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项目实施地为渝北区辖区镇街的社区和村，服务对象为镇街范围内的常住居（村）民。</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项目实施周期不超过一年。</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pPr>
      <w:r>
        <w:rPr>
          <w:rFonts w:hint="eastAsia" w:ascii="方正楷体_GBK" w:hAnsi="方正楷体_GBK" w:eastAsia="方正楷体_GBK" w:cs="方正楷体_GBK"/>
          <w:sz w:val="32"/>
          <w:szCs w:val="32"/>
        </w:rPr>
        <w:t>（五）项目评审方式。</w:t>
      </w:r>
      <w:r>
        <w:rPr>
          <w:rFonts w:hint="eastAsia" w:ascii="方正仿宋_GBK" w:hAnsi="方正仿宋_GBK" w:eastAsia="方正仿宋_GBK" w:cs="方正仿宋_GBK"/>
          <w:sz w:val="32"/>
          <w:szCs w:val="32"/>
        </w:rPr>
        <w:t>项目评审</w:t>
      </w:r>
      <w:r>
        <w:rPr>
          <w:rFonts w:hint="eastAsia" w:ascii="方正仿宋_GBK" w:hAnsi="方正仿宋_GBK" w:eastAsia="方正仿宋_GBK" w:cs="方正仿宋_GBK"/>
          <w:spacing w:val="8"/>
          <w:sz w:val="32"/>
          <w:szCs w:val="32"/>
          <w:shd w:val="clear" w:color="auto" w:fill="FFFFFF"/>
        </w:rPr>
        <w:t>以“项目方案+路演”评审的方式举行，项目申报方以PPT汇演的形式全面汇报项目组织能力、需求调研、项目设计、项目执行方案、执行团队等方面。</w:t>
      </w:r>
      <w:r>
        <w:rPr>
          <w:rFonts w:hint="eastAsia" w:ascii="方正仿宋_GBK" w:hAnsi="方正仿宋_GBK" w:eastAsia="方正仿宋_GBK" w:cs="方正仿宋_GBK"/>
          <w:sz w:val="32"/>
          <w:szCs w:val="32"/>
        </w:rPr>
        <w:t>评审小组现场打分并当场公布，评分标准件附件2，评分在70分以下的项目不得参与执行本次创投项目。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（六）经费安排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每个项目以核定的预算总额与镇街配套资金之间的差额作为资助标准，镇街可相应配备项目资金用于项目补助，单个项目资助资金最高不超过5万元。资助资金用于人员费用支出部分不得超过30%，镇街自筹资金不受此限制。每个社区在四种项目类别中最多开展2个类别的子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（七）项目要求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社会需求广泛性：项目所涉及的社会需求具有广泛性，在项目实施区域乃至辖区范围内有一定比例的人群遇到相同的社会问题。</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 现实需要迫切性：项目所解决的问题具有明显的迫切性，现行社会福利服务体系尚未开展足够的专门服务以满足此部分需求，亟需社工服务项目的介入。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 目标定位公益性：项目服务指向明确，受益群体精准，公益色彩突出。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 项目理念创新性：项目实施理念、运作模式、参与方式具有明显的创新性。政府已经针对相应人群提供了相同服务或已从通过其它渠道获得了足够资金支持的项目不得参与本次大赛。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 项目策划科学性：项目策划符合政府相关政策导向，经费预算精准，进度安排合理，评估标准科学，落地性、可持续性和可复制性较强。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 项目可操作性：项目实施具备良好的社区基础和群众基础，符合政府相关政策导向；具有清晰计划及可衡量的成效；有合理的预算，具有成本效益；拥有实施项目所需的专业知识和资源整合、财务管理、人员配置等能力及其执行团队。</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 资金支出使用符合福彩公益金</w:t>
      </w:r>
      <w:r>
        <w:rPr>
          <w:rFonts w:hint="eastAsia" w:eastAsia="方正仿宋_GBK"/>
          <w:color w:val="000000"/>
          <w:sz w:val="32"/>
          <w:szCs w:val="32"/>
        </w:rPr>
        <w:t>“扶老、助残、救孤、济困”宗旨。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（七）项目监管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任何单位和个人不得挪用或通过其它非法手段侵占、不当使用项目配套资金和社会定向捐助，违者依法追究相应责任。获选项目团队在项目实施过程中应主动接受</w:t>
      </w:r>
      <w:r>
        <w:rPr>
          <w:rFonts w:hint="eastAsia" w:ascii="方正仿宋_GBK" w:hAnsi="方正仿宋_GBK" w:eastAsia="方正仿宋_GBK" w:cs="方正仿宋_GBK"/>
          <w:color w:val="191919"/>
          <w:sz w:val="32"/>
          <w:szCs w:val="32"/>
          <w:shd w:val="clear" w:color="auto" w:fill="FFFFFF"/>
        </w:rPr>
        <w:t>财政、审计、民政</w:t>
      </w:r>
      <w:r>
        <w:rPr>
          <w:rFonts w:hint="eastAsia" w:ascii="方正仿宋_GBK" w:hAnsi="方正仿宋_GBK" w:eastAsia="方正仿宋_GBK" w:cs="方正仿宋_GBK"/>
          <w:sz w:val="32"/>
          <w:szCs w:val="32"/>
        </w:rPr>
        <w:t>的指导、检查和监督。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 获选项目团队因不可抗力原因无法继续履行合同约定的服务项目时，应及时向区民政局提出；未经区民政局同意，不得擅自向其它组织和个人转让服务项目。区民政局须及时撤销无法继续实施项目，清算项目资助资金，并循原资金划拨渠道缴回区财政。</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 获选项目团队未严格按照合同约定认真实施服务项目的，区民政局不再申请服务项目后续资金的拨付，并追缴已拨付但尚未使用的资金。</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4.公益创投资金若有结余的，由使用单位循原划拨渠道缴回区财政。</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eastAsia="方正仿宋_GBK"/>
        </w:rPr>
      </w:pPr>
      <w:r>
        <w:rPr>
          <w:rFonts w:hint="eastAsia" w:ascii="方正仿宋_GBK" w:hAnsi="方正仿宋_GBK" w:eastAsia="方正仿宋_GBK" w:cs="方正仿宋_GBK"/>
          <w:sz w:val="32"/>
          <w:szCs w:val="32"/>
        </w:rPr>
        <w:t>5.负责绩效评估的机构应当对其出具绩效评估报告的真实性、合法性负责。有违法、违规行为的，依据有关规定终止合同，追究违约责任；涉嫌犯罪的，依法移交司法机关处理。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六、大赛安排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（一）项目征集（2021年7月15日至2021年7月27日）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发布公告。渝北区民政局通过媒体宣传和社区动员等形式，向社会发布公告，以专题培训或召开会议等方式，引导相关部门和基层社区对社会公益服务的需求进行梳理，同时提供项目申报指引及相关辅导培训服务，征集公益创投项目。</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 项目申报。项目申报由创投主体向区民政局提交项目申请材料，由区民政局对相关资料进行汇总。每个社区最多可实施二个项目。创投主体提交的申请材料包括：</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渝北区社会工作公益创投项目申报书》，详细说明项目性质、受益人群分析、服务需求分析、工作计划、项目创新性分析、服务效果预测、团队组成、项目预算、突发情况预测及应对机制等情况。申报书示范格式由区民政局制定，创投主体应按照示范格式如实填写。其中，工作计划需另附《项目实施方案》、项目预算需另附《镇街自筹经费筹措方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相关材料，包括登记管理机关核发的登记证书副本证明，税务机关出具的完税证明，合法收入来源证明，经注册会计师审计核实的财务会计报告或最近一年的会计报表，政府购买服务情况证明，已参加评估的提供评估等级证明，办公场地权属或租赁证明，各项收入不以任何形式向举办者（出资人）和会员分配保证书，按规定使用资金的承诺函以及其他证明符合创投主体条件、项目符合要求的材料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 项目初审。各申报单位所在的镇街对公益项目的内容和申请资质等情况进行初审，并将结果以适当方式报告申报单位。总体符合要求但设计不够完善的项目可由镇街指导申报单位在申报时间截止前修改完善并再度向区民政局申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（二）项目评审（2021年8月10日前完成）</w:t>
      </w:r>
    </w:p>
    <w:p>
      <w:pPr>
        <w:pStyle w:val="5"/>
        <w:keepNext w:val="0"/>
        <w:keepLines w:val="0"/>
        <w:pageBreakBefore w:val="0"/>
        <w:kinsoku/>
        <w:wordWrap/>
        <w:overflowPunct/>
        <w:topLinePunct w:val="0"/>
        <w:autoSpaceDE/>
        <w:autoSpaceDN/>
        <w:bidi w:val="0"/>
        <w:adjustRightInd/>
        <w:snapToGrid/>
        <w:spacing w:line="560" w:lineRule="exact"/>
        <w:ind w:firstLine="640"/>
        <w:textAlignment w:val="auto"/>
        <w:outlineLvl w:val="9"/>
        <w:rPr>
          <w:rFonts w:ascii="方正仿宋_GBK" w:hAnsi="方正仿宋_GBK" w:eastAsia="方正仿宋_GBK" w:cs="方正仿宋_GBK"/>
          <w:color w:val="191919"/>
          <w:sz w:val="32"/>
          <w:szCs w:val="32"/>
        </w:rPr>
      </w:pPr>
      <w:r>
        <w:rPr>
          <w:rFonts w:hint="eastAsia" w:ascii="方正仿宋_GBK" w:hAnsi="方正仿宋_GBK" w:eastAsia="方正仿宋_GBK" w:cs="方正仿宋_GBK"/>
          <w:sz w:val="32"/>
          <w:szCs w:val="32"/>
        </w:rPr>
        <w:t>由渝北区民政局组织相关单位组成评选委员会，对经初审符合要求的项目进行现场评审。</w:t>
      </w:r>
      <w:r>
        <w:rPr>
          <w:rFonts w:hint="eastAsia" w:ascii="方正仿宋_GBK" w:hAnsi="方正仿宋_GBK" w:eastAsia="方正仿宋_GBK" w:cs="方正仿宋_GBK"/>
          <w:color w:val="191919"/>
          <w:sz w:val="32"/>
          <w:szCs w:val="32"/>
          <w:shd w:val="clear" w:color="auto" w:fill="FFFFFF"/>
        </w:rPr>
        <w:t>由评审小组按照评分标准进行量化评分排序，《渝北区社会工作公益创投项目评分标准》（附件2）由区民政局制定。每个类别根据得分高低，在资助资金预算范围内确定拟予资助的公益创投项目，</w:t>
      </w:r>
      <w:r>
        <w:rPr>
          <w:rFonts w:hint="eastAsia" w:ascii="方正仿宋_GBK" w:hAnsi="方正仿宋_GBK" w:eastAsia="方正仿宋_GBK" w:cs="方正仿宋_GBK"/>
          <w:sz w:val="32"/>
          <w:szCs w:val="32"/>
        </w:rPr>
        <w:t>评分在70分以下的项目不得参与执行本次创投项目</w:t>
      </w:r>
      <w:r>
        <w:rPr>
          <w:rFonts w:hint="eastAsia" w:ascii="方正仿宋_GBK" w:hAnsi="方正仿宋_GBK" w:eastAsia="方正仿宋_GBK" w:cs="方正仿宋_GBK"/>
          <w:color w:val="191919"/>
          <w:sz w:val="32"/>
          <w:szCs w:val="32"/>
          <w:shd w:val="clear" w:color="auto" w:fill="FFFFFF"/>
        </w:rPr>
        <w:t>。鼓励镇街配备资金，对镇街配备资金比例高的项目在同等条件下优先资助。</w:t>
      </w:r>
    </w:p>
    <w:p>
      <w:pPr>
        <w:pStyle w:val="8"/>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color w:val="191919"/>
          <w:sz w:val="32"/>
          <w:szCs w:val="32"/>
          <w:shd w:val="clear" w:color="auto" w:fill="FFFFFF"/>
        </w:rPr>
        <w:t>确定拟予资助的公益创投项目名单后，区民政局按不低于20%比例从中抽取部分社工机构进行实地核查。对书面材料与实地核查结果不一致的，取消补助资格，由评审成绩靠前的同类项目按顺序递补。</w:t>
      </w:r>
    </w:p>
    <w:p>
      <w:pPr>
        <w:pStyle w:val="8"/>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（三）项目公告（2021年8月13日前完成）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渝北区民政局根据评审结果确定入选实施的项目，向社会公布。确定的获选项目将在渝北区政府网站上公布。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（五）项目实施（2021年8月13日至2022年8月30日）</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 签订项目合同。区民政局与获选项目团队正式签订项目合同。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color w:val="191919"/>
          <w:sz w:val="32"/>
          <w:szCs w:val="32"/>
          <w:shd w:val="clear" w:color="auto" w:fill="FFFFFF"/>
        </w:rPr>
      </w:pPr>
      <w:r>
        <w:rPr>
          <w:rFonts w:hint="eastAsia" w:ascii="方正仿宋_GBK" w:hAnsi="方正仿宋_GBK" w:eastAsia="方正仿宋_GBK" w:cs="方正仿宋_GBK"/>
          <w:sz w:val="32"/>
          <w:szCs w:val="32"/>
        </w:rPr>
        <w:t>2. 项目资金申请。</w:t>
      </w:r>
      <w:r>
        <w:rPr>
          <w:rFonts w:hint="eastAsia" w:ascii="方正仿宋_GBK" w:hAnsi="方正仿宋_GBK" w:eastAsia="方正仿宋_GBK" w:cs="方正仿宋_GBK"/>
          <w:color w:val="191919"/>
          <w:sz w:val="32"/>
          <w:szCs w:val="32"/>
          <w:shd w:val="clear" w:color="auto" w:fill="FFFFFF"/>
        </w:rPr>
        <w:t>区民政局根据公益项目实施进度，分3期向区民政局申请服务项目拨款。经区民政局会同区财政局审核后，</w:t>
      </w:r>
      <w:r>
        <w:rPr>
          <w:rFonts w:hint="eastAsia" w:ascii="方正仿宋_GBK" w:hAnsi="方正仿宋_GBK" w:eastAsia="方正仿宋_GBK" w:cs="方正仿宋_GBK"/>
          <w:sz w:val="32"/>
          <w:szCs w:val="32"/>
        </w:rPr>
        <w:t>渝北区社区（村）社会工作室单独申报和渝北区社区（村）社会工作室和社工机构联合申报项目</w:t>
      </w:r>
      <w:r>
        <w:rPr>
          <w:rFonts w:hint="eastAsia" w:ascii="方正仿宋_GBK" w:hAnsi="方正仿宋_GBK" w:eastAsia="方正仿宋_GBK" w:cs="方正仿宋_GBK"/>
          <w:color w:val="191919"/>
          <w:sz w:val="32"/>
          <w:szCs w:val="32"/>
          <w:shd w:val="clear" w:color="auto" w:fill="FFFFFF"/>
        </w:rPr>
        <w:t>资金直接拨付给镇街，由镇街自行制定资金使用方案</w:t>
      </w:r>
      <w:r>
        <w:rPr>
          <w:rFonts w:hint="eastAsia" w:ascii="方正仿宋_GBK" w:hAnsi="方正仿宋_GBK" w:eastAsia="方正仿宋_GBK" w:cs="方正仿宋_GBK"/>
          <w:sz w:val="32"/>
          <w:szCs w:val="32"/>
        </w:rPr>
        <w:t>；社工机构单独申报项目</w:t>
      </w:r>
      <w:r>
        <w:rPr>
          <w:rFonts w:hint="eastAsia" w:ascii="方正仿宋_GBK" w:hAnsi="方正仿宋_GBK" w:eastAsia="方正仿宋_GBK" w:cs="方正仿宋_GBK"/>
          <w:color w:val="191919"/>
          <w:sz w:val="32"/>
          <w:szCs w:val="32"/>
          <w:shd w:val="clear" w:color="auto" w:fill="FFFFFF"/>
        </w:rPr>
        <w:t>资金直接拨付给社工机构。合同签署后拨付项目资助资金总金额的30%，项目中期评估验收合格后核拨40%，项目结束并验收合格后拨付30%。</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 督促项目实施。区民政局、镇街社会工作站督促获选项目团队按照合同要求实施项目，并针对获选项目团队提供能力建设服务，以提升获选项目的实施成效和项目团队的整体能力。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 组织监督评估。区民政局、镇街社会工作站督促获选项目团队按月报送项目实施情况，并定期派遣工作人员，对项目进行监督和评估。创投主体应主动接受区民政局的督促检查，按要求提交工作进度报告。</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（六）项目评估（2022年2、8月）</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承接运行渝北区社会工作指导中心的项目单位负责对公益创投项目大赛进行全面总结，认真总结成功经验，深刻分析存在问题，提出改进完善意见；承接运行渝北区社会工作指导中心的项目单位负责对各村（社区）公益创投项目进行中期、末期评估及项目资金审计。</w:t>
      </w:r>
    </w:p>
    <w:p>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jc w:val="left"/>
        <w:textAlignment w:val="auto"/>
        <w:outlineLvl w:val="9"/>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开展项目推介（2021年7月-2022年8月）</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在项目实施过程中，区民政局、镇街、创投主体应积极对项目进行宣传推介，与新闻媒体联系，广泛宣传公益慈善理念，激活各界参与热情，放大创投社会效应，营造全民公益氛围。</w:t>
      </w:r>
    </w:p>
    <w:p>
      <w:pPr>
        <w:pStyle w:val="5"/>
        <w:spacing w:line="560" w:lineRule="exact"/>
        <w:ind w:firstLine="640"/>
        <w:rPr>
          <w:rFonts w:ascii="方正仿宋_GBK" w:hAnsi="方正仿宋_GBK" w:eastAsia="方正仿宋_GBK" w:cs="方正仿宋_GBK"/>
          <w:sz w:val="32"/>
          <w:szCs w:val="32"/>
        </w:rPr>
      </w:pP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附件：1.渝北区社会工作公益创投项目申报书</w:t>
      </w:r>
    </w:p>
    <w:p>
      <w:pPr>
        <w:spacing w:line="560" w:lineRule="exact"/>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2.渝北区社会工作公益创投项目评分标准</w:t>
      </w:r>
    </w:p>
    <w:p>
      <w:pPr>
        <w:spacing w:line="540" w:lineRule="exact"/>
        <w:jc w:val="left"/>
        <w:rPr>
          <w:rFonts w:ascii="方正仿宋_GBK" w:hAnsi="方正仿宋_GBK" w:eastAsia="方正仿宋_GBK" w:cs="方正仿宋_GBK"/>
          <w:sz w:val="32"/>
          <w:szCs w:val="32"/>
        </w:rPr>
      </w:pPr>
    </w:p>
    <w:p>
      <w:pPr>
        <w:spacing w:line="540" w:lineRule="exact"/>
        <w:ind w:firstLine="640" w:firstLineChars="200"/>
        <w:jc w:val="left"/>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pPr>
    </w:p>
    <w:p>
      <w:pPr>
        <w:pStyle w:val="5"/>
        <w:ind w:firstLine="0" w:firstLineChars="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pPr>
        <w:pStyle w:val="5"/>
        <w:ind w:firstLine="0" w:firstLineChars="0"/>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渝北区社会工作公益创投项目申报书</w:t>
      </w:r>
    </w:p>
    <w:tbl>
      <w:tblPr>
        <w:tblStyle w:val="11"/>
        <w:tblpPr w:leftFromText="180" w:rightFromText="180" w:vertAnchor="text" w:horzAnchor="page" w:tblpXSpec="center" w:tblpY="101"/>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482"/>
        <w:gridCol w:w="365"/>
        <w:gridCol w:w="434"/>
        <w:gridCol w:w="265"/>
        <w:gridCol w:w="1011"/>
        <w:gridCol w:w="122"/>
        <w:gridCol w:w="445"/>
        <w:gridCol w:w="127"/>
        <w:gridCol w:w="12"/>
        <w:gridCol w:w="286"/>
        <w:gridCol w:w="551"/>
        <w:gridCol w:w="144"/>
        <w:gridCol w:w="1145"/>
        <w:gridCol w:w="145"/>
        <w:gridCol w:w="425"/>
        <w:gridCol w:w="51"/>
        <w:gridCol w:w="810"/>
        <w:gridCol w:w="46"/>
        <w:gridCol w:w="507"/>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一、机构基本信息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kern w:val="0"/>
                <w:sz w:val="24"/>
              </w:rPr>
              <w:t>申报单位</w:t>
            </w:r>
          </w:p>
        </w:tc>
        <w:tc>
          <w:tcPr>
            <w:tcW w:w="8233" w:type="dxa"/>
            <w:gridSpan w:val="18"/>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right"/>
              <w:rPr>
                <w:rFonts w:ascii="方正仿宋_GBK" w:hAnsi="方正仿宋_GBK" w:eastAsia="方正仿宋_GBK" w:cs="方正仿宋_GBK"/>
                <w:b/>
                <w:kern w:val="0"/>
                <w:sz w:val="24"/>
              </w:rPr>
            </w:pPr>
            <w:r>
              <w:rPr>
                <w:rFonts w:hint="eastAsia" w:ascii="方正仿宋_GBK" w:hAnsi="方正仿宋_GBK" w:eastAsia="方正仿宋_GBK" w:cs="方正仿宋_GBK"/>
                <w:sz w:val="24"/>
              </w:rPr>
              <w:t xml:space="preserve">                             （□社区（村）社会工作室  □社工机构  □社工机构和渝北区社区（村）社会工作室）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项目名称</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项目类别（双选）</w:t>
            </w:r>
          </w:p>
        </w:tc>
        <w:tc>
          <w:tcPr>
            <w:tcW w:w="8233" w:type="dxa"/>
            <w:gridSpan w:val="18"/>
            <w:tcBorders>
              <w:top w:val="single" w:color="auto" w:sz="4" w:space="0"/>
              <w:left w:val="single" w:color="auto" w:sz="4" w:space="0"/>
              <w:bottom w:val="single" w:color="auto" w:sz="4" w:space="0"/>
              <w:right w:val="single" w:color="auto" w:sz="4" w:space="0"/>
            </w:tcBorders>
          </w:tcPr>
          <w:p>
            <w:pPr>
              <w:pStyle w:val="5"/>
              <w:spacing w:line="300" w:lineRule="exact"/>
              <w:ind w:firstLine="0" w:firstLineChars="0"/>
              <w:rPr>
                <w:rFonts w:ascii="方正仿宋_GBK" w:hAnsi="方正仿宋_GBK" w:eastAsia="方正仿宋_GBK" w:cs="方正仿宋_GBK"/>
                <w:szCs w:val="21"/>
              </w:rPr>
            </w:pPr>
            <w:r>
              <w:rPr>
                <w:rFonts w:hint="eastAsia" w:ascii="方正仿宋_GBK" w:hAnsi="方正仿宋_GBK" w:eastAsia="方正仿宋_GBK" w:cs="方正仿宋_GBK"/>
                <w:szCs w:val="21"/>
              </w:rPr>
              <w:t>社区治理类：□1.运用“三事分流” □2.“议事协商”等社区治理工作理念 □3.开展协商议事平台建设  □4.社区共治自治 □5.社区社会组织培育发展  □6.志愿队伍建设等项目  □7.其他</w:t>
            </w:r>
          </w:p>
          <w:p>
            <w:pPr>
              <w:adjustRightInd w:val="0"/>
              <w:snapToGrid w:val="0"/>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szCs w:val="21"/>
              </w:rPr>
              <w:t xml:space="preserve">未成年人保护类：□1.未成年人的家庭教育、生命教育、性教育等公共教育 □2.困境中的未成年人的救助保护 □3.未成年人的心理健康服务 □4.其他 </w:t>
            </w:r>
          </w:p>
          <w:p>
            <w:pPr>
              <w:adjustRightInd w:val="0"/>
              <w:snapToGrid w:val="0"/>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szCs w:val="21"/>
              </w:rPr>
              <w:t xml:space="preserve">婚俗改革类：□1.婚姻家庭辅导 □2.文明婚俗文化建设 □3.宣传婚姻政策法规 </w:t>
            </w:r>
            <w:r>
              <w:rPr>
                <w:rFonts w:hint="eastAsia" w:ascii="方正仿宋_GBK" w:hAnsi="方正仿宋_GBK" w:eastAsia="方正仿宋_GBK" w:cs="方正仿宋_GBK"/>
                <w:szCs w:val="21"/>
              </w:rPr>
              <w:sym w:font="Wingdings 2" w:char="00A3"/>
            </w:r>
            <w:r>
              <w:rPr>
                <w:rFonts w:hint="eastAsia" w:ascii="方正仿宋_GBK" w:hAnsi="方正仿宋_GBK" w:eastAsia="方正仿宋_GBK" w:cs="方正仿宋_GBK"/>
                <w:szCs w:val="21"/>
              </w:rPr>
              <w:t>4.婚俗改革  □5.新时代婚姻家庭文化建设  □6.开展婚前辅导  □7.婚姻家庭咨询和辅导</w:t>
            </w:r>
          </w:p>
          <w:p>
            <w:pPr>
              <w:pStyle w:val="5"/>
              <w:spacing w:line="300" w:lineRule="exact"/>
              <w:ind w:firstLine="0" w:firstLineChars="0"/>
              <w:rPr>
                <w:rFonts w:ascii="方正仿宋_GBK" w:hAnsi="方正仿宋_GBK" w:eastAsia="方正仿宋_GBK" w:cs="方正仿宋_GBK"/>
              </w:rPr>
            </w:pPr>
            <w:r>
              <w:rPr>
                <w:rFonts w:hint="eastAsia" w:ascii="方正仿宋_GBK" w:hAnsi="方正仿宋_GBK" w:eastAsia="方正仿宋_GBK" w:cs="方正仿宋_GBK"/>
                <w:kern w:val="0"/>
                <w:szCs w:val="21"/>
              </w:rPr>
              <w:t>社会救助类：□1.困难群体的探访、宣传倡导、社会融入、能力提升、心理疏导、资源链接等服务  □2.对边缘群体的动态监测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成立时间</w:t>
            </w:r>
          </w:p>
        </w:tc>
        <w:tc>
          <w:tcPr>
            <w:tcW w:w="2416"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227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统一社会信用代码</w:t>
            </w:r>
          </w:p>
        </w:tc>
        <w:tc>
          <w:tcPr>
            <w:tcW w:w="3546" w:type="dxa"/>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通讯地址</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户名</w:t>
            </w:r>
          </w:p>
        </w:tc>
        <w:tc>
          <w:tcPr>
            <w:tcW w:w="8233" w:type="dxa"/>
            <w:gridSpan w:val="18"/>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开户行</w:t>
            </w:r>
          </w:p>
        </w:tc>
        <w:tc>
          <w:tcPr>
            <w:tcW w:w="3253" w:type="dxa"/>
            <w:gridSpan w:val="9"/>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c>
          <w:tcPr>
            <w:tcW w:w="1289" w:type="dxa"/>
            <w:gridSpan w:val="2"/>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开户账号</w:t>
            </w:r>
          </w:p>
        </w:tc>
        <w:tc>
          <w:tcPr>
            <w:tcW w:w="3691" w:type="dxa"/>
            <w:gridSpan w:val="7"/>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81"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申请金额</w:t>
            </w:r>
          </w:p>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b/>
                <w:kern w:val="0"/>
                <w:sz w:val="24"/>
              </w:rPr>
              <w:t>（万元）</w:t>
            </w:r>
          </w:p>
        </w:tc>
        <w:tc>
          <w:tcPr>
            <w:tcW w:w="8233" w:type="dxa"/>
            <w:gridSpan w:val="18"/>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二、项目基本信息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项目联系人</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办公电话</w:t>
            </w: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移动电话</w:t>
            </w: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联系人一</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联系人二</w:t>
            </w:r>
          </w:p>
        </w:tc>
        <w:tc>
          <w:tcPr>
            <w:tcW w:w="1064"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133"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421"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10" w:type="dxa"/>
            <w:gridSpan w:val="5"/>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3070" w:type="dxa"/>
            <w:gridSpan w:val="4"/>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314" w:type="dxa"/>
            <w:gridSpan w:val="21"/>
            <w:tcBorders>
              <w:top w:val="single" w:color="auto" w:sz="4" w:space="0"/>
              <w:left w:val="single" w:color="auto" w:sz="4" w:space="0"/>
              <w:bottom w:val="single" w:color="auto" w:sz="4" w:space="0"/>
              <w:right w:val="single" w:color="auto" w:sz="4" w:space="0"/>
            </w:tcBorders>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1、项目简述（500字以内，说明服务对象类型、直接服务人数、服务措施等）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2、服务需求分析（800字以内）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6"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3、受益人群分析（500字以内）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5"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sz w:val="24"/>
              </w:rPr>
            </w:pPr>
          </w:p>
          <w:p>
            <w:pPr>
              <w:spacing w:before="100" w:beforeAutospacing="1" w:after="100" w:afterAutospacing="1" w:line="560" w:lineRule="exact"/>
              <w:jc w:val="left"/>
              <w:rPr>
                <w:rFonts w:ascii="方正仿宋_GBK" w:hAnsi="方正仿宋_GBK" w:eastAsia="方正仿宋_GBK" w:cs="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sz w:val="24"/>
              </w:rPr>
              <w:t>4、项目效果预测（800字以内）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pStyle w:val="12"/>
              <w:spacing w:line="5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总体目标</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w:t>
            </w:r>
          </w:p>
          <w:p>
            <w:pPr>
              <w:pStyle w:val="12"/>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本项目从家庭支持及社区互动的角度出发，巩固和提升参与者行为改善的效果，协助参与者从受助者向助人者、互助者进行角色转变，落实新市民服务政策。</w:t>
            </w:r>
          </w:p>
          <w:p>
            <w:pPr>
              <w:pStyle w:val="12"/>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总体目标包括：</w:t>
            </w:r>
          </w:p>
          <w:p>
            <w:pPr>
              <w:pStyle w:val="12"/>
              <w:numPr>
                <w:ilvl w:val="0"/>
                <w:numId w:val="2"/>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正向发展为本，提高流动儿童自身素质、改善不当行为；</w:t>
            </w:r>
          </w:p>
          <w:p>
            <w:pPr>
              <w:pStyle w:val="12"/>
              <w:numPr>
                <w:ilvl w:val="0"/>
                <w:numId w:val="2"/>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以亲子沟通为重点，促进亲子互动、弥补家庭教育不足；</w:t>
            </w:r>
          </w:p>
          <w:p>
            <w:pPr>
              <w:pStyle w:val="12"/>
              <w:numPr>
                <w:ilvl w:val="0"/>
                <w:numId w:val="2"/>
              </w:numPr>
              <w:spacing w:line="56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以社区支持为依托，促进流动儿童家庭认识社区、参与社区活动。</w:t>
            </w:r>
          </w:p>
          <w:p>
            <w:pPr>
              <w:adjustRightInd w:val="0"/>
              <w:snapToGrid w:val="0"/>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具体目标</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服务内容</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预期量化指标</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预期成效指标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1716" w:type="dxa"/>
            <w:gridSpan w:val="2"/>
            <w:vMerge w:val="restart"/>
            <w:tcBorders>
              <w:top w:val="single" w:color="auto" w:sz="4" w:space="0"/>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如：提升流动儿童自身素质，改善不当行为</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如：夏令营基础课程</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如：服务144人次</w:t>
            </w:r>
          </w:p>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如：80%参与者（116人次）持续参与课程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如：夏令营基础课程</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如：80%的参与者（116人次）取得生活技能训练合格的成绩</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如：80%的参与者（116人次）培养良好的生活习惯和卫生习惯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restart"/>
            <w:tcBorders>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如：促进亲子互动、弥补家庭教育不足</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restart"/>
            <w:tcBorders>
              <w:left w:val="single" w:color="auto" w:sz="4" w:space="0"/>
              <w:right w:val="single" w:color="auto" w:sz="4" w:space="0"/>
            </w:tcBorders>
            <w:vAlign w:val="center"/>
          </w:tcPr>
          <w:p>
            <w:pPr>
              <w:adjustRightInd w:val="0"/>
              <w:snapToGrid w:val="0"/>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如：促进流动儿童家庭认识社区、参与社区活动</w:t>
            </w: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716" w:type="dxa"/>
            <w:gridSpan w:val="2"/>
            <w:vMerge w:val="continue"/>
            <w:tcBorders>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kern w:val="0"/>
                <w:sz w:val="24"/>
              </w:rPr>
            </w:pPr>
          </w:p>
        </w:tc>
        <w:tc>
          <w:tcPr>
            <w:tcW w:w="264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2835"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c>
          <w:tcPr>
            <w:tcW w:w="3121"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left="420" w:hanging="420"/>
              <w:jc w:val="left"/>
              <w:rPr>
                <w:rFonts w:ascii="方正仿宋_GBK" w:hAnsi="方正仿宋_GBK" w:eastAsia="方正仿宋_GBK" w:cs="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5、</w:t>
            </w:r>
            <w:r>
              <w:rPr>
                <w:rFonts w:hint="eastAsia" w:ascii="方正仿宋_GBK" w:hAnsi="方正仿宋_GBK" w:eastAsia="方正仿宋_GBK" w:cs="方正仿宋_GBK"/>
                <w:sz w:val="24"/>
              </w:rPr>
              <w:t>项目实施方案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（另附页）</w:t>
            </w:r>
          </w:p>
          <w:p>
            <w:pPr>
              <w:adjustRightInd w:val="0"/>
              <w:snapToGrid w:val="0"/>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说明：服务方案应从项目可行性、创新性、持续性和示范性进行分析，且应有详细的项目推进计划。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0314" w:type="dxa"/>
            <w:gridSpan w:val="21"/>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2" w:firstLineChars="20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 xml:space="preserve">三、项目经费预算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top w:val="single" w:color="auto" w:sz="4" w:space="0"/>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资金来源</w:t>
            </w: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资金种类</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申报公益创投资金</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自筹配套资金</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4907" w:type="dxa"/>
            <w:gridSpan w:val="1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合计</w:t>
            </w:r>
          </w:p>
        </w:tc>
        <w:tc>
          <w:tcPr>
            <w:tcW w:w="3691" w:type="dxa"/>
            <w:gridSpan w:val="7"/>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ind w:firstLine="482" w:firstLineChars="200"/>
              <w:jc w:val="center"/>
              <w:rPr>
                <w:rFonts w:ascii="方正仿宋_GBK" w:hAnsi="方正仿宋_GBK" w:eastAsia="方正仿宋_GBK" w:cs="方正仿宋_GBK"/>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支出项目</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支出明细</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资助资金（元）</w:t>
            </w: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自筹资金（元）</w:t>
            </w: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240" w:firstLineChars="1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服务费用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如：夏令营专家劳务费（共5名，10节）</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如：夏令营场地布置费用（共3场）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240" w:firstLineChars="10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人员费用</w:t>
            </w: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如：专职工作人员项目服务补贴（11个月，3人）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9"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如：兼职工作人员补贴（11个月，2人）</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行政办公</w:t>
            </w:r>
          </w:p>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如：办公物品购置费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如：办公场地租赁费（11个月）</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ind w:firstLine="120" w:firstLineChars="5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宣传费用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如：500份宣传单张设计及制作费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如：媒体报道宣传费用（3次，1家媒体）</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center"/>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restart"/>
            <w:tcBorders>
              <w:left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其他费用</w:t>
            </w: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如：不可预计费</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716" w:type="dxa"/>
            <w:gridSpan w:val="2"/>
            <w:vMerge w:val="continue"/>
            <w:tcBorders>
              <w:left w:val="single" w:color="auto" w:sz="4" w:space="0"/>
              <w:right w:val="single" w:color="auto" w:sz="4" w:space="0"/>
            </w:tcBorders>
            <w:vAlign w:val="center"/>
          </w:tcPr>
          <w:p>
            <w:pPr>
              <w:spacing w:before="100" w:beforeAutospacing="1" w:after="100" w:afterAutospacing="1" w:line="560" w:lineRule="exact"/>
              <w:ind w:firstLine="480" w:firstLineChars="200"/>
              <w:jc w:val="left"/>
              <w:rPr>
                <w:rFonts w:ascii="方正仿宋_GBK" w:hAnsi="方正仿宋_GBK" w:eastAsia="方正仿宋_GBK" w:cs="方正仿宋_GBK"/>
                <w:kern w:val="0"/>
                <w:sz w:val="24"/>
              </w:rPr>
            </w:pPr>
          </w:p>
        </w:tc>
        <w:tc>
          <w:tcPr>
            <w:tcW w:w="2769" w:type="dxa"/>
            <w:gridSpan w:val="7"/>
            <w:tcBorders>
              <w:left w:val="single" w:color="auto" w:sz="4" w:space="0"/>
              <w:bottom w:val="single" w:color="auto" w:sz="4" w:space="0"/>
              <w:right w:val="single" w:color="auto" w:sz="4" w:space="0"/>
            </w:tcBorders>
            <w:vAlign w:val="center"/>
          </w:tcPr>
          <w:p>
            <w:pPr>
              <w:spacing w:before="100" w:beforeAutospacing="1" w:after="100" w:afterAutospacing="1" w:line="560" w:lineRule="exact"/>
              <w:rPr>
                <w:rFonts w:ascii="方正仿宋_GBK" w:hAnsi="方正仿宋_GBK" w:eastAsia="方正仿宋_GBK" w:cs="方正仿宋_GBK"/>
                <w:kern w:val="0"/>
                <w:sz w:val="24"/>
              </w:rPr>
            </w:pPr>
            <w:r>
              <w:rPr>
                <w:rFonts w:hint="eastAsia" w:ascii="方正仿宋_GBK" w:hAnsi="方正仿宋_GBK" w:eastAsia="方正仿宋_GBK" w:cs="方正仿宋_GBK"/>
                <w:szCs w:val="21"/>
              </w:rPr>
              <w:t>……</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4485" w:type="dxa"/>
            <w:gridSpan w:val="9"/>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合计</w:t>
            </w:r>
          </w:p>
        </w:tc>
        <w:tc>
          <w:tcPr>
            <w:tcW w:w="2138" w:type="dxa"/>
            <w:gridSpan w:val="5"/>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984" w:type="dxa"/>
            <w:gridSpan w:val="6"/>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c>
          <w:tcPr>
            <w:tcW w:w="1707" w:type="dxa"/>
            <w:tcBorders>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项目资助资金不得列支范围：</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1.固定资产购置费用，如电脑、办公桌等。</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2.从项目资金中提取管理费用。</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3.缴纳罚款罚金、偿还债务、对外投资、捐赠赞助等支出。</w:t>
            </w:r>
          </w:p>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4.与其他项目无关的支出。</w:t>
            </w:r>
          </w:p>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其他注意事项：</w:t>
            </w:r>
          </w:p>
          <w:p>
            <w:pPr>
              <w:spacing w:line="560" w:lineRule="exact"/>
              <w:jc w:val="left"/>
              <w:rPr>
                <w:rFonts w:ascii="方正仿宋_GBK" w:hAnsi="方正仿宋_GBK" w:eastAsia="方正仿宋_GBK" w:cs="方正仿宋_GBK"/>
                <w:bCs/>
                <w:kern w:val="0"/>
                <w:sz w:val="24"/>
              </w:rPr>
            </w:pPr>
            <w:r>
              <w:rPr>
                <w:rFonts w:hint="eastAsia" w:ascii="方正仿宋_GBK" w:hAnsi="方正仿宋_GBK" w:eastAsia="方正仿宋_GBK" w:cs="方正仿宋_GBK"/>
                <w:bCs/>
                <w:kern w:val="0"/>
                <w:sz w:val="24"/>
              </w:rPr>
              <w:t>1.资助资金用于人员费用支出部分（创投主体专职工作人员的工资、奖金等工资性或福利性支出）不得超过30%，自筹资金不受此限制。</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2.“支出明细”项下请列明数量及单价。</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3.建议在“服务费用”、“行政办公费用”、“人员费用”以及“宣传费用”四个名录下进行预算编制。</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4.“宣传费用”不超过创投资助资金的10%，其他费用预算编制不超过创投资助资金的10%。（如有特殊情况，请备注）。</w:t>
            </w:r>
          </w:p>
          <w:p>
            <w:pPr>
              <w:spacing w:line="560" w:lineRule="exact"/>
              <w:ind w:left="420" w:hanging="420"/>
              <w:jc w:val="left"/>
              <w:rPr>
                <w:rFonts w:ascii="方正仿宋_GBK" w:hAnsi="方正仿宋_GBK" w:eastAsia="方正仿宋_GBK" w:cs="方正仿宋_GBK"/>
                <w:b/>
                <w:kern w:val="0"/>
                <w:sz w:val="24"/>
              </w:rPr>
            </w:pPr>
            <w:r>
              <w:rPr>
                <w:rFonts w:hint="eastAsia" w:ascii="方正仿宋_GBK" w:hAnsi="方正仿宋_GBK" w:eastAsia="方正仿宋_GBK" w:cs="方正仿宋_GBK"/>
                <w:kern w:val="0"/>
                <w:sz w:val="24"/>
              </w:rPr>
              <w:t>5.建议填写预算表时与财务专业人士进行沟通，确保预算符合相关要求。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firstLine="482" w:firstLineChars="200"/>
              <w:jc w:val="left"/>
              <w:rPr>
                <w:rFonts w:ascii="方正仿宋_GBK" w:hAnsi="方正仿宋_GBK" w:eastAsia="方正仿宋_GBK" w:cs="方正仿宋_GBK"/>
                <w:b/>
                <w:kern w:val="0"/>
                <w:sz w:val="24"/>
              </w:rPr>
            </w:pPr>
            <w:r>
              <w:rPr>
                <w:rFonts w:hint="eastAsia" w:ascii="方正仿宋_GBK" w:hAnsi="方正仿宋_GBK" w:eastAsia="方正仿宋_GBK" w:cs="方正仿宋_GBK"/>
                <w:b/>
                <w:kern w:val="0"/>
                <w:sz w:val="24"/>
              </w:rPr>
              <w:t>四、项目团队介绍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0314" w:type="dxa"/>
            <w:gridSpan w:val="21"/>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1、项目负责人信息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办公电话</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移动电话</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2081"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邮箱</w:t>
            </w:r>
          </w:p>
        </w:tc>
        <w:tc>
          <w:tcPr>
            <w:tcW w:w="2702" w:type="dxa"/>
            <w:gridSpan w:val="8"/>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p>
        </w:tc>
        <w:tc>
          <w:tcPr>
            <w:tcW w:w="1840" w:type="dxa"/>
            <w:gridSpan w:val="3"/>
            <w:tcBorders>
              <w:left w:val="single" w:color="auto" w:sz="4" w:space="0"/>
              <w:bottom w:val="single" w:color="auto" w:sz="4" w:space="0"/>
              <w:right w:val="single" w:color="auto" w:sz="4" w:space="0"/>
            </w:tcBorders>
            <w:vAlign w:val="center"/>
          </w:tcPr>
          <w:p>
            <w:pPr>
              <w:spacing w:line="560" w:lineRule="exact"/>
              <w:ind w:left="420" w:hanging="420"/>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专业资质</w:t>
            </w:r>
          </w:p>
        </w:tc>
        <w:tc>
          <w:tcPr>
            <w:tcW w:w="3691" w:type="dxa"/>
            <w:gridSpan w:val="7"/>
            <w:tcBorders>
              <w:left w:val="single" w:color="auto" w:sz="4" w:space="0"/>
              <w:bottom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20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实施同类项目的经历（200字以内）</w:t>
            </w:r>
          </w:p>
        </w:tc>
        <w:tc>
          <w:tcPr>
            <w:tcW w:w="8233" w:type="dxa"/>
            <w:gridSpan w:val="18"/>
            <w:tcBorders>
              <w:left w:val="single" w:color="auto" w:sz="4" w:space="0"/>
              <w:right w:val="single" w:color="auto" w:sz="4" w:space="0"/>
            </w:tcBorders>
            <w:vAlign w:val="center"/>
          </w:tcPr>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p>
            <w:pPr>
              <w:spacing w:line="560" w:lineRule="exact"/>
              <w:ind w:left="420" w:hanging="420"/>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0314" w:type="dxa"/>
            <w:gridSpan w:val="21"/>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2、项目团队成员信息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281"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276"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w:t>
            </w:r>
          </w:p>
        </w:tc>
        <w:tc>
          <w:tcPr>
            <w:tcW w:w="1687" w:type="dxa"/>
            <w:gridSpan w:val="7"/>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w:t>
            </w:r>
          </w:p>
        </w:tc>
        <w:tc>
          <w:tcPr>
            <w:tcW w:w="2622" w:type="dxa"/>
            <w:gridSpan w:val="6"/>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项目分工</w:t>
            </w:r>
          </w:p>
        </w:tc>
        <w:tc>
          <w:tcPr>
            <w:tcW w:w="2214"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76"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687" w:type="dxa"/>
            <w:gridSpan w:val="7"/>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622" w:type="dxa"/>
            <w:gridSpan w:val="6"/>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214"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0314" w:type="dxa"/>
            <w:gridSpan w:val="21"/>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3、项目支持团队信息（如督导、专家等）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姓名</w:t>
            </w:r>
          </w:p>
        </w:tc>
        <w:tc>
          <w:tcPr>
            <w:tcW w:w="1281"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工作单位</w:t>
            </w:r>
          </w:p>
        </w:tc>
        <w:tc>
          <w:tcPr>
            <w:tcW w:w="1276" w:type="dxa"/>
            <w:gridSpan w:val="2"/>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职务</w:t>
            </w:r>
          </w:p>
        </w:tc>
        <w:tc>
          <w:tcPr>
            <w:tcW w:w="1687" w:type="dxa"/>
            <w:gridSpan w:val="7"/>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学历及专业</w:t>
            </w:r>
          </w:p>
        </w:tc>
        <w:tc>
          <w:tcPr>
            <w:tcW w:w="2576" w:type="dxa"/>
            <w:gridSpan w:val="5"/>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专业资质</w:t>
            </w:r>
          </w:p>
        </w:tc>
        <w:tc>
          <w:tcPr>
            <w:tcW w:w="2260" w:type="dxa"/>
            <w:gridSpan w:val="3"/>
            <w:tcBorders>
              <w:left w:val="single" w:color="auto" w:sz="4" w:space="0"/>
              <w:right w:val="single" w:color="auto" w:sz="4" w:space="0"/>
            </w:tcBorders>
            <w:vAlign w:val="center"/>
          </w:tcPr>
          <w:p>
            <w:pPr>
              <w:spacing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项目分工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1234" w:type="dxa"/>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81"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276" w:type="dxa"/>
            <w:gridSpan w:val="2"/>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1687" w:type="dxa"/>
            <w:gridSpan w:val="7"/>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576" w:type="dxa"/>
            <w:gridSpan w:val="5"/>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c>
          <w:tcPr>
            <w:tcW w:w="2260" w:type="dxa"/>
            <w:gridSpan w:val="3"/>
            <w:tcBorders>
              <w:left w:val="single" w:color="auto" w:sz="4" w:space="0"/>
              <w:right w:val="single" w:color="auto" w:sz="4" w:space="0"/>
            </w:tcBorders>
            <w:vAlign w:val="center"/>
          </w:tcPr>
          <w:p>
            <w:pPr>
              <w:spacing w:line="560" w:lineRule="exact"/>
              <w:jc w:val="left"/>
              <w:rPr>
                <w:rFonts w:ascii="方正仿宋_GBK" w:hAnsi="方正仿宋_GBK" w:eastAsia="方正仿宋_GBK" w:cs="方正仿宋_GBK"/>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单位承诺</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 我单位保证项目申报材料真实、合法、有效。</w:t>
            </w:r>
          </w:p>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我单位承诺，各项收入来源合法，各项收入不以任何形式向举办者（出资人）或会员进行分配。严格遵守《中华人民共和国会计法》《民间非营利组织会计制度》等财经制度，按规定实施财务管理，依法建立会计账簿并进行会计核算，按规定使用资金，专款专用，自觉接受项目监管、审计和评估，并承担相应法律责任。</w:t>
            </w:r>
          </w:p>
          <w:p>
            <w:pPr>
              <w:spacing w:line="560" w:lineRule="exact"/>
              <w:ind w:firstLine="480" w:firstLineChars="2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本项目配备与实施项目相适应的工作人员，并依法与其签订聘用合同或者劳动合同，明确工作人员的岗位职责和工作流程，实行岗位责任制；已制定详尽的项目实施计划、安全管理制度和工作责任机制及突发事件应急预案，并将按照自筹经费筹措方案保障配套资金，确保项目安全如期完成。</w:t>
            </w:r>
          </w:p>
          <w:p>
            <w:pPr>
              <w:spacing w:line="560" w:lineRule="exact"/>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法定代表人签字（不得使用印鉴）：</w:t>
            </w:r>
          </w:p>
          <w:p>
            <w:pPr>
              <w:spacing w:line="560" w:lineRule="exact"/>
              <w:ind w:firstLine="6960" w:firstLineChars="2900"/>
              <w:jc w:val="lef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（单位盖章）</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2021年XX月XX日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申报项目所在镇街意见</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snapToGrid w:val="0"/>
              <w:contextualSpacing/>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负责人（签字）    单位（盖章）</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9" w:hRule="atLeast"/>
        </w:trPr>
        <w:tc>
          <w:tcPr>
            <w:tcW w:w="1716" w:type="dxa"/>
            <w:gridSpan w:val="2"/>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560" w:lineRule="exact"/>
              <w:jc w:val="center"/>
              <w:rPr>
                <w:rFonts w:ascii="方正仿宋_GBK" w:hAnsi="方正仿宋_GBK" w:eastAsia="方正仿宋_GBK" w:cs="方正仿宋_GBK"/>
                <w:kern w:val="0"/>
                <w:sz w:val="24"/>
              </w:rPr>
            </w:pPr>
            <w:r>
              <w:rPr>
                <w:rFonts w:hint="eastAsia" w:ascii="方正仿宋_GBK" w:hAnsi="方正仿宋_GBK" w:eastAsia="方正仿宋_GBK" w:cs="方正仿宋_GBK"/>
                <w:kern w:val="0"/>
                <w:sz w:val="24"/>
              </w:rPr>
              <w:t>渝北区民政局意见</w:t>
            </w:r>
          </w:p>
        </w:tc>
        <w:tc>
          <w:tcPr>
            <w:tcW w:w="8598" w:type="dxa"/>
            <w:gridSpan w:val="19"/>
            <w:tcBorders>
              <w:top w:val="single" w:color="auto" w:sz="4" w:space="0"/>
              <w:left w:val="single" w:color="auto" w:sz="4" w:space="0"/>
              <w:bottom w:val="single" w:color="auto" w:sz="4" w:space="0"/>
              <w:right w:val="single" w:color="auto" w:sz="4" w:space="0"/>
            </w:tcBorders>
            <w:vAlign w:val="center"/>
          </w:tcPr>
          <w:p>
            <w:pPr>
              <w:tabs>
                <w:tab w:val="left" w:pos="8400"/>
              </w:tabs>
              <w:snapToGrid w:val="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经区民政局评审决定，</w:t>
            </w:r>
            <w:r>
              <w:rPr>
                <w:rFonts w:hint="eastAsia" w:ascii="方正仿宋_GBK" w:hAnsi="方正仿宋_GBK" w:eastAsia="方正仿宋_GBK" w:cs="方正仿宋_GBK"/>
                <w:b/>
                <w:sz w:val="28"/>
                <w:szCs w:val="28"/>
              </w:rPr>
              <w:t xml:space="preserve"> </w:t>
            </w:r>
            <w:r>
              <w:rPr>
                <w:rFonts w:hint="eastAsia" w:ascii="方正仿宋_GBK" w:hAnsi="方正仿宋_GBK" w:eastAsia="方正仿宋_GBK" w:cs="方正仿宋_GBK"/>
                <w:b/>
                <w:sz w:val="28"/>
                <w:szCs w:val="28"/>
                <w:u w:val="single"/>
              </w:rPr>
              <w:t xml:space="preserve">同意/不同意 </w:t>
            </w:r>
            <w:r>
              <w:rPr>
                <w:rFonts w:hint="eastAsia" w:ascii="方正仿宋_GBK" w:hAnsi="方正仿宋_GBK" w:eastAsia="方正仿宋_GBK" w:cs="方正仿宋_GBK"/>
                <w:sz w:val="28"/>
                <w:szCs w:val="28"/>
              </w:rPr>
              <w:t>该项目作为本年度社会工作公益创投项目，核定预算金额为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万元。</w:t>
            </w:r>
          </w:p>
          <w:p>
            <w:pPr>
              <w:snapToGrid w:val="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pPr>
              <w:snapToGrid w:val="0"/>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重庆市渝北区民政局</w:t>
            </w:r>
          </w:p>
          <w:p>
            <w:pPr>
              <w:spacing w:line="560" w:lineRule="exact"/>
              <w:jc w:val="right"/>
              <w:rPr>
                <w:rFonts w:ascii="方正仿宋_GBK" w:hAnsi="方正仿宋_GBK" w:eastAsia="方正仿宋_GBK" w:cs="方正仿宋_GBK"/>
                <w:kern w:val="0"/>
                <w:sz w:val="24"/>
              </w:rPr>
            </w:pPr>
            <w:r>
              <w:rPr>
                <w:rFonts w:hint="eastAsia" w:ascii="方正仿宋_GBK" w:hAnsi="方正仿宋_GBK" w:eastAsia="方正仿宋_GBK" w:cs="方正仿宋_GBK"/>
                <w:sz w:val="28"/>
                <w:szCs w:val="28"/>
              </w:rPr>
              <w:t xml:space="preserve">                                   年   月   日</w:t>
            </w:r>
          </w:p>
        </w:tc>
      </w:tr>
    </w:tbl>
    <w:p>
      <w:pPr>
        <w:pStyle w:val="5"/>
        <w:ind w:firstLine="640"/>
        <w:rPr>
          <w:rFonts w:ascii="方正仿宋_GBK" w:hAnsi="方正仿宋_GBK" w:eastAsia="方正仿宋_GBK" w:cs="方正仿宋_GBK"/>
          <w:sz w:val="32"/>
          <w:szCs w:val="32"/>
        </w:rPr>
      </w:pPr>
    </w:p>
    <w:p>
      <w:pPr>
        <w:pStyle w:val="5"/>
        <w:ind w:firstLine="640"/>
        <w:rPr>
          <w:rFonts w:ascii="方正仿宋_GBK" w:hAnsi="方正仿宋_GBK" w:eastAsia="方正仿宋_GBK" w:cs="方正仿宋_GBK"/>
          <w:sz w:val="32"/>
          <w:szCs w:val="32"/>
        </w:rPr>
        <w:sectPr>
          <w:footerReference r:id="rId3" w:type="default"/>
          <w:pgSz w:w="11906" w:h="16838"/>
          <w:pgMar w:top="2098" w:right="1417" w:bottom="1984" w:left="1474" w:header="851" w:footer="992" w:gutter="0"/>
          <w:pgNumType w:fmt="numberInDash" w:start="2"/>
          <w:cols w:space="425" w:num="1"/>
          <w:docGrid w:type="lines" w:linePitch="312" w:charSpace="0"/>
        </w:sectPr>
      </w:pPr>
    </w:p>
    <w:p>
      <w:pPr>
        <w:pStyle w:val="5"/>
        <w:ind w:firstLine="0" w:firstLineChars="0"/>
      </w:pPr>
      <w:r>
        <w:rPr>
          <w:rFonts w:hint="eastAsia" w:ascii="方正黑体_GBK" w:hAnsi="方正黑体_GBK" w:eastAsia="方正黑体_GBK" w:cs="方正黑体_GBK"/>
          <w:sz w:val="32"/>
          <w:szCs w:val="32"/>
        </w:rPr>
        <w:t>附件2</w:t>
      </w:r>
    </w:p>
    <w:p>
      <w:pPr>
        <w:pStyle w:val="8"/>
        <w:widowControl/>
        <w:spacing w:beforeAutospacing="0" w:afterAutospacing="0"/>
        <w:jc w:val="center"/>
      </w:pPr>
      <w:r>
        <w:rPr>
          <w:rFonts w:hint="eastAsia" w:ascii="方正小标宋_GBK" w:hAnsi="方正小标宋_GBK" w:eastAsia="方正小标宋_GBK" w:cs="方正小标宋_GBK"/>
          <w:sz w:val="44"/>
          <w:szCs w:val="44"/>
        </w:rPr>
        <w:t>渝北区社会工作公益创投项目评分标准</w:t>
      </w:r>
    </w:p>
    <w:tbl>
      <w:tblPr>
        <w:tblStyle w:val="11"/>
        <w:tblW w:w="15696"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1317"/>
        <w:gridCol w:w="1275"/>
        <w:gridCol w:w="1995"/>
        <w:gridCol w:w="2445"/>
        <w:gridCol w:w="866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rPr>
          <w:trHeight w:val="559" w:hRule="atLeast"/>
        </w:trPr>
        <w:tc>
          <w:tcPr>
            <w:tcW w:w="1317" w:type="dxa"/>
            <w:tcBorders>
              <w:top w:val="single" w:color="000000" w:sz="8" w:space="0"/>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评审方式</w:t>
            </w:r>
          </w:p>
        </w:tc>
        <w:tc>
          <w:tcPr>
            <w:tcW w:w="1275" w:type="dxa"/>
            <w:tcBorders>
              <w:top w:val="single" w:color="000000" w:sz="8" w:space="0"/>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一级指标</w:t>
            </w:r>
          </w:p>
        </w:tc>
        <w:tc>
          <w:tcPr>
            <w:tcW w:w="1995"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二级指标</w:t>
            </w:r>
          </w:p>
        </w:tc>
        <w:tc>
          <w:tcPr>
            <w:tcW w:w="2445"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三级指标</w:t>
            </w:r>
          </w:p>
        </w:tc>
        <w:tc>
          <w:tcPr>
            <w:tcW w:w="8664" w:type="dxa"/>
            <w:tcBorders>
              <w:top w:val="single" w:color="000000" w:sz="8" w:space="0"/>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黑体_GBK" w:hAnsi="方正黑体_GBK" w:eastAsia="方正黑体_GBK" w:cs="方正黑体_GBK"/>
              </w:rPr>
            </w:pPr>
            <w:r>
              <w:rPr>
                <w:rFonts w:hint="eastAsia" w:ascii="方正黑体_GBK" w:hAnsi="方正黑体_GBK" w:eastAsia="方正黑体_GBK" w:cs="方正黑体_GBK"/>
              </w:rPr>
              <w:t>评分标准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项目方案分（60分）</w:t>
            </w: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定位精准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项目所针对的社会问题和所涉及的社会服务需求具有广泛性，且受益群体精准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需求分析具体，能体现需求广泛性，满分5分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结合本地实际情况，能提供前期调研、需求分析或数据支撑，说明项目有广泛的社会服务需求的，3分≤得分≤5分；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只简要分析说明服务对象的服务需求，</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受益群体精准，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项目具有明确、精准的直接受益群体，紧扣直接受益群体特征明显、分析准确，且有广泛的间接受益对象的，3分≤得分≤5分；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项目具有明确的直接受益群体和间接受益对象的，1.5分≤得分＜3分；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项目具有直接受益对象，0分≤得分＜1.5分。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项目符合民生实际，能与时政热点相结合（5分）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“三个聚焦”契合性，满分3分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聚焦脱贫攻坚，聚焦特殊群体，聚焦群众关切，项目服务内容能够明显地满足“三个聚焦”受益群体的服务需求，1分≤得分≤2分；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能够结合“三个聚焦”开展服务，项目服务内容基本满足受益群体的服务需求，2分≤得分＜3分。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助力营造共建共治共享社会治理格局，满分2分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项目能联合政府、企业、社区、居民等社会治理各股力量，有效体现共建共治共享，并能够充分展示社会组织作为共建共治共享社会治理格局中的主体之一的积极作用的，1分≤得分≤2分；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项目在一定程度上可以体现社会组织在共建共治共享社会治理格局中的积极作用的，0分≤得分＜1分。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方案可行</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（35分）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项目实施方案具体可操作，有合理的进度安排、安全保障措施和精细的经费预算（27分）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项目进度安排合理，满分5分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创投项目工作进度有明确、合理、可执行的阶段性安排的，3分≤得分≤5分；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创投项目工作进度安排较为明确的，1分≤得分＜3分；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创投项目工作进度安排较为笼统的，0分≤得分＜1分。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工作方案措施明确，满分5分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创投项目工作措施明确、可执行的，3分≤得分≤5分；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创投项目工作措施较为明确的，1分≤得分＜3分；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创投项目工作措施较为笼统的，0分≤得分＜1分。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成效指标科学可量化，满分5分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创投项目工作成效指标科学可量化，且具体、细致的，3分≤得分≤5分；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创投项目工作成效指标基本可量化的，1分≤得分＜3分；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创投项目工作成效指标较为笼统的，0分≤得分＜1分。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同类项目服务经验，满分2分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有与创投项目内容相同或相似的服务经验的，0分＜得分≤2分；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无相关服务经验的，不得分。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落实项目实施安全保障机制，满分2分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创投项目有制定相关安全保障和应急方案，安全保障意识强，0分＜得分≤2分；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创投项目安全保障方案不明晰，不得分。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预算清晰性，满分4分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有明确、精细的经费预算的，2分≤得分≤4分；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有明确的经费预算的，1分≤得分＜2分；经费预算较为笼统的，0分≤得分＜1分。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预算合理性，满分4分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经费预算安排合理，符合现有物价水平的，2分≤得分≤4分；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经费预算安排比较合理的，1分≤得分＜2分；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经费预算安排与项目服务内容关联性较弱的，0分≤得分＜1分。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自筹配套资金比例高，且配套来源有保障，筹集资金方案科学可行（8分）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自筹配套比例，满分4分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自筹配套资金比例超过60%，3.5分＜得分≤4分；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自筹配套资金比例低于60%，但超过50%，2分＜得分≤3.5分；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自筹配套资金比例低于50%，但超过40%，1分＜得分≤2分；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自筹配套资金比例刚好达到40%，得1分。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资金使用方案科学、可行，使用率高，满分4分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资金使用方案科学、可行，有详细的使用预算表，3分＜得分≤4分；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资金使用方案目标明确、措施可行，1分＜得分≤3分；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资金使用方案笼统模糊的，0分＜得分≤1分；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不能说明资金使用方案的，不得分。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机构保障（10分）</w:t>
            </w:r>
          </w:p>
        </w:tc>
        <w:tc>
          <w:tcPr>
            <w:tcW w:w="1995" w:type="dxa"/>
            <w:vMerge w:val="restart"/>
            <w:tcBorders>
              <w:top w:val="nil"/>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机构建设完善，能为项目实施提供充足可行保障（10分）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项目实施经验，满分5分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在渝北区注册登记的，得分1分；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在项目所在社区或社区所在镇街承接过项目并实施一年以内或承接过2个以下项目的得3分；在项目所在社区或社区所在镇街承接过项目并实施一年以上或承接过2个以上项目的得4分（两项不兼得）；</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995" w:type="dxa"/>
            <w:vMerge w:val="continue"/>
            <w:tcBorders>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机构宗旨与项目性质契合度，满分2分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创投主体宗旨、业务范围与项目服务内容相契合的，1分≤得分≤2分；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创投主体宗旨、业务范围与项目服务内容不相关，主要发挥会员力量或社会资源的，0分≤得分＜1分。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continue"/>
            <w:tcBorders>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995" w:type="dxa"/>
            <w:vMerge w:val="continue"/>
            <w:tcBorders>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机构财务保障，满分3分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创投主体财务报表详细，且财务状况良好的（新成立创投主体能提供财务制度的），2分≤得分≤3分；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创投主体财务状况一般的，0分≤得分＜2分；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创投主体财务状况不明的（新成立创投主体未能提供财务制度的），不得分。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restart"/>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路演汇报（40分）</w:t>
            </w: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项目创新（25分）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项目的理念、内容、性质具有创新性（25分）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理念先进性，满分10分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项目的服务理念有新意，能配合党委政府政策落地的，5分≤得分≤10分；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项目的服务理念有一定新意的，3分≤得分＜5分；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项目的服务理念有新意不突出的，0分≤得分＜3分。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内容新颖性，满分10分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项目设计内容新颖、实施模式有创意的，5分≤得分≤10分；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项目设计内容较为新颖、实施模式有一定创意的，3分≤得分＜5分；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项目设计内容较为新颖、实施模式创意不突出的，0分≤得分＜3分。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领域开创性，满分5分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项目服务是现有社会服务、社会治理和社会建设等领域中存在空白，亟待加强的服务，3分≤得分≤5分；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项目是社会服务、社会治理和社会建设等领域中已有较好基础，有一定创新的服务，0分≤得分＜3分。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vMerge w:val="restart"/>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项目示范</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（10分）</w:t>
            </w:r>
          </w:p>
        </w:tc>
        <w:tc>
          <w:tcPr>
            <w:tcW w:w="1995" w:type="dxa"/>
            <w:vMerge w:val="restart"/>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项目具有示范推广作用，能体现项目公益、可持续、可推广，且影响深远（10分）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项目体现公益性，满分2分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项目具有明显的公益特征，承诺不收取服务对象任何费用的，1分≤得分≤2分；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项目具有一定公益特征，以低偿的形式向服务对象提供服务的，0分≤得分＜1分。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项目可推广性，满分5分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创投项目运作模式具有推广意义，其他区域可以结合本土情况复制可操作性的，3分≤得分≤5分；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创投项目运作模式具有一定推广意义，为其他区域提供参考借鉴价值的，1分≤得分＜3分；</w:t>
            </w:r>
            <w:r>
              <w:rPr>
                <w:rFonts w:hint="eastAsia" w:ascii="方正仿宋_GBK" w:hAnsi="方正仿宋_GBK" w:eastAsia="方正仿宋_GBK" w:cs="方正仿宋_GBK"/>
              </w:rPr>
              <w:br w:type="textWrapping"/>
            </w:r>
            <w:r>
              <w:rPr>
                <w:rFonts w:hint="eastAsia" w:ascii="方正仿宋_GBK" w:hAnsi="方正仿宋_GBK" w:eastAsia="方正仿宋_GBK" w:cs="方正仿宋_GBK"/>
              </w:rPr>
              <w:t>创投项目运作模式可一定程度上推广，0分≤得分＜1分。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275" w:type="dxa"/>
            <w:vMerge w:val="continue"/>
            <w:tcBorders>
              <w:top w:val="nil"/>
              <w:left w:val="single" w:color="000000" w:sz="8" w:space="0"/>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1995" w:type="dxa"/>
            <w:vMerge w:val="continue"/>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widowControl/>
              <w:spacing w:line="220" w:lineRule="exact"/>
              <w:jc w:val="left"/>
              <w:rPr>
                <w:rFonts w:ascii="方正仿宋_GBK" w:hAnsi="方正仿宋_GBK" w:eastAsia="方正仿宋_GBK" w:cs="方正仿宋_GBK"/>
                <w:sz w:val="24"/>
              </w:rPr>
            </w:pP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项目可持续性，满分3分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项目具有较强的可持续发展性和造血能力，可长期开展，2分≤得分≤4分；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项目具有一定的可持续发展性和造血能力，1分≤得分＜2分；</w:t>
            </w:r>
          </w:p>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项目未能体现可持续发展性和造血能力，0分≤得分＜1分。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Ex>
        <w:tc>
          <w:tcPr>
            <w:tcW w:w="1317" w:type="dxa"/>
            <w:vMerge w:val="continue"/>
            <w:tcBorders>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p>
        </w:tc>
        <w:tc>
          <w:tcPr>
            <w:tcW w:w="1275" w:type="dxa"/>
            <w:tcBorders>
              <w:top w:val="nil"/>
              <w:left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演讲表现（5分）</w:t>
            </w:r>
          </w:p>
        </w:tc>
        <w:tc>
          <w:tcPr>
            <w:tcW w:w="1995" w:type="dxa"/>
            <w:tcBorders>
              <w:top w:val="nil"/>
              <w:left w:val="nil"/>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主题明确、材料熟练（5分）</w:t>
            </w:r>
          </w:p>
        </w:tc>
        <w:tc>
          <w:tcPr>
            <w:tcW w:w="2445"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hint="eastAsia" w:ascii="方正仿宋_GBK" w:hAnsi="方正仿宋_GBK" w:eastAsia="方正仿宋_GBK" w:cs="方正仿宋_GBK"/>
              </w:rPr>
              <w:t>主题明确、材料熟练，满分5分</w:t>
            </w:r>
          </w:p>
        </w:tc>
        <w:tc>
          <w:tcPr>
            <w:tcW w:w="8664" w:type="dxa"/>
            <w:tcBorders>
              <w:top w:val="nil"/>
              <w:left w:val="nil"/>
              <w:bottom w:val="single" w:color="000000" w:sz="8" w:space="0"/>
              <w:right w:val="single" w:color="000000" w:sz="8" w:space="0"/>
            </w:tcBorders>
            <w:shd w:val="clear" w:color="auto" w:fill="auto"/>
            <w:tcMar>
              <w:top w:w="75" w:type="dxa"/>
              <w:left w:w="150" w:type="dxa"/>
              <w:bottom w:w="75" w:type="dxa"/>
              <w:right w:w="150" w:type="dxa"/>
            </w:tcMar>
            <w:vAlign w:val="center"/>
          </w:tcPr>
          <w:p>
            <w:pPr>
              <w:pStyle w:val="8"/>
              <w:widowControl/>
              <w:wordWrap w:val="0"/>
              <w:spacing w:beforeAutospacing="0" w:afterAutospacing="0" w:line="220" w:lineRule="exact"/>
              <w:rPr>
                <w:rFonts w:ascii="方正仿宋_GBK" w:hAnsi="方正仿宋_GBK" w:eastAsia="方正仿宋_GBK" w:cs="方正仿宋_GBK"/>
              </w:rPr>
            </w:pPr>
            <w:r>
              <w:rPr>
                <w:rFonts w:ascii="方正仿宋_GBK" w:hAnsi="方正仿宋_GBK" w:eastAsia="方正仿宋_GBK" w:cs="方正仿宋_GBK"/>
              </w:rPr>
              <w:t>语音规范,感染力</w:t>
            </w:r>
            <w:r>
              <w:rPr>
                <w:rFonts w:hint="eastAsia" w:ascii="方正仿宋_GBK" w:hAnsi="方正仿宋_GBK" w:eastAsia="方正仿宋_GBK" w:cs="方正仿宋_GBK"/>
              </w:rPr>
              <w:t>强、</w:t>
            </w:r>
            <w:r>
              <w:rPr>
                <w:rFonts w:ascii="方正仿宋_GBK" w:hAnsi="方正仿宋_GBK" w:eastAsia="方正仿宋_GBK" w:cs="方正仿宋_GBK"/>
              </w:rPr>
              <w:t>语速恰当、声音洪亮,表达自然流畅,节奏张弛符合思想感情的起伏变化,具有感染力</w:t>
            </w:r>
            <w:r>
              <w:rPr>
                <w:rFonts w:hint="eastAsia" w:ascii="方正仿宋_GBK" w:hAnsi="方正仿宋_GBK" w:eastAsia="方正仿宋_GBK" w:cs="方正仿宋_GBK"/>
              </w:rPr>
              <w:t>，0分≤得分≤,5分</w:t>
            </w:r>
          </w:p>
        </w:tc>
      </w:tr>
    </w:tbl>
    <w:p>
      <w:pPr>
        <w:pStyle w:val="5"/>
        <w:spacing w:line="220" w:lineRule="exact"/>
        <w:ind w:firstLine="0" w:firstLineChars="0"/>
        <w:rPr>
          <w:rFonts w:ascii="方正仿宋_GBK" w:hAnsi="方正仿宋_GBK" w:eastAsia="方正仿宋_GBK" w:cs="方正仿宋_GBK"/>
          <w:sz w:val="32"/>
          <w:szCs w:val="32"/>
        </w:rPr>
      </w:pPr>
    </w:p>
    <w:p>
      <w:pPr>
        <w:spacing w:line="220" w:lineRule="exact"/>
        <w:ind w:firstLine="640" w:firstLineChars="200"/>
        <w:jc w:val="left"/>
        <w:rPr>
          <w:rFonts w:ascii="方正仿宋_GBK" w:hAnsi="方正仿宋_GBK" w:eastAsia="方正仿宋_GBK" w:cs="方正仿宋_GBK"/>
          <w:sz w:val="32"/>
          <w:szCs w:val="32"/>
        </w:rPr>
      </w:pPr>
    </w:p>
    <w:p>
      <w:pPr>
        <w:spacing w:line="220" w:lineRule="exact"/>
        <w:ind w:firstLine="640" w:firstLineChars="200"/>
        <w:rPr>
          <w:rFonts w:eastAsia="方正仿宋_GBK"/>
          <w:color w:val="000000"/>
          <w:sz w:val="32"/>
          <w:szCs w:val="32"/>
        </w:rPr>
      </w:pPr>
    </w:p>
    <w:p>
      <w:pPr>
        <w:spacing w:line="220" w:lineRule="exact"/>
        <w:jc w:val="center"/>
        <w:rPr>
          <w:rFonts w:ascii="方正小标宋_GBK" w:hAnsi="方正小标宋_GBK" w:eastAsia="方正小标宋_GBK" w:cs="方正小标宋_GBK"/>
          <w:sz w:val="32"/>
          <w:szCs w:val="32"/>
        </w:rPr>
      </w:pPr>
    </w:p>
    <w:p>
      <w:pPr>
        <w:spacing w:line="540" w:lineRule="exact"/>
        <w:jc w:val="center"/>
        <w:rPr>
          <w:rFonts w:ascii="方正仿宋_GBK" w:hAnsi="方正仿宋_GBK" w:eastAsia="方正仿宋_GBK" w:cs="方正仿宋_GBK"/>
          <w:sz w:val="32"/>
          <w:szCs w:val="32"/>
        </w:rPr>
        <w:sectPr>
          <w:pgSz w:w="16838" w:h="11906" w:orient="landscape"/>
          <w:pgMar w:top="720" w:right="720" w:bottom="720" w:left="720" w:header="851" w:footer="992" w:gutter="0"/>
          <w:pgNumType w:fmt="numberInDash"/>
          <w:cols w:space="425" w:num="1"/>
          <w:docGrid w:type="lines" w:linePitch="312" w:charSpace="0"/>
        </w:sect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pStyle w:val="8"/>
        <w:widowControl w:val="0"/>
        <w:snapToGrid w:val="0"/>
        <w:spacing w:line="540" w:lineRule="exact"/>
        <w:jc w:val="both"/>
        <w:rPr>
          <w:rFonts w:hint="default" w:ascii="Times New Roman" w:hAnsi="Times New Roman" w:eastAsia="方正仿宋_GBK" w:cs="Times New Roman"/>
        </w:rPr>
      </w:pPr>
    </w:p>
    <w:p>
      <w:pPr>
        <w:snapToGrid w:val="0"/>
        <w:spacing w:line="540" w:lineRule="exact"/>
        <w:jc w:val="left"/>
        <w:rPr>
          <w:rFonts w:hint="eastAsia"/>
        </w:rPr>
      </w:pPr>
      <w:r>
        <w:rPr>
          <w:rFonts w:hint="default" w:ascii="Times New Roman" w:hAnsi="Times New Roman" w:eastAsia="方正仿宋_GBK" w:cs="Times New Roman"/>
          <w:sz w:val="28"/>
          <w:szCs w:val="28"/>
        </w:rPr>
        <w:pict>
          <v:line id="_x0000_s2052" o:spid="_x0000_s2052" o:spt="20" style="position:absolute;left:0pt;margin-left:2.5pt;margin-top:0.5pt;height:0pt;width:442.2pt;z-index:251667456;mso-width-relative:page;mso-height-relative:page;" coordsize="21600,21600">
            <v:path arrowok="t"/>
            <v:fill focussize="0,0"/>
            <v:stroke weight="1pt"/>
            <v:imagedata o:title=""/>
            <o:lock v:ext="edit"/>
          </v:line>
        </w:pict>
      </w:r>
      <w:r>
        <w:rPr>
          <w:rFonts w:hint="default" w:ascii="Times New Roman" w:hAnsi="Times New Roman" w:eastAsia="方正仿宋_GBK" w:cs="Times New Roman"/>
          <w:sz w:val="28"/>
          <w:szCs w:val="28"/>
        </w:rPr>
        <w:pict>
          <v:line id="_x0000_s2053" o:spid="_x0000_s2053" o:spt="20" style="position:absolute;left:0pt;margin-left:0.85pt;margin-top:30.95pt;height:0pt;width:442.2pt;z-index:251666432;mso-width-relative:page;mso-height-relative:page;" coordsize="21600,21600">
            <v:path arrowok="t"/>
            <v:fill focussize="0,0"/>
            <v:stroke weight="1pt"/>
            <v:imagedata o:title=""/>
            <o:lock v:ext="edit"/>
          </v:line>
        </w:pict>
      </w:r>
      <w:r>
        <w:rPr>
          <w:rFonts w:hint="default" w:ascii="Times New Roman" w:hAnsi="Times New Roman" w:eastAsia="方正仿宋_GBK" w:cs="Times New Roman"/>
          <w:sz w:val="28"/>
          <w:szCs w:val="28"/>
        </w:rPr>
        <w:t>重庆市渝北区民政局</w:t>
      </w:r>
      <w:r>
        <w:rPr>
          <w:rFonts w:hint="default" w:ascii="Times New Roman" w:hAnsi="Times New Roman" w:eastAsia="方正仿宋_GBK" w:cs="Times New Roman"/>
          <w:sz w:val="28"/>
          <w:szCs w:val="28"/>
          <w:lang w:eastAsia="zh-CN"/>
        </w:rPr>
        <w:t>办公室</w:t>
      </w:r>
      <w:r>
        <w:rPr>
          <w:rFonts w:hint="default" w:ascii="Times New Roman" w:hAnsi="Times New Roman" w:eastAsia="方正仿宋_GBK" w:cs="Times New Roman"/>
          <w:sz w:val="28"/>
          <w:szCs w:val="28"/>
        </w:rPr>
        <w:t xml:space="preserve">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2021年</w:t>
      </w:r>
      <w:r>
        <w:rPr>
          <w:rFonts w:hint="eastAsia" w:ascii="Times New Roman" w:hAnsi="Times New Roman" w:eastAsia="方正仿宋_GBK" w:cs="Times New Roman"/>
          <w:sz w:val="28"/>
          <w:szCs w:val="28"/>
          <w:lang w:val="en-US" w:eastAsia="zh-CN"/>
        </w:rPr>
        <w:t>7</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eastAsia="zh-CN"/>
        </w:rPr>
        <w:t>2</w:t>
      </w:r>
      <w:r>
        <w:rPr>
          <w:rFonts w:hint="eastAsia"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日印发</w:t>
      </w:r>
    </w:p>
    <w:p>
      <w:pPr>
        <w:pStyle w:val="2"/>
      </w:pPr>
    </w:p>
    <w:sectPr>
      <w:footerReference r:id="rId4" w:type="default"/>
      <w:pgSz w:w="11906" w:h="16838"/>
      <w:pgMar w:top="2098" w:right="1474" w:bottom="1814" w:left="1587"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30EE7B-D1DF-4F2D-8BAC-883D517D3095}"/>
  </w:font>
  <w:font w:name="Arial">
    <w:panose1 w:val="020B0604020202020204"/>
    <w:charset w:val="01"/>
    <w:family w:val="swiss"/>
    <w:pitch w:val="default"/>
    <w:sig w:usb0="E0002AFF" w:usb1="C0007843" w:usb2="00000009" w:usb3="00000000" w:csb0="400001FF" w:csb1="FFFF0000"/>
    <w:embedRegular r:id="rId2" w:fontKey="{FBBFD5F6-2D17-4AF3-9B33-848D41769EAF}"/>
  </w:font>
  <w:font w:name="黑体">
    <w:panose1 w:val="02010609060101010101"/>
    <w:charset w:val="86"/>
    <w:family w:val="auto"/>
    <w:pitch w:val="default"/>
    <w:sig w:usb0="800002BF" w:usb1="38CF7CFA" w:usb2="00000016" w:usb3="00000000" w:csb0="00040001" w:csb1="00000000"/>
    <w:embedRegular r:id="rId3" w:fontKey="{A6D2F14B-F54A-41A3-B833-5B30F60BC56F}"/>
  </w:font>
  <w:font w:name="Courier New">
    <w:panose1 w:val="02070309020205020404"/>
    <w:charset w:val="01"/>
    <w:family w:val="modern"/>
    <w:pitch w:val="default"/>
    <w:sig w:usb0="E0002AFF" w:usb1="C0007843" w:usb2="00000009" w:usb3="00000000" w:csb0="400001FF" w:csb1="FFFF0000"/>
    <w:embedRegular r:id="rId4" w:fontKey="{C4F8965F-E9B0-47D6-8792-24C3A93D24D8}"/>
  </w:font>
  <w:font w:name="Symbol">
    <w:panose1 w:val="05050102010706020507"/>
    <w:charset w:val="02"/>
    <w:family w:val="roman"/>
    <w:pitch w:val="default"/>
    <w:sig w:usb0="00000000" w:usb1="00000000" w:usb2="00000000" w:usb3="00000000" w:csb0="80000000" w:csb1="00000000"/>
    <w:embedRegular r:id="rId5" w:fontKey="{5180227F-7D2F-45FE-B9E1-F717961B1B91}"/>
  </w:font>
  <w:font w:name="Calibri">
    <w:panose1 w:val="020F0502020204030204"/>
    <w:charset w:val="00"/>
    <w:family w:val="swiss"/>
    <w:pitch w:val="default"/>
    <w:sig w:usb0="E00002FF" w:usb1="4000ACFF" w:usb2="00000001" w:usb3="00000000" w:csb0="2000019F" w:csb1="00000000"/>
    <w:embedRegular r:id="rId6" w:fontKey="{32885F3D-C4EC-46FB-8F88-3A7219279299}"/>
  </w:font>
  <w:font w:name="仿宋_GB2312">
    <w:altName w:val="仿宋"/>
    <w:panose1 w:val="00000000000000000000"/>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E6BAECDB-D668-4A54-8ED5-182946107CDE}"/>
  </w:font>
  <w:font w:name="方正仿宋_GBK">
    <w:panose1 w:val="03000509000000000000"/>
    <w:charset w:val="86"/>
    <w:family w:val="script"/>
    <w:pitch w:val="default"/>
    <w:sig w:usb0="00000001" w:usb1="080E0000" w:usb2="00000000" w:usb3="00000000" w:csb0="00040000" w:csb1="00000000"/>
    <w:embedRegular r:id="rId8" w:fontKey="{56144B1C-6F4B-4D1D-B8EF-BA1C4ABE23F5}"/>
  </w:font>
  <w:font w:name="方正黑体_GBK">
    <w:panose1 w:val="03000509000000000000"/>
    <w:charset w:val="86"/>
    <w:family w:val="script"/>
    <w:pitch w:val="default"/>
    <w:sig w:usb0="00000001" w:usb1="080E0000" w:usb2="00000000" w:usb3="00000000" w:csb0="00040000" w:csb1="00000000"/>
    <w:embedRegular r:id="rId9" w:fontKey="{C9309925-FC5F-476B-BBB3-18131A0A8783}"/>
  </w:font>
  <w:font w:name="方正楷体_GBK">
    <w:panose1 w:val="03000509000000000000"/>
    <w:charset w:val="86"/>
    <w:family w:val="script"/>
    <w:pitch w:val="default"/>
    <w:sig w:usb0="00000001" w:usb1="080E0000" w:usb2="00000000" w:usb3="00000000" w:csb0="00040000" w:csb1="00000000"/>
    <w:embedRegular r:id="rId10" w:fontKey="{AF758447-06BD-46AE-A9DC-4EB219F4DE83}"/>
  </w:font>
  <w:font w:name="Wingdings 2">
    <w:panose1 w:val="05020102010507070707"/>
    <w:charset w:val="02"/>
    <w:family w:val="roman"/>
    <w:pitch w:val="default"/>
    <w:sig w:usb0="00000000" w:usb1="00000000" w:usb2="00000000" w:usb3="00000000" w:csb0="80000000" w:csb1="00000000"/>
    <w:embedRegular r:id="rId11" w:fontKey="{2628F526-42AE-4887-9290-405FD7479BDD}"/>
  </w:font>
  <w:font w:name="仿宋">
    <w:panose1 w:val="02010609060101010101"/>
    <w:charset w:val="86"/>
    <w:family w:val="auto"/>
    <w:pitch w:val="default"/>
    <w:sig w:usb0="800002BF" w:usb1="38CF7CFA" w:usb2="00000016" w:usb3="00000000" w:csb0="00040001" w:csb1="00000000"/>
  </w:font>
  <w:font w:name="方正书宋_GBK">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A00002EF" w:usb1="4000207B" w:usb2="00000000" w:usb3="00000000" w:csb0="2000019F" w:csb1="00000000"/>
    <w:embedRegular r:id="rId12" w:fontKey="{026610FB-965A-40CB-8DCA-72383359DFC3}"/>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3075" o:spid="_x0000_s3075"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6"/>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3074" o:spid="_x0000_s3074"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25</w:t>
                </w:r>
                <w:r>
                  <w:rPr>
                    <w:rFonts w:hint="default" w:ascii="Times New Roman" w:hAnsi="Times New Roman" w:cs="Times New Roman"/>
                    <w:sz w:val="28"/>
                    <w:szCs w:val="28"/>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lvl w:ilvl="0" w:tentative="0">
      <w:start w:val="1"/>
      <w:numFmt w:val="decimal"/>
      <w:suff w:val="nothing"/>
      <w:lvlText w:val="%1、"/>
      <w:lvlJc w:val="left"/>
    </w:lvl>
  </w:abstractNum>
  <w:abstractNum w:abstractNumId="1">
    <w:nsid w:val="06705395"/>
    <w:multiLevelType w:val="singleLevel"/>
    <w:tmpl w:val="06705395"/>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dit="readOnly"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KGWebUrl" w:val="http://23.143.0.11:80/seeyon/officeservlet"/>
  </w:docVars>
  <w:rsids>
    <w:rsidRoot w:val="005E4033"/>
    <w:rsid w:val="005E4033"/>
    <w:rsid w:val="008C1E29"/>
    <w:rsid w:val="00B2230B"/>
    <w:rsid w:val="00BD6CF8"/>
    <w:rsid w:val="00D0427D"/>
    <w:rsid w:val="00EB2886"/>
    <w:rsid w:val="01050D32"/>
    <w:rsid w:val="01CF5BFA"/>
    <w:rsid w:val="01E86939"/>
    <w:rsid w:val="03163251"/>
    <w:rsid w:val="035B3BC4"/>
    <w:rsid w:val="038F0E18"/>
    <w:rsid w:val="047977EB"/>
    <w:rsid w:val="048A04DE"/>
    <w:rsid w:val="0539529E"/>
    <w:rsid w:val="055376F8"/>
    <w:rsid w:val="05CD327D"/>
    <w:rsid w:val="05D21628"/>
    <w:rsid w:val="064D6B5C"/>
    <w:rsid w:val="067A6B86"/>
    <w:rsid w:val="06CA6CA4"/>
    <w:rsid w:val="06F5559E"/>
    <w:rsid w:val="07277100"/>
    <w:rsid w:val="07814842"/>
    <w:rsid w:val="079A19FF"/>
    <w:rsid w:val="08321C60"/>
    <w:rsid w:val="084C2EF2"/>
    <w:rsid w:val="09046990"/>
    <w:rsid w:val="091D0942"/>
    <w:rsid w:val="092006BD"/>
    <w:rsid w:val="09B64604"/>
    <w:rsid w:val="0A5A6445"/>
    <w:rsid w:val="0A783B9E"/>
    <w:rsid w:val="0A9E45FA"/>
    <w:rsid w:val="0AC06F5F"/>
    <w:rsid w:val="0ACB5B46"/>
    <w:rsid w:val="0ADD0986"/>
    <w:rsid w:val="0B5C45D1"/>
    <w:rsid w:val="0B674E68"/>
    <w:rsid w:val="0B7A30F6"/>
    <w:rsid w:val="0BB1581C"/>
    <w:rsid w:val="0BD05F01"/>
    <w:rsid w:val="0BFF0C69"/>
    <w:rsid w:val="0C2C7967"/>
    <w:rsid w:val="0D19592A"/>
    <w:rsid w:val="0DD31834"/>
    <w:rsid w:val="0E0F7C84"/>
    <w:rsid w:val="0E226104"/>
    <w:rsid w:val="0E6A2220"/>
    <w:rsid w:val="0F787869"/>
    <w:rsid w:val="102466BD"/>
    <w:rsid w:val="102D40EB"/>
    <w:rsid w:val="102E2EDF"/>
    <w:rsid w:val="10A7707B"/>
    <w:rsid w:val="11190B2E"/>
    <w:rsid w:val="1132439A"/>
    <w:rsid w:val="11644B8E"/>
    <w:rsid w:val="12B579B4"/>
    <w:rsid w:val="12B92288"/>
    <w:rsid w:val="12F5535F"/>
    <w:rsid w:val="12F71102"/>
    <w:rsid w:val="130C309A"/>
    <w:rsid w:val="132A18AB"/>
    <w:rsid w:val="13CA5A4B"/>
    <w:rsid w:val="1456700D"/>
    <w:rsid w:val="14E37483"/>
    <w:rsid w:val="15046CA7"/>
    <w:rsid w:val="154238E0"/>
    <w:rsid w:val="15AA002A"/>
    <w:rsid w:val="15E42953"/>
    <w:rsid w:val="15E643AC"/>
    <w:rsid w:val="169D285E"/>
    <w:rsid w:val="16CA4E88"/>
    <w:rsid w:val="176A5673"/>
    <w:rsid w:val="17861472"/>
    <w:rsid w:val="17C34CEF"/>
    <w:rsid w:val="18C45A97"/>
    <w:rsid w:val="19C37A73"/>
    <w:rsid w:val="19D745EE"/>
    <w:rsid w:val="1AB27382"/>
    <w:rsid w:val="1AB56380"/>
    <w:rsid w:val="1AD809CE"/>
    <w:rsid w:val="1B277C74"/>
    <w:rsid w:val="1B4C1F08"/>
    <w:rsid w:val="1B52468C"/>
    <w:rsid w:val="1B533543"/>
    <w:rsid w:val="1B6D604C"/>
    <w:rsid w:val="1B85680C"/>
    <w:rsid w:val="1BA50BFD"/>
    <w:rsid w:val="1BC77B39"/>
    <w:rsid w:val="1C500A1C"/>
    <w:rsid w:val="1CB63AF3"/>
    <w:rsid w:val="1D782F89"/>
    <w:rsid w:val="1DC1084B"/>
    <w:rsid w:val="1E275D4F"/>
    <w:rsid w:val="1ED318AA"/>
    <w:rsid w:val="1EDC33DE"/>
    <w:rsid w:val="1F180B08"/>
    <w:rsid w:val="1F4A7C58"/>
    <w:rsid w:val="1F4E0AF1"/>
    <w:rsid w:val="1F656D69"/>
    <w:rsid w:val="1FB75264"/>
    <w:rsid w:val="1FBD2403"/>
    <w:rsid w:val="20D75668"/>
    <w:rsid w:val="20EA3E8E"/>
    <w:rsid w:val="21262298"/>
    <w:rsid w:val="214C05FC"/>
    <w:rsid w:val="215E61E3"/>
    <w:rsid w:val="21DA0CF4"/>
    <w:rsid w:val="225111D4"/>
    <w:rsid w:val="225232C9"/>
    <w:rsid w:val="226D1C6D"/>
    <w:rsid w:val="22BC7992"/>
    <w:rsid w:val="22F253B6"/>
    <w:rsid w:val="22FF7C75"/>
    <w:rsid w:val="2387717B"/>
    <w:rsid w:val="23A64CC4"/>
    <w:rsid w:val="23EF14A4"/>
    <w:rsid w:val="23FC4E9F"/>
    <w:rsid w:val="240F34AE"/>
    <w:rsid w:val="24333527"/>
    <w:rsid w:val="24E12A16"/>
    <w:rsid w:val="251F38FC"/>
    <w:rsid w:val="252A6787"/>
    <w:rsid w:val="25353E50"/>
    <w:rsid w:val="25D457EB"/>
    <w:rsid w:val="264E0668"/>
    <w:rsid w:val="26524F47"/>
    <w:rsid w:val="26760DFE"/>
    <w:rsid w:val="268505E1"/>
    <w:rsid w:val="26E74984"/>
    <w:rsid w:val="26FB341F"/>
    <w:rsid w:val="27B40625"/>
    <w:rsid w:val="27EE190F"/>
    <w:rsid w:val="28657A41"/>
    <w:rsid w:val="289A4659"/>
    <w:rsid w:val="28E7104B"/>
    <w:rsid w:val="29EC4E46"/>
    <w:rsid w:val="29F8569D"/>
    <w:rsid w:val="2AD75AC4"/>
    <w:rsid w:val="2B99748C"/>
    <w:rsid w:val="2BEC3A34"/>
    <w:rsid w:val="2C0300C6"/>
    <w:rsid w:val="2C3450AA"/>
    <w:rsid w:val="2D0F6471"/>
    <w:rsid w:val="2D1D0C6D"/>
    <w:rsid w:val="2D814CD6"/>
    <w:rsid w:val="2D8A28CE"/>
    <w:rsid w:val="2E9858D5"/>
    <w:rsid w:val="2EA76D5C"/>
    <w:rsid w:val="2EE40EB4"/>
    <w:rsid w:val="2F0C7995"/>
    <w:rsid w:val="2F2B7159"/>
    <w:rsid w:val="2FFE7A8B"/>
    <w:rsid w:val="3012624A"/>
    <w:rsid w:val="304102CF"/>
    <w:rsid w:val="305D72B5"/>
    <w:rsid w:val="307514D2"/>
    <w:rsid w:val="31DC6B4E"/>
    <w:rsid w:val="31DF2443"/>
    <w:rsid w:val="322F68F8"/>
    <w:rsid w:val="326A0E36"/>
    <w:rsid w:val="32D85B46"/>
    <w:rsid w:val="33450502"/>
    <w:rsid w:val="33551AAE"/>
    <w:rsid w:val="33D75E0C"/>
    <w:rsid w:val="34146B2F"/>
    <w:rsid w:val="349D35A5"/>
    <w:rsid w:val="34CB49C9"/>
    <w:rsid w:val="34CC3739"/>
    <w:rsid w:val="355578F2"/>
    <w:rsid w:val="35C16D41"/>
    <w:rsid w:val="376E5681"/>
    <w:rsid w:val="3788225A"/>
    <w:rsid w:val="37B64A8F"/>
    <w:rsid w:val="37C037BF"/>
    <w:rsid w:val="38464EE2"/>
    <w:rsid w:val="38660675"/>
    <w:rsid w:val="38A02D3D"/>
    <w:rsid w:val="39B76B7F"/>
    <w:rsid w:val="3A172D55"/>
    <w:rsid w:val="3A841CCD"/>
    <w:rsid w:val="3A8964DB"/>
    <w:rsid w:val="3AA3515D"/>
    <w:rsid w:val="3AA43B48"/>
    <w:rsid w:val="3BAA38DD"/>
    <w:rsid w:val="3BE820CD"/>
    <w:rsid w:val="3C09535B"/>
    <w:rsid w:val="3C63103E"/>
    <w:rsid w:val="3CFD592E"/>
    <w:rsid w:val="3D1614C5"/>
    <w:rsid w:val="3D4D39C5"/>
    <w:rsid w:val="3D5C23B4"/>
    <w:rsid w:val="3DC73DF5"/>
    <w:rsid w:val="3E015603"/>
    <w:rsid w:val="3E026AA8"/>
    <w:rsid w:val="3E522A99"/>
    <w:rsid w:val="3E5311CC"/>
    <w:rsid w:val="3E7F0BB0"/>
    <w:rsid w:val="3E8B2CC2"/>
    <w:rsid w:val="3F920203"/>
    <w:rsid w:val="3F9953E1"/>
    <w:rsid w:val="3FB04DCF"/>
    <w:rsid w:val="40017291"/>
    <w:rsid w:val="40B974BD"/>
    <w:rsid w:val="40FA57F4"/>
    <w:rsid w:val="415F6900"/>
    <w:rsid w:val="41735085"/>
    <w:rsid w:val="418833A7"/>
    <w:rsid w:val="41BD428B"/>
    <w:rsid w:val="42386526"/>
    <w:rsid w:val="42CE6338"/>
    <w:rsid w:val="431F5B66"/>
    <w:rsid w:val="43412B66"/>
    <w:rsid w:val="434F06AA"/>
    <w:rsid w:val="439211C5"/>
    <w:rsid w:val="43B35ADD"/>
    <w:rsid w:val="43C250CD"/>
    <w:rsid w:val="43FD30B7"/>
    <w:rsid w:val="441F7F3A"/>
    <w:rsid w:val="44843594"/>
    <w:rsid w:val="455D18B4"/>
    <w:rsid w:val="45CF7394"/>
    <w:rsid w:val="46306994"/>
    <w:rsid w:val="464152B3"/>
    <w:rsid w:val="467A49FA"/>
    <w:rsid w:val="46BF0D3C"/>
    <w:rsid w:val="483B38D3"/>
    <w:rsid w:val="48660A30"/>
    <w:rsid w:val="48E061BA"/>
    <w:rsid w:val="49076E50"/>
    <w:rsid w:val="49273CAC"/>
    <w:rsid w:val="49DB3B41"/>
    <w:rsid w:val="4A3516AD"/>
    <w:rsid w:val="4A5C3C67"/>
    <w:rsid w:val="4AB316CA"/>
    <w:rsid w:val="4ACF0BAA"/>
    <w:rsid w:val="4AE77ECA"/>
    <w:rsid w:val="4AF239DE"/>
    <w:rsid w:val="4B471AF0"/>
    <w:rsid w:val="4B871356"/>
    <w:rsid w:val="4C3A2196"/>
    <w:rsid w:val="4C87091B"/>
    <w:rsid w:val="4D6B30D2"/>
    <w:rsid w:val="4D9D1129"/>
    <w:rsid w:val="4DCE4283"/>
    <w:rsid w:val="4E2F23C5"/>
    <w:rsid w:val="4E99446B"/>
    <w:rsid w:val="4ED11326"/>
    <w:rsid w:val="4ED7503A"/>
    <w:rsid w:val="4F0256D8"/>
    <w:rsid w:val="4F35130C"/>
    <w:rsid w:val="4F4C3C3C"/>
    <w:rsid w:val="50076E46"/>
    <w:rsid w:val="502F56D3"/>
    <w:rsid w:val="50665D38"/>
    <w:rsid w:val="506F097A"/>
    <w:rsid w:val="506F5D9A"/>
    <w:rsid w:val="50735D32"/>
    <w:rsid w:val="512E0EE9"/>
    <w:rsid w:val="51AB525E"/>
    <w:rsid w:val="51F81F54"/>
    <w:rsid w:val="52035050"/>
    <w:rsid w:val="522348DB"/>
    <w:rsid w:val="523669F1"/>
    <w:rsid w:val="52FE1AD7"/>
    <w:rsid w:val="53195F35"/>
    <w:rsid w:val="531D2EEF"/>
    <w:rsid w:val="547A199E"/>
    <w:rsid w:val="547C6438"/>
    <w:rsid w:val="548D440D"/>
    <w:rsid w:val="54AB297A"/>
    <w:rsid w:val="54BE4C77"/>
    <w:rsid w:val="54FF1B55"/>
    <w:rsid w:val="55211E98"/>
    <w:rsid w:val="55710478"/>
    <w:rsid w:val="558238AC"/>
    <w:rsid w:val="55861C83"/>
    <w:rsid w:val="56461613"/>
    <w:rsid w:val="56A80EA4"/>
    <w:rsid w:val="56C52C8B"/>
    <w:rsid w:val="56D32C04"/>
    <w:rsid w:val="56E1698E"/>
    <w:rsid w:val="56EF15BD"/>
    <w:rsid w:val="575C53AA"/>
    <w:rsid w:val="577319E3"/>
    <w:rsid w:val="57872B55"/>
    <w:rsid w:val="578A72AE"/>
    <w:rsid w:val="57EA3B6B"/>
    <w:rsid w:val="58475AE4"/>
    <w:rsid w:val="589940B4"/>
    <w:rsid w:val="58BD2D45"/>
    <w:rsid w:val="58FB42D3"/>
    <w:rsid w:val="592F291C"/>
    <w:rsid w:val="597A6EB7"/>
    <w:rsid w:val="59FB0E3C"/>
    <w:rsid w:val="5ACB4ACC"/>
    <w:rsid w:val="5B300D04"/>
    <w:rsid w:val="5D233759"/>
    <w:rsid w:val="5D62217E"/>
    <w:rsid w:val="5DEF7AB2"/>
    <w:rsid w:val="5E5B3EA1"/>
    <w:rsid w:val="5E905E23"/>
    <w:rsid w:val="5EE8715A"/>
    <w:rsid w:val="5F116567"/>
    <w:rsid w:val="5F9079A5"/>
    <w:rsid w:val="5FA87914"/>
    <w:rsid w:val="60A47A19"/>
    <w:rsid w:val="60AA3CB9"/>
    <w:rsid w:val="619B2854"/>
    <w:rsid w:val="62756CF4"/>
    <w:rsid w:val="63584C39"/>
    <w:rsid w:val="6385178C"/>
    <w:rsid w:val="63C003F3"/>
    <w:rsid w:val="63CA43DF"/>
    <w:rsid w:val="63FA3FA7"/>
    <w:rsid w:val="64471DB5"/>
    <w:rsid w:val="64A73A52"/>
    <w:rsid w:val="64B63C61"/>
    <w:rsid w:val="656327A3"/>
    <w:rsid w:val="660560D1"/>
    <w:rsid w:val="662C75A6"/>
    <w:rsid w:val="6633083C"/>
    <w:rsid w:val="666F4799"/>
    <w:rsid w:val="667746E6"/>
    <w:rsid w:val="66791410"/>
    <w:rsid w:val="66A45610"/>
    <w:rsid w:val="66B050E6"/>
    <w:rsid w:val="66EF3A1B"/>
    <w:rsid w:val="67002166"/>
    <w:rsid w:val="67160F22"/>
    <w:rsid w:val="67680ED0"/>
    <w:rsid w:val="68332986"/>
    <w:rsid w:val="68850E21"/>
    <w:rsid w:val="68AE1EB0"/>
    <w:rsid w:val="68C82B4C"/>
    <w:rsid w:val="68CD334C"/>
    <w:rsid w:val="69A3728A"/>
    <w:rsid w:val="6AA447C1"/>
    <w:rsid w:val="6B696CEE"/>
    <w:rsid w:val="6B7408C8"/>
    <w:rsid w:val="6BBA6B50"/>
    <w:rsid w:val="6BBE7D0B"/>
    <w:rsid w:val="6C62365D"/>
    <w:rsid w:val="6C6305F8"/>
    <w:rsid w:val="6C7666BE"/>
    <w:rsid w:val="6CDE7FC6"/>
    <w:rsid w:val="6D412E65"/>
    <w:rsid w:val="6D44004C"/>
    <w:rsid w:val="6D485A2C"/>
    <w:rsid w:val="6E6F6497"/>
    <w:rsid w:val="6F1672EE"/>
    <w:rsid w:val="6F1977F4"/>
    <w:rsid w:val="6F2E4C88"/>
    <w:rsid w:val="6F9F2430"/>
    <w:rsid w:val="6FBE225E"/>
    <w:rsid w:val="704049A0"/>
    <w:rsid w:val="706B10FE"/>
    <w:rsid w:val="70CE01AB"/>
    <w:rsid w:val="70E45997"/>
    <w:rsid w:val="718845A8"/>
    <w:rsid w:val="71B072F9"/>
    <w:rsid w:val="71E178BF"/>
    <w:rsid w:val="71F95659"/>
    <w:rsid w:val="71FE6753"/>
    <w:rsid w:val="720648B1"/>
    <w:rsid w:val="72881730"/>
    <w:rsid w:val="7295510E"/>
    <w:rsid w:val="72AF2A62"/>
    <w:rsid w:val="72FD0B9F"/>
    <w:rsid w:val="730C01D7"/>
    <w:rsid w:val="744627F8"/>
    <w:rsid w:val="749E2569"/>
    <w:rsid w:val="74F03EF0"/>
    <w:rsid w:val="74F429DB"/>
    <w:rsid w:val="74F56D3A"/>
    <w:rsid w:val="752330E5"/>
    <w:rsid w:val="75867B34"/>
    <w:rsid w:val="75C46DBF"/>
    <w:rsid w:val="76855541"/>
    <w:rsid w:val="76E06673"/>
    <w:rsid w:val="77EE0796"/>
    <w:rsid w:val="7828798D"/>
    <w:rsid w:val="786C4E8F"/>
    <w:rsid w:val="79145089"/>
    <w:rsid w:val="79237768"/>
    <w:rsid w:val="79FE4381"/>
    <w:rsid w:val="7A020A1A"/>
    <w:rsid w:val="7A6F2E27"/>
    <w:rsid w:val="7A8B7F0B"/>
    <w:rsid w:val="7AAE3E7B"/>
    <w:rsid w:val="7AB70137"/>
    <w:rsid w:val="7AC97275"/>
    <w:rsid w:val="7ADF2E62"/>
    <w:rsid w:val="7B29048A"/>
    <w:rsid w:val="7BC21D7B"/>
    <w:rsid w:val="7BD81013"/>
    <w:rsid w:val="7C6702DC"/>
    <w:rsid w:val="7C6F2101"/>
    <w:rsid w:val="7C8C799E"/>
    <w:rsid w:val="7CC1548B"/>
    <w:rsid w:val="7D970846"/>
    <w:rsid w:val="7E1D3563"/>
    <w:rsid w:val="7E1F6600"/>
    <w:rsid w:val="7E372C2A"/>
    <w:rsid w:val="7E781628"/>
    <w:rsid w:val="7EE221D7"/>
    <w:rsid w:val="7F7B6D3C"/>
    <w:rsid w:val="7F867E96"/>
    <w:rsid w:val="7FD53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rules v:ext="edit">
        <o:r id="V:Rule1" type="connector" idref="#自选图形 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qFormat/>
    <w:uiPriority w:val="0"/>
    <w:pPr>
      <w:keepNext/>
      <w:keepLines/>
      <w:widowControl/>
      <w:adjustRightInd w:val="0"/>
      <w:snapToGrid w:val="0"/>
      <w:spacing w:before="260" w:after="260" w:line="594" w:lineRule="exact"/>
      <w:jc w:val="left"/>
      <w:outlineLvl w:val="3"/>
    </w:pPr>
    <w:rPr>
      <w:rFonts w:eastAsia="方正黑体_GBK"/>
      <w:b/>
      <w:bCs/>
      <w:sz w:val="28"/>
      <w:szCs w:val="28"/>
    </w:rPr>
  </w:style>
  <w:style w:type="character" w:default="1" w:styleId="9">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5">
    <w:name w:val="Normal Indent"/>
    <w:basedOn w:val="1"/>
    <w:qFormat/>
    <w:uiPriority w:val="0"/>
    <w:pPr>
      <w:ind w:firstLine="420" w:firstLine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paragraph" w:customStyle="1" w:styleId="12">
    <w:name w:val="正文 New"/>
    <w:qFormat/>
    <w:uiPriority w:val="0"/>
    <w:pPr>
      <w:widowControl w:val="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5" textRotate="1"/>
    <customShpInfo spid="_x0000_s3074" textRotate="1"/>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西云科技</Company>
  <Pages>23</Pages>
  <Words>1731</Words>
  <Characters>9873</Characters>
  <Lines>82</Lines>
  <Paragraphs>23</Paragraphs>
  <TotalTime>2</TotalTime>
  <ScaleCrop>false</ScaleCrop>
  <LinksUpToDate>false</LinksUpToDate>
  <CharactersWithSpaces>11581</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2021-07-21T01:04:00Z</dcterms:created>
  <dc:creator>Administrator</dc:creator>
  <cp:lastModifiedBy>杨淑芳</cp:lastModifiedBy>
  <cp:lastPrinted>2021-07-21T02:08:14Z</cp:lastPrinted>
  <dcterms:modified xsi:type="dcterms:W3CDTF">2021-07-21T02:08:40Z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KSOSaveFontToCloudKey">
    <vt:lpwstr>0_embed</vt:lpwstr>
  </property>
  <property fmtid="{D5CDD505-2E9C-101B-9397-08002B2CF9AE}" pid="4" name="ICV">
    <vt:lpwstr>434AEF6725CC4DBC9007F93E8461E71C</vt:lpwstr>
  </property>
</Properties>
</file>