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eastAsia="方正小标宋_GBK" w:cs="Times New Roman"/>
          <w:sz w:val="44"/>
          <w:szCs w:val="44"/>
        </w:rPr>
      </w:pPr>
      <w:bookmarkStart w:id="3" w:name="_GoBack"/>
      <w:bookmarkEnd w:id="3"/>
    </w:p>
    <w:p>
      <w:pPr>
        <w:rPr>
          <w:rFonts w:ascii="Times New Roman" w:eastAsia="方正小标宋_GBK" w:cs="Times New Roman"/>
          <w:sz w:val="44"/>
          <w:szCs w:val="44"/>
        </w:rPr>
      </w:pPr>
    </w:p>
    <w:p>
      <w:pPr>
        <w:snapToGrid w:val="0"/>
        <w:spacing w:line="360" w:lineRule="auto"/>
        <w:rPr>
          <w:rFonts w:ascii="Times New Roman" w:cs="Times New Roman"/>
        </w:rPr>
      </w:pPr>
    </w:p>
    <w:p>
      <w:pPr>
        <w:spacing w:line="800" w:lineRule="exact"/>
        <w:rPr>
          <w:rFonts w:ascii="Times New Roman" w:cs="Times New Roman"/>
          <w:color w:val="0000FF"/>
          <w:w w:val="80"/>
          <w:u w:val="single"/>
        </w:rPr>
      </w:pPr>
    </w:p>
    <w:p>
      <w:pPr>
        <w:jc w:val="center"/>
        <w:rPr>
          <w:rFonts w:ascii="Times New Roman" w:eastAsia="方正小标宋_GBK" w:cs="Times New Roman"/>
          <w:b/>
          <w:bCs/>
          <w:color w:val="FF0000"/>
          <w:w w:val="68"/>
          <w:sz w:val="108"/>
          <w:szCs w:val="108"/>
        </w:rPr>
      </w:pPr>
      <w:r>
        <w:rPr>
          <w:rFonts w:ascii="Times New Roman" w:eastAsia="方正小标宋_GBK" w:cs="Times New Roman"/>
          <w:b/>
          <w:bCs/>
          <w:color w:val="FF0000"/>
          <w:w w:val="68"/>
          <w:sz w:val="108"/>
          <w:szCs w:val="108"/>
        </w:rPr>
        <w:t>重庆市渝北区民政局文件</w:t>
      </w:r>
    </w:p>
    <w:p>
      <w:pPr>
        <w:spacing w:line="530" w:lineRule="exact"/>
        <w:rPr>
          <w:rFonts w:ascii="Times New Roman" w:cs="Times New Roman"/>
          <w:color w:val="000000"/>
        </w:rPr>
      </w:pPr>
    </w:p>
    <w:p>
      <w:pPr>
        <w:spacing w:line="570" w:lineRule="exact"/>
        <w:ind w:firstLine="160" w:firstLineChars="50"/>
        <w:jc w:val="center"/>
        <w:rPr>
          <w:rFonts w:ascii="Times New Roman" w:eastAsia="方正仿宋_GBK" w:cs="Times New Roman"/>
        </w:rPr>
      </w:pPr>
      <w:bookmarkStart w:id="0" w:name="danwei"/>
      <w:bookmarkEnd w:id="0"/>
      <w:bookmarkStart w:id="1" w:name="haoshu"/>
      <w:bookmarkEnd w:id="1"/>
      <w:r>
        <w:rPr>
          <w:rFonts w:ascii="Times New Roman" w:eastAsia="方正仿宋_GBK" w:cs="Times New Roman"/>
        </w:rPr>
        <w:t>渝北民〔20</w:t>
      </w:r>
      <w:r>
        <w:rPr>
          <w:rFonts w:hint="eastAsia" w:ascii="Times New Roman" w:eastAsia="方正仿宋_GBK" w:cs="Times New Roman"/>
          <w:lang w:val="en-US" w:eastAsia="zh-CN"/>
        </w:rPr>
        <w:t>21</w:t>
      </w:r>
      <w:r>
        <w:rPr>
          <w:rFonts w:ascii="Times New Roman" w:eastAsia="方正仿宋_GBK" w:cs="Times New Roman"/>
        </w:rPr>
        <w:t>〕</w:t>
      </w:r>
      <w:r>
        <w:rPr>
          <w:rFonts w:hint="eastAsia" w:ascii="Times New Roman" w:eastAsia="方正仿宋_GBK" w:cs="Times New Roman"/>
          <w:lang w:val="en-US" w:eastAsia="zh-CN"/>
        </w:rPr>
        <w:t>61</w:t>
      </w:r>
      <w:r>
        <w:rPr>
          <w:rFonts w:ascii="Times New Roman" w:eastAsia="方正仿宋_GBK" w:cs="Times New Roman"/>
        </w:rPr>
        <w:t>号</w:t>
      </w:r>
    </w:p>
    <w:p>
      <w:pPr>
        <w:spacing w:line="240" w:lineRule="exact"/>
        <w:jc w:val="center"/>
        <w:rPr>
          <w:rFonts w:ascii="Times New Roman" w:cs="Times New Roman"/>
          <w:color w:val="000000"/>
        </w:rPr>
      </w:pPr>
      <w:r>
        <w:rPr>
          <w:rFonts w:ascii="Times New Roman" w:cs="Times New Roman"/>
        </w:rPr>
        <w:pict>
          <v:shape id="_x0000_s2050" o:spid="_x0000_s2050" o:spt="32" type="#_x0000_t32" style="position:absolute;left:0pt;margin-left:0pt;margin-top:10.25pt;height:0.05pt;width:443.35pt;z-index:251658240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</w:p>
    <w:p>
      <w:pPr>
        <w:spacing w:line="240" w:lineRule="exact"/>
        <w:rPr>
          <w:rFonts w:ascii="Times New Roman" w:eastAsia="方正仿宋_GBK" w:cs="Times New Roman"/>
          <w:color w:val="000000"/>
        </w:rPr>
      </w:pPr>
    </w:p>
    <w:p>
      <w:pPr>
        <w:spacing w:line="560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重庆市渝北区民政局</w:t>
      </w:r>
    </w:p>
    <w:p>
      <w:pPr>
        <w:spacing w:line="560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eastAsia="方正小标宋_GBK" w:cs="Times New Roman"/>
          <w:sz w:val="44"/>
          <w:szCs w:val="44"/>
          <w:lang w:eastAsia="zh-CN"/>
        </w:rPr>
        <w:t>认真做好</w:t>
      </w:r>
      <w:r>
        <w:rPr>
          <w:rFonts w:hint="eastAsia" w:hAnsi="方正小标宋_GBK" w:eastAsia="方正小标宋_GBK"/>
          <w:spacing w:val="-4"/>
          <w:sz w:val="44"/>
          <w:szCs w:val="44"/>
          <w:lang w:eastAsia="zh-CN"/>
        </w:rPr>
        <w:t>安全隐患整改工作</w:t>
      </w:r>
      <w:r>
        <w:rPr>
          <w:rFonts w:ascii="Times New Roman" w:eastAsia="方正小标宋_GBK" w:cs="Times New Roman"/>
          <w:sz w:val="44"/>
          <w:szCs w:val="44"/>
        </w:rPr>
        <w:t>的通知</w:t>
      </w:r>
    </w:p>
    <w:p>
      <w:pPr>
        <w:spacing w:line="4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</w:rPr>
      </w:pPr>
      <w:r>
        <w:rPr>
          <w:rFonts w:hint="eastAsia" w:ascii="方正仿宋_GBK" w:hAnsi="方正仿宋_GBK" w:eastAsia="方正仿宋_GBK" w:cs="方正仿宋_GBK"/>
        </w:rPr>
        <w:t>各镇人民政府、街道办事处，各民政服务机构</w:t>
      </w:r>
      <w:r>
        <w:rPr>
          <w:rFonts w:hint="eastAsia" w:ascii="方正仿宋_GBK" w:hAnsi="方正仿宋_GBK" w:eastAsia="方正仿宋_GBK" w:cs="方正仿宋_GBK"/>
          <w:color w:val="00000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根据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渝北区民政局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《关于开展安全生产大排查大整治大执法工作的通知》（渝北民函〔2021〕61号）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的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4月上旬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，区民政局组织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开展了安全生产监督排查工作。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检查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56家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民政服务机构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共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发现安全隐患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175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个（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详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见附件），其中镇街敬老院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安全隐患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67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个、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养老服务中心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安全隐患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18个、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社会办养老机构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安全隐患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81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个、殡仪服务单位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安全隐患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个。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现将检查发现的隐患问题反馈如下，望按照时间节点做好整改落实。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2"/>
        </w:rPr>
        <w:t>提高思想认识，防范安全事故</w:t>
      </w: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即将进入高温汛期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思想活跃，火灾易发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各镇街、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民政服务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机构要认真落实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主体责任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，夯实安全基础。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2"/>
          <w:lang w:eastAsia="zh-CN"/>
        </w:rPr>
        <w:t>二是及时整治隐患，严格执法处罚。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严格按照《隐患整改通知书》中的整改时间完成1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75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个安全隐患和所有安全风险整治管控工作，</w:t>
      </w:r>
      <w:r>
        <w:rPr>
          <w:rFonts w:hint="eastAsia" w:ascii="方正仿宋_GBK" w:hAnsi="方正仿宋_GBK" w:eastAsia="方正仿宋_GBK" w:cs="方正仿宋_GBK"/>
          <w:bCs/>
          <w:color w:val="000000"/>
          <w:lang w:eastAsia="zh-CN"/>
        </w:rPr>
        <w:t>能及时整改的，要立即整改到位；一时难以整改的，要采取必要措施，严防安全事故发生；对于违法违规问题，要严格执法处罚，确保安全稳定。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/>
          <w:kern w:val="2"/>
          <w:sz w:val="32"/>
          <w:szCs w:val="32"/>
          <w:lang w:val="en-US" w:eastAsia="zh-CN" w:bidi="ar-SA"/>
        </w:rPr>
        <w:t>三是加强应急值守，强化责任担当。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节日期间，各级要加强巡逻检查、值班值守，对安全器材装备进行一次彻底的检查维护，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做好物资、通信等应急保障工作，不断提升应对和处置各类突发情况的能力，确保一有情况快速反应、有效应对。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附件：20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月安全生产大排查隐患清单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>重庆市渝北区民政局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Cs/>
          <w:color w:val="000000"/>
        </w:rPr>
      </w:pPr>
      <w:r>
        <w:rPr>
          <w:rFonts w:hint="eastAsia" w:ascii="方正仿宋_GBK" w:hAnsi="方正仿宋_GBK" w:eastAsia="方正仿宋_GBK" w:cs="方正仿宋_GBK"/>
          <w:bCs/>
          <w:color w:val="000000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 xml:space="preserve">  20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Cs/>
          <w:color w:val="000000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bCs/>
          <w:color w:val="000000"/>
        </w:rPr>
      </w:pPr>
    </w:p>
    <w:p>
      <w:pPr>
        <w:pStyle w:val="2"/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851" w:footer="992" w:gutter="0"/>
          <w:pgNumType w:fmt="numberInDash"/>
          <w:cols w:space="425" w:num="1"/>
          <w:titlePg/>
          <w:docGrid w:type="lines" w:linePitch="435" w:charSpace="0"/>
        </w:sectPr>
      </w:pPr>
      <w:r>
        <w:rPr>
          <w:rFonts w:hint="eastAsia" w:ascii="方正仿宋_GBK" w:hAnsi="方正仿宋_GBK" w:eastAsia="方正仿宋_GBK" w:cs="方正仿宋_GBK"/>
          <w:bCs/>
          <w:color w:val="00000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</w:rPr>
      </w:pPr>
      <w:r>
        <w:rPr>
          <w:rFonts w:hint="eastAsia" w:ascii="方正黑体_GBK" w:hAnsi="方正黑体_GBK" w:eastAsia="方正黑体_GBK" w:cs="方正黑体_GBK"/>
          <w:bCs/>
          <w:color w:val="00000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line="560" w:lineRule="exact"/>
        <w:jc w:val="center"/>
        <w:textAlignment w:val="auto"/>
        <w:rPr>
          <w:rFonts w:ascii="Times New Roman" w:eastAsia="方正仿宋_GBK" w:cs="Times New Roma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月安全生产大排查隐患清单</w:t>
      </w:r>
    </w:p>
    <w:tbl>
      <w:tblPr>
        <w:tblStyle w:val="7"/>
        <w:tblW w:w="147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897"/>
        <w:gridCol w:w="1663"/>
        <w:gridCol w:w="3968"/>
        <w:gridCol w:w="670"/>
        <w:gridCol w:w="4003"/>
        <w:gridCol w:w="791"/>
        <w:gridCol w:w="791"/>
        <w:gridCol w:w="791"/>
        <w:gridCol w:w="7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镇街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存在问题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风险等级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整改措施与建议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牵头督办局领导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牵头督办科室人员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牵头督办镇街负责人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兴发敬老院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1、顶楼消防水管网压力表损坏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1、及时修复压力表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樊素英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黄印敬老院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1、食堂留样时间未按实际时间记录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1、按照留样实际的时间进行记录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2、老人活动区域有磁砖尖角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2、用软绵包裹或设置安全警示标识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河坝敬老院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1、食堂监控摄像头电源插头损坏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1、及时修复插头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黄道芬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2、日周月排查记录填写不规范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2、规范填写日周月隐患排查记录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中坪敬老院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1、厨房有灯具线路未穿管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1、穿管使用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2、厨房未配备灭火毯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2、配置灭火毯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3、日周月排查记录缺失3月份记录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3、加强日周月排查管理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1、食堂灭火器只配备1具，且无检查记录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1、灭火器建议成对配置，装箱管理并定期点检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卢王田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2、二楼老人房间有吸烟现象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2、设置吸烟区，在指定地点吸烟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1、洗衣处空调外机悬挂位置低，无安全防护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1、增加防撞缓冲垫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蒋登富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范春会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2、楼梯间堆放桌椅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2、另找地方妥善放置，楼梯间禁止堆放可燃杂物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大盛敬老院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1、部分电缆桥架未跨接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1、跨接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蒋登富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幸治余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2、厨房可燃气体报警器安装位置错误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2、更换安装位置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3、水泵房电线裸露穿管破损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3、穿管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4、应急预案不熟悉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4、加强演练与培训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1、液化气罐不适用，未及时处理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1、及时处理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宋君书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2、厨房一处接线板未接地线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3、洗澡间、电热水器金属外壳未接地线，空气开关盒缺盖子，空间开关应装在洗澡间外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3、电热水器金属外壳应接地线，空气开关盒增加盖子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4、住宿窗户栏杆高度不够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4、栏杆高度不低于1.1米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5、健康证过期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6、及时更换健康证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茨竹镇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华蓥山敬老院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1、房间内有人抽烟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丁德山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2、地面青苔较滑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2、清除青苔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3、必须上锁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4、洗衣机处插座“左零右火接反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4、重新接线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5、疏散示意图未标注另一出口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5、更换疏散示意图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6、二、三楼栏杆高度不够（不低于1.1米）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6、栏杆高度不低于1.1米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7、4月15日，日检、夜检未填写记录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7、及时填写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8、消防设施因疫情原因，未维保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8、及时通知维保单位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慈善敬老院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1、一楼通道一开关无盖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1、加装盖子或更换开关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2、厨房一插座未接地线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3、厨房地面沟一盖板破损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3、更换盖板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4、疏散示意图未标注另一通道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4、更换疏散示意图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5、日周月未填写记录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5、应填写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6、因疫情，消防维保未进行，尽快进行消防维保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6、及时通知维保单位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1、消防管道压力过大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1、请维保单位及时处理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黄琴林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唐远彬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2、留样柜未上锁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3、未到民政局领取日月周检查记录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3、及时领取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石鞋敬老院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1、留样柜未上锁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1、应上锁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黄琴林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2、一房间墙上挂有钢锯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2、应由院方保管，老人要使用时，由院方同意后使用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3、消防管道穿过楼板，间隙大，物品掉下可能会伤到人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3、封堵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4、消防管道上有木板，掉下可能伤人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4、取下木板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5、厨房、换气扇油污多，燃气灶油污多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5、及时清理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红竹敬老院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1、洗衣机处，中间插座“左零右火”接反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1、重新接线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陈崇余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2、厨房一插座有烧糊情况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2、更换插座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3、厨房门口地面沟盖板有孔洞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3、盖板应盖完整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4、液化气罐无检验时间（有效期）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4、购买时，进行检查，无有效期或未在有效期范围内，不能使用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5、楼旁可燃物未及时清理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5、及时清理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6、一住宿房间、插座无地线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7、一楼总电源处有积水 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7、清理积水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1、楼梯底部无“当心触头”标示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1、增加“当心碰头”标示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2、厨房配电箱进出线孔洞未用防火泥封堵，未张贴“当心触电”标示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2、用防火泥封堵，增加“当心触电”标示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3、消防室报警装置显示“故障”，未恢复，杂物多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3、查明没有火灾，应及时恢复，以便下次能起到作用，清除杂物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胆沟敬老院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1、住宿房间、厨房无接地线，未加装漏电保护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1、插座必须接地线，房间总电源处，应加装漏电保护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冯忠淑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2、部分台阶无“当心台阶”标示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2、增加“当心台阶”警示标示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麻柳敬老院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1、一灭火箱内检查记录3月未检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1、及时检查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天宫敬老院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1、四楼消防管道末端压力表无压力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1、请消防维保单位进行检查，查明原因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2、厨房一开关无盖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2、加装盖子或更换开关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3、厨房插座未接地线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3、必须接地线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石船敬老院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1、通往食堂楼梯栏杆高度不够（1.1米）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1、应不低于1.1米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叶凤群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2、住宿房间、插座未接地线，未加装漏电保护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2、插座必须接地线，房间总电源处，应加装漏电保护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新渝移民敬老院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1、应急疏散等配电室应急照明未正常运行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1、修复应急疏散灯、应急照明灯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2、消防水压力不足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2、联系消防维保单位定期维护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3、消防火灾报警控制器停电后未启动备用电源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3、联系消防维保单位维护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1、饭厅插座未接地线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1、接地线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刘春黎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2、燃气表处无“禁止烟火”标示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2、增加“禁止烟火”标示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王家街道敬老院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1、寝室窗户无限位装置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1、增加限位装置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曾孝文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养老服务中心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1、消防报警处于火警状态，未及时恢复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1、及时恢复，以便出现火警正常报警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杨念念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2、日周月记录中，月记录未填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2、及时填写日周月记录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1、食品留样量过少，不符合要求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1、留样不能少于125g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2、留样箱没有及时上锁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2、应及时上锁，专人保管钥匙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3、发现有灭火器灭有及时填写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3、至少每月检查一次，并填写记录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4、厨房天然气阀栏没有导静电跨接，没有气体流向标识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4、用电线进行跨接，标流向标示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5、厨房地面不防滑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5、采取防滑措施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1、灭火器点检记录不在灭火器放置现场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1、放于现场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蔡汶栖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1、消防疏散引导箱内毛巾数量不足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1、补充毛巾数量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艾义勇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2、食品留样记录表记录未及时填写食品留样未精确到分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2、食品留样及时填写，留样时间精确到分钟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1、配电箱箱门与箱体地线未跨接，配电箱无“当心触电”等安全标识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1、箱门与箱体应跨接，增加安全标识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宝圣湖街道养老服务中心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1、1楼疏散楼梯间疏散出口防火门不能正常使用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状态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1、修复防火门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袁治权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2、厨房配电箱箱门与箱体未跨接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2、箱门与箱体跨接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3、疏散引导箱内喊话器电筒未处于备用状态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3、应急物资要处于备用状态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1、消防设施未见定期检查记录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1、消防设施每月至少检查一次，并将检查记录放在消防设施内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2、二楼通道201房间外，厨房多处插座未接地线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3、厨房、地面沟盖板有破损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3、更换盖板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4、燃气表处未见“禁止烟火”标示 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4、张贴“禁止烟火”标示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养老机构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鸿宁养老服务中心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1、食品留样个别未记录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1、留样食品均应定期作好记录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冯永英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2、食堂灶台边对方可燃物，油烟机油污未及时清理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2、及时清理可燃物和油污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3、老人房间内有蚊香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3、严禁使用蚊香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4、二楼老人休息区域石凳边角尖锐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4、用软绵将四周尖角包裹，设置安全警示标识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古路镇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春湖老年公寓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1、抽油烟风扇处油污太多，未及时清理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1、及时清理油污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刘春黎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2、燃气气管与燃气灶连接处使用铁丝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2、使用铝管卡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3、水泵金属外壳未接地线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玉峰山镇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广慈老年公寓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1、部分室内消火栓未安装把手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1、增设把手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宋海平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2、配电房内通风未设置防护网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2、增设防护网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千竹居养老院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1、多功能厅安全出口处未设置疏散指示标识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1、增设安全疏散指示标识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吉子金里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2、办公室灭火器箱内只配置1具灭火器，检查记录未及时更新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2、灭火器应成对配置，并定期检查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3、老年人休息区地面青苔未及时清理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3、及时清理青苔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4、未见安全相关资料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4、建立安全隐患排查、教育培训、应急演练等安全体系资料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5、管理人员不足，情况不清，管理业务不熟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5、配足管理人员，加强管理知识的学习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森林海养老院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1、二楼灭火器个别检查记录未更新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1、灭火器应定期点检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2、4月12日食品留样记录未记录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2、留样食品应及时做好记录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3、二楼疏散引导箱内缺少手电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3、补充手电筒，定期检查手电筒和扩音器是否有电，及时更换过期的防烟面罩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4、安全资料记录停留在4月9日、4月10日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4、安全体系资料应及时更新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大湾镇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虞和苑老年公寓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1、冰箱处接线板“左零右火”接反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1、重新接线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杨旭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卿兴慧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2、厨房外一接线板使用绞线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2、更换为电缆线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3、液化气罐无检验有效期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3、购买时，进行检查，无有效期或未在有效期范围内，不能使用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4、厨房外灭火器无检查记录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4、增加检查记录表，每月至少一次检查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5、留样柜未上锁，留样品太少，留样无留样人签字，无具体时间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5、留样柜，应上锁，增加留样品数量，留样应有留样人签字，具体时间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双龙湖街道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久泰养老公寓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1、厨房有人吸烟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2、冰箱线路未接地线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3、留样柜未上锁，留样品未签名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3、留样柜应上锁，留样人应签名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4、厨房、空气开关未标注控制对象名称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4、应标注控制对象名称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5、通道、墙上木质板有尖角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5、尖角应软包或圆角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6、4月一次电梯维保记录中，维保人员只有1人签字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6、维保人员签字完善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7、日周月中，周月未检查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7、及时填写日周月检查记录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宜居养老院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1、厨房一插座已烧糊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1、更换插座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熊春霞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2、部分健康证过期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2、及时办理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3、消防检查记录是12月份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3、及时检查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4、日周月记录中无周月记录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4、及时填写日周月检查记录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双凤桥街道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双凤社会养老中心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1、电梯维保记录填写不明确，《维修报告单》填写内容不详细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1、维保公司应认真填写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2、换气扇防护网间隔过大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2、间隙不大于10毫米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3、留样柜未上锁，留样人未签字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3、应上锁，留样人应签字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4、消防维保记录中隐患未及时整改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4、及时整改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5、厨房地面沟盖板未盖全，有孔洞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5、应盖全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桃原老年养护中心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1、天然气表处无禁止烟火”标示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1、增加“禁止烟火”标示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洪海燕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2、2个健康证已过有效期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2、及时办理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3、留样品未签全姓名，留样品未保留48小时以上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3、留样品应签全姓名，留样品应保留48小时以上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4、4楼洗衣处空开盒无盖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4、增加盖子或更换开关盒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嘉悦里老年公寓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1、食品留样记录未注明留餐时间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1、注明留餐时间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2、消防疏散引导箱直角处无防撞缓冲垫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2、增加防撞缓冲垫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静安养老院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1、疏散引导箱内防火烟面具过期失效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1、立即更换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2、疏散引导箱内扩音器没电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2、应及时充电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3、厨房烟道没有定期清洁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3、聘请专业公司定期对其清洁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4、发现一防火门闭门器损坏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4、更新或修复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5、蔬菜直接放在地面上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5、应放在蔬菜货架上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桂湖老年公寓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1、餐厅处、厕所灯具线路裸露，灯具未固定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1、穿管、固定灯具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金龙养老院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1、厕所台阶处无“小心台阶”安全警示标识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1、张贴小心台阶安全警示标识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2、衣柜上方放置物品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2、物品另找地方放置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金晚秋养老服务会所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1、厨房内灭火器失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1、更换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2、疏散引导箱内矿泉水数量少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2、增加矿泉水数量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渝巢养老院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1、室外一处地面无防滑措施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1、增加防滑措施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2、衣柜上方放置物品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2、物品另找地方放置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枫桥养老院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1、厨房未配备灭火毯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1、配备灭火毯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2、食品留样未注明留样人、留样时间等信息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2、加强食品安全管理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3、顶楼护栏脱落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3、修复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多普泰养老院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1、消防栓没有进行定期检查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1、定期检查、填写记录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姚春燕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龙山街道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龙山老年养护中心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1、衣柜上放置物品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1、物品另找地方放置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蒋维薇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蔡汶栖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龙塔街道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福缘老年公寓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1、食品留样时间不足48小时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1、加强食品安全管理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艾义勇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李宣敏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2、台阶处无“小心台阶”安全警示标识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2、张贴小心台阶安全警示标示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3、未制定消防应急预案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3、制定消防应急预案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4、日排查未及时开展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4、及时开展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椿萱茂重庆回兴老年公寓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1、厨房可燃气体报警仪显示报警需及时处理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1、定期维护报警仪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秦晓英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2、配电室、绝缘工具未定期检测，无检测标签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2、绝缘工具定期检测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回兴社会福利院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1、厨房内可燃气体报警仪未投入使用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1、保证报警仪正常运行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罗清淑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2、厨房内有天然气地漏情况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2、联系维保单位维修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两路街道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天爱阁老年公寓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1、室外活动雨棚、灯具等线路未穿管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1、线路应穿塑料管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李渝玲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冉茂莲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2、火灾报警器处于火警状态，未恢复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2、查明没有火灾，应及时恢复，以便下次能起到作用，清除杂物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3、厨房、配电箱进出线口未封堵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3、用防火泥封堵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4、厨房、换气扇油污较多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4、及时清理油污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5、必须上锁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悦来老年康养中心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1、留样记录已填写到4月18日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1、应据实填写，不能提前填写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周文静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陈洪卫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2、厨房一墙上插座未固定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2、固定插座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3、出菜口、接线板“左零右火”接反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3、重新接线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4、厨房、燃气管道阀门处未静电接地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4、接地线跨接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5、留样柜未上锁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5、应上锁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6、厨房一接线板未接地线</w:t>
            </w:r>
          </w:p>
        </w:tc>
        <w:tc>
          <w:tcPr>
            <w:tcW w:w="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6、应接地线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殡仪服务单位</w:t>
            </w: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龙兴殡葬服务有限公司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1、厨房排风扇无防护罩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1、增加防护罩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鄢朝剑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2、厨房未配置灭火器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3、厅堂内无灭火器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3、配置灭火器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洛碛镇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云鹤间殡葬服务部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1、烧纸处未配置灭火器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1、配置灭火器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李雪玲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2、厨房未配置灭火毯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2、配置灭火毯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3、厨房内部分插座有烧过痕迹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3、插座更换为防水插座，或更换位置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王家街道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颐安堂殡仪服务有限公司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1、化粪池无有限空间作业标识牌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低级</w:t>
            </w: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1、增加有限空间作业标识牌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范尚勇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陈希文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龙兴杰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2、化粪池确实“严禁烟火”等标识牌，周边有烧纸、抽烟现象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2、增加标识、加强管理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3、厨房配电箱孔洞未封堵，配电箱内油污多</w:t>
            </w: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3、清理油污、封堵孔洞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ascii="Times New Roman" w:eastAsia="方正仿宋_GBK" w:cs="Times New Roman"/>
        </w:rPr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docGrid w:type="lines" w:linePitch="436" w:charSpace="0"/>
        </w:sectPr>
      </w:pPr>
    </w:p>
    <w:p>
      <w:pPr>
        <w:rPr>
          <w:rFonts w:ascii="Times New Roman" w:eastAsia="方正仿宋_GBK" w:cs="Times New Roman"/>
        </w:rPr>
      </w:pPr>
    </w:p>
    <w:p>
      <w:pPr>
        <w:snapToGrid w:val="0"/>
        <w:spacing w:line="560" w:lineRule="exact"/>
        <w:rPr>
          <w:rFonts w:ascii="Times New Roman" w:eastAsia="方正仿宋_GBK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tabs>
          <w:tab w:val="left" w:pos="8364"/>
        </w:tabs>
        <w:spacing w:line="540" w:lineRule="exact"/>
        <w:ind w:right="-982" w:rightChars="-307"/>
        <w:jc w:val="left"/>
        <w:rPr>
          <w:rFonts w:ascii="Times New Roman" w:eastAsia="方正仿宋_GBK" w:cs="Times New Roman"/>
        </w:rPr>
      </w:pPr>
      <w:r>
        <w:rPr>
          <w:rFonts w:ascii="Times New Roman" w:eastAsia="方正仿宋_GBK" w:cs="Times New Roman"/>
          <w:sz w:val="28"/>
          <w:szCs w:val="28"/>
        </w:rPr>
        <w:t xml:space="preserve">重庆市渝北区民政局办公室                    </w:t>
      </w:r>
      <w:bookmarkStart w:id="2" w:name="yinfayue"/>
      <w:bookmarkEnd w:id="2"/>
      <w:r>
        <w:rPr>
          <w:rFonts w:asci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/>
          <w:sz w:val="28"/>
          <w:szCs w:val="28"/>
        </w:rPr>
        <w:t xml:space="preserve"> 20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asci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asci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ascii="Times New Roman" w:eastAsia="方正仿宋_GBK" w:cs="Times New Roman"/>
          <w:sz w:val="28"/>
          <w:szCs w:val="28"/>
        </w:rPr>
        <w:t>日印发</w:t>
      </w:r>
      <w:r>
        <w:rPr>
          <w:rFonts w:ascii="Times New Roman" w:eastAsia="方正仿宋_GBK" w:cs="Times New Roman"/>
        </w:rPr>
        <w:pict>
          <v:line id="_x0000_s2051" o:spid="_x0000_s2051" o:spt="20" style="position:absolute;left:0pt;margin-left:0pt;margin-top:3.6pt;height:0pt;width:466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djustRightInd w:val="0"/>
        <w:snapToGrid w:val="0"/>
        <w:rPr>
          <w:rFonts w:ascii="Times New Roman" w:cs="Times New Roman"/>
          <w:b/>
          <w:szCs w:val="21"/>
        </w:rPr>
      </w:pPr>
      <w:r>
        <w:rPr>
          <w:rFonts w:ascii="Times New Roman" w:cs="Times New Roman"/>
          <w:szCs w:val="22"/>
        </w:rPr>
        <w:pict>
          <v:line id="_x0000_s2052" o:spid="_x0000_s2052" o:spt="20" style="position:absolute;left:0pt;margin-left:0pt;margin-top:7.1pt;height:0pt;width:466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134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cs="Times New Roman"/>
            <w:sz w:val="28"/>
            <w:szCs w:val="28"/>
          </w:rPr>
          <w:t xml:space="preserve"> 13 -</w:t>
        </w:r>
        <w:r>
          <w:rPr>
            <w:rFonts w:asci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76136"/>
    </w:sdtPr>
    <w:sdtEndPr>
      <w:rPr>
        <w:rFonts w:ascii="Times New Roman" w:cs="Times New Roman"/>
        <w:sz w:val="28"/>
        <w:szCs w:val="28"/>
      </w:rPr>
    </w:sdtEndPr>
    <w:sdtContent>
      <w:p>
        <w:pPr>
          <w:pStyle w:val="5"/>
          <w:rPr>
            <w:rFonts w:ascii="Times New Roman" w:cs="Times New Roman"/>
            <w:sz w:val="28"/>
            <w:szCs w:val="28"/>
          </w:rPr>
        </w:pPr>
        <w:r>
          <w:rPr>
            <w:rFonts w:ascii="Times New Roman" w:cs="Times New Roman"/>
            <w:sz w:val="28"/>
            <w:szCs w:val="28"/>
          </w:rPr>
          <w:fldChar w:fldCharType="begin"/>
        </w:r>
        <w:r>
          <w:rPr>
            <w:rFonts w:asci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cs="Times New Roman"/>
            <w:sz w:val="28"/>
            <w:szCs w:val="28"/>
          </w:rPr>
          <w:fldChar w:fldCharType="separate"/>
        </w:r>
        <w:r>
          <w:rPr>
            <w:rFonts w:asci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cs="Times New Roman"/>
            <w:sz w:val="28"/>
            <w:szCs w:val="28"/>
          </w:rPr>
          <w:t xml:space="preserve"> 14 -</w:t>
        </w:r>
        <w:r>
          <w:rPr>
            <w:rFonts w:asci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5464FE"/>
    <w:rsid w:val="0008469E"/>
    <w:rsid w:val="00132CB7"/>
    <w:rsid w:val="0013555D"/>
    <w:rsid w:val="00351C3B"/>
    <w:rsid w:val="00495E4C"/>
    <w:rsid w:val="00635DCD"/>
    <w:rsid w:val="00637E6E"/>
    <w:rsid w:val="006F3962"/>
    <w:rsid w:val="00787971"/>
    <w:rsid w:val="007D2122"/>
    <w:rsid w:val="007E460D"/>
    <w:rsid w:val="008340DF"/>
    <w:rsid w:val="00B60F36"/>
    <w:rsid w:val="00C05D15"/>
    <w:rsid w:val="00C20908"/>
    <w:rsid w:val="00D4614F"/>
    <w:rsid w:val="00E65F6A"/>
    <w:rsid w:val="00F218B0"/>
    <w:rsid w:val="00F60D7D"/>
    <w:rsid w:val="011304F3"/>
    <w:rsid w:val="0A7E003E"/>
    <w:rsid w:val="0F1B4899"/>
    <w:rsid w:val="10135AC2"/>
    <w:rsid w:val="1BDB029E"/>
    <w:rsid w:val="1DD9103E"/>
    <w:rsid w:val="213D7B00"/>
    <w:rsid w:val="222B4EC3"/>
    <w:rsid w:val="227673F2"/>
    <w:rsid w:val="299F17DC"/>
    <w:rsid w:val="2A655F3A"/>
    <w:rsid w:val="30916CF0"/>
    <w:rsid w:val="317A77F8"/>
    <w:rsid w:val="33366527"/>
    <w:rsid w:val="353E7E54"/>
    <w:rsid w:val="3CA3554A"/>
    <w:rsid w:val="3F070F01"/>
    <w:rsid w:val="445464FE"/>
    <w:rsid w:val="44EC2FAE"/>
    <w:rsid w:val="46385492"/>
    <w:rsid w:val="467934DB"/>
    <w:rsid w:val="52C82B9F"/>
    <w:rsid w:val="551C259D"/>
    <w:rsid w:val="56F455B0"/>
    <w:rsid w:val="5D002F17"/>
    <w:rsid w:val="61005FCF"/>
    <w:rsid w:val="65F3447C"/>
    <w:rsid w:val="67105EE7"/>
    <w:rsid w:val="69870C09"/>
    <w:rsid w:val="69A40B18"/>
    <w:rsid w:val="6B7D73BD"/>
    <w:rsid w:val="6DF7402C"/>
    <w:rsid w:val="72D65164"/>
    <w:rsid w:val="76FB396D"/>
    <w:rsid w:val="79250E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rFonts w:ascii="仿宋_GB2312" w:eastAsia="仿宋_GB2312" w:cs="仿宋_GB2312"/>
      <w:kern w:val="3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仿宋_GB2312" w:eastAsia="仿宋_GB2312" w:cs="仿宋_GB2312"/>
      <w:kern w:val="32"/>
      <w:sz w:val="18"/>
      <w:szCs w:val="18"/>
    </w:rPr>
  </w:style>
  <w:style w:type="character" w:customStyle="1" w:styleId="11">
    <w:name w:val="批注框文本 Char"/>
    <w:basedOn w:val="8"/>
    <w:link w:val="4"/>
    <w:qFormat/>
    <w:uiPriority w:val="0"/>
    <w:rPr>
      <w:rFonts w:ascii="仿宋_GB2312" w:eastAsia="仿宋_GB2312" w:cs="仿宋_GB2312"/>
      <w:kern w:val="32"/>
      <w:sz w:val="18"/>
      <w:szCs w:val="18"/>
    </w:rPr>
  </w:style>
  <w:style w:type="character" w:customStyle="1" w:styleId="12">
    <w:name w:val="font01"/>
    <w:basedOn w:val="8"/>
    <w:qFormat/>
    <w:uiPriority w:val="0"/>
    <w:rPr>
      <w:rFonts w:hint="eastAsia" w:ascii="方正黑体_GBK" w:hAnsi="方正黑体_GBK" w:eastAsia="方正黑体_GBK" w:cs="方正黑体_GBK"/>
      <w:color w:val="000000"/>
      <w:sz w:val="36"/>
      <w:szCs w:val="36"/>
      <w:u w:val="non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1054</Words>
  <Characters>6012</Characters>
  <Lines>50</Lines>
  <Paragraphs>14</Paragraphs>
  <TotalTime>10</TotalTime>
  <ScaleCrop>false</ScaleCrop>
  <LinksUpToDate>false</LinksUpToDate>
  <CharactersWithSpaces>7052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2019-06-03T07:37:00Z</dcterms:created>
  <dc:creator>Administrator</dc:creator>
  <cp:lastModifiedBy>杨倩怡</cp:lastModifiedBy>
  <cp:lastPrinted>2021-04-30T08:09:00Z</cp:lastPrinted>
  <dcterms:modified xsi:type="dcterms:W3CDTF">2025-02-13T01:43:59Z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