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D8" w:rsidRPr="00982FD8" w:rsidRDefault="00982FD8" w:rsidP="00982FD8">
      <w:pPr>
        <w:widowControl w:val="0"/>
        <w:spacing w:after="0" w:line="534" w:lineRule="exact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bookmarkStart w:id="0" w:name="_GoBack"/>
      <w:bookmarkEnd w:id="0"/>
      <w:r w:rsidRPr="00982FD8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：</w:t>
      </w:r>
    </w:p>
    <w:p w:rsidR="00AC7502" w:rsidRPr="00340485" w:rsidRDefault="00D87A80">
      <w:pPr>
        <w:widowControl w:val="0"/>
        <w:spacing w:after="0" w:line="534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36"/>
        </w:rPr>
      </w:pPr>
      <w:r w:rsidRPr="00340485">
        <w:rPr>
          <w:rFonts w:ascii="Times New Roman" w:eastAsia="方正小标宋_GBK" w:hAnsi="Times New Roman"/>
          <w:color w:val="000000" w:themeColor="text1"/>
          <w:sz w:val="44"/>
          <w:szCs w:val="36"/>
        </w:rPr>
        <w:t>202</w:t>
      </w:r>
      <w:r w:rsidR="000F4E38" w:rsidRPr="00340485">
        <w:rPr>
          <w:rFonts w:ascii="Times New Roman" w:eastAsia="方正小标宋_GBK" w:hAnsi="Times New Roman" w:hint="eastAsia"/>
          <w:color w:val="000000" w:themeColor="text1"/>
          <w:sz w:val="44"/>
          <w:szCs w:val="36"/>
        </w:rPr>
        <w:t>1</w:t>
      </w:r>
      <w:r w:rsidRPr="00340485">
        <w:rPr>
          <w:rFonts w:ascii="Times New Roman" w:eastAsia="方正小标宋_GBK" w:hAnsi="Times New Roman"/>
          <w:color w:val="000000" w:themeColor="text1"/>
          <w:sz w:val="44"/>
          <w:szCs w:val="36"/>
        </w:rPr>
        <w:t>年</w:t>
      </w:r>
      <w:r w:rsidR="00D45918" w:rsidRPr="00340485">
        <w:rPr>
          <w:rFonts w:ascii="Times New Roman" w:eastAsia="方正小标宋_GBK" w:hAnsi="Times New Roman" w:hint="eastAsia"/>
          <w:color w:val="000000" w:themeColor="text1"/>
          <w:sz w:val="44"/>
          <w:szCs w:val="36"/>
        </w:rPr>
        <w:t>渝北</w:t>
      </w:r>
      <w:r w:rsidRPr="00340485">
        <w:rPr>
          <w:rFonts w:ascii="Times New Roman" w:eastAsia="方正小标宋_GBK" w:hAnsi="Times New Roman"/>
          <w:color w:val="000000" w:themeColor="text1"/>
          <w:sz w:val="44"/>
          <w:szCs w:val="36"/>
        </w:rPr>
        <w:t>区</w:t>
      </w:r>
      <w:r w:rsidRPr="00340485">
        <w:rPr>
          <w:rFonts w:ascii="Times New Roman" w:eastAsia="方正小标宋_GBK" w:hAnsi="Times New Roman" w:hint="eastAsia"/>
          <w:color w:val="000000" w:themeColor="text1"/>
          <w:sz w:val="44"/>
          <w:szCs w:val="36"/>
        </w:rPr>
        <w:t>民政</w:t>
      </w:r>
      <w:r w:rsidRPr="00340485">
        <w:rPr>
          <w:rFonts w:ascii="Times New Roman" w:eastAsia="方正小标宋_GBK" w:hAnsi="Times New Roman"/>
          <w:color w:val="000000" w:themeColor="text1"/>
          <w:sz w:val="44"/>
          <w:szCs w:val="36"/>
        </w:rPr>
        <w:t>重点</w:t>
      </w:r>
      <w:r w:rsidRPr="00340485">
        <w:rPr>
          <w:rFonts w:ascii="Times New Roman" w:eastAsia="方正小标宋_GBK" w:hAnsi="Times New Roman" w:hint="eastAsia"/>
          <w:color w:val="000000" w:themeColor="text1"/>
          <w:sz w:val="44"/>
          <w:szCs w:val="36"/>
        </w:rPr>
        <w:t>工作</w:t>
      </w:r>
      <w:r w:rsidRPr="00340485">
        <w:rPr>
          <w:rFonts w:ascii="Times New Roman" w:eastAsia="方正小标宋_GBK" w:hAnsi="Times New Roman"/>
          <w:color w:val="000000" w:themeColor="text1"/>
          <w:sz w:val="44"/>
          <w:szCs w:val="36"/>
        </w:rPr>
        <w:t>任务分解表</w:t>
      </w:r>
    </w:p>
    <w:tbl>
      <w:tblPr>
        <w:tblW w:w="14048" w:type="dxa"/>
        <w:tblInd w:w="94" w:type="dxa"/>
        <w:tblLook w:val="04A0" w:firstRow="1" w:lastRow="0" w:firstColumn="1" w:lastColumn="0" w:noHBand="0" w:noVBand="1"/>
      </w:tblPr>
      <w:tblGrid>
        <w:gridCol w:w="666"/>
        <w:gridCol w:w="850"/>
        <w:gridCol w:w="2042"/>
        <w:gridCol w:w="6038"/>
        <w:gridCol w:w="3034"/>
        <w:gridCol w:w="1418"/>
      </w:tblGrid>
      <w:tr w:rsidR="00DF665F" w:rsidRPr="00340485" w:rsidTr="007846AD">
        <w:trPr>
          <w:trHeight w:val="540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65F" w:rsidRPr="00340485" w:rsidRDefault="00DF665F" w:rsidP="00F66B5B">
            <w:pPr>
              <w:adjustRightInd/>
              <w:snapToGrid/>
              <w:spacing w:after="0"/>
              <w:jc w:val="center"/>
              <w:rPr>
                <w:rFonts w:ascii="方正黑体_GBK" w:eastAsia="方正黑体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黑体_GBK" w:eastAsia="方正黑体_GBK" w:hAnsi="宋体" w:cs="宋体" w:hint="eastAsia"/>
                <w:color w:val="000000" w:themeColor="text1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65F" w:rsidRPr="00340485" w:rsidRDefault="00DF665F" w:rsidP="00F66B5B">
            <w:pPr>
              <w:adjustRightInd/>
              <w:snapToGrid/>
              <w:spacing w:after="0"/>
              <w:jc w:val="center"/>
              <w:rPr>
                <w:rFonts w:ascii="方正黑体_GBK" w:eastAsia="方正黑体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黑体_GBK" w:eastAsia="方正黑体_GBK" w:hAnsi="方正黑体_GBK" w:cs="方正黑体_GBK" w:hint="eastAsia"/>
                <w:color w:val="000000" w:themeColor="text1"/>
                <w:sz w:val="24"/>
                <w:szCs w:val="24"/>
              </w:rPr>
              <w:t>工作项目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65F" w:rsidRPr="00340485" w:rsidRDefault="00DF665F" w:rsidP="000F4E38">
            <w:pPr>
              <w:adjustRightInd/>
              <w:snapToGrid/>
              <w:spacing w:after="0"/>
              <w:jc w:val="center"/>
              <w:rPr>
                <w:rFonts w:ascii="方正黑体_GBK" w:eastAsia="方正黑体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黑体_GBK" w:eastAsia="方正黑体_GBK" w:hAnsi="方正黑体_GBK" w:cs="方正黑体_GBK" w:hint="eastAsia"/>
                <w:color w:val="000000" w:themeColor="text1"/>
                <w:sz w:val="24"/>
                <w:szCs w:val="24"/>
              </w:rPr>
              <w:t>2021年目标任务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65F" w:rsidRPr="00340485" w:rsidRDefault="00DF665F" w:rsidP="00DF665F">
            <w:pPr>
              <w:adjustRightInd/>
              <w:snapToGrid/>
              <w:spacing w:after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4"/>
                <w:szCs w:val="24"/>
              </w:rPr>
              <w:t>责任镇街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65F" w:rsidRPr="00340485" w:rsidRDefault="00DF665F" w:rsidP="00301875">
            <w:pPr>
              <w:adjustRightInd/>
              <w:snapToGrid/>
              <w:spacing w:after="0"/>
              <w:jc w:val="center"/>
              <w:rPr>
                <w:rFonts w:ascii="方正黑体_GBK" w:eastAsia="方正黑体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黑体_GBK" w:eastAsia="方正黑体_GBK" w:hAnsi="方正黑体_GBK" w:cs="方正黑体_GBK" w:hint="eastAsia"/>
                <w:color w:val="000000" w:themeColor="text1"/>
                <w:sz w:val="24"/>
                <w:szCs w:val="24"/>
              </w:rPr>
              <w:t>责任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4"/>
                <w:szCs w:val="24"/>
              </w:rPr>
              <w:t>科室   （单位）</w:t>
            </w:r>
          </w:p>
        </w:tc>
      </w:tr>
      <w:tr w:rsidR="00980710" w:rsidRPr="00340485" w:rsidTr="00B40613">
        <w:trPr>
          <w:trHeight w:val="198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基础 设施 建设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城乡社区养老服务设施建设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E14E17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建成王家、大湾、茨竹、兴隆、大盛、木耳等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6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个镇养老服务中心并通过市级验收，开工建设统景、石船、玉峰山等3个镇养老服务中心（敬老院），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启动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木耳镇敬老院前期工作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王家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街道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、大湾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、茨竹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、兴隆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、大盛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、木耳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镇、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统景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、石船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、玉峰山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养老科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救助管理站和未成年人救助保护设施建设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完成主体工程施工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区救助站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城乡社区综合服务设施建设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EC35BC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建成长堰村、老君山村、和平社区、天竺4个村（社区）便民服务中心；启动金凤村、下坝村、沙湾村、民利村4个村便民服务中心建设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统景镇、洛碛镇、石船镇、龙兴镇、大湾镇、龙山街道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政权科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区殡仪馆火化功能迁建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8940E5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开展前期工作，力争年内开工建设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区殡管所、区殡仪馆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箭沱湾公墓建设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前期工作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区殡管所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天合陵园功勋园建设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通过竣工验收投入使用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天合陵园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DD5C4A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探索农村公益性公墓建设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366639" w:rsidP="00DD5C4A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编制农村公益性公墓建设规划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Pr="00366639" w:rsidRDefault="00366639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Default="0048383E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区殡管所</w:t>
            </w:r>
          </w:p>
        </w:tc>
      </w:tr>
      <w:tr w:rsidR="00982FD8" w:rsidRPr="00340485" w:rsidTr="00922A01">
        <w:trPr>
          <w:trHeight w:val="15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D8" w:rsidRPr="00340485" w:rsidRDefault="00982FD8" w:rsidP="00F66B5B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982FD8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社会 救助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建立健全分层分类社会救助体系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061FAE">
            <w:pPr>
              <w:adjustRightInd/>
              <w:spacing w:after="0"/>
              <w:jc w:val="both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建立健全以基本生活救助、专项社会救助、急难社会救助为主体，社会力量参与为补充，与其他保障制度相衔接的分层分类社会救助体系，实现精准救助、高效救助、温暖救助、智慧救助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D8" w:rsidRDefault="00982FD8" w:rsidP="00B40613">
            <w:pPr>
              <w:adjustRightIn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1B22BD">
            <w:pPr>
              <w:adjustRightIn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救助科、区核查中心</w:t>
            </w:r>
          </w:p>
        </w:tc>
      </w:tr>
      <w:tr w:rsidR="00982FD8" w:rsidRPr="00340485" w:rsidTr="00922A01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D8" w:rsidRPr="00340485" w:rsidRDefault="00982FD8" w:rsidP="00F66B5B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筑牢基本生活救助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061FAE">
            <w:pPr>
              <w:adjustRightIn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稳步扩大基本生活救助范围，实施低保渐退制度。将特困救助供养的未成年人年龄从16周岁延长至18周岁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D8" w:rsidRDefault="00982FD8" w:rsidP="00B40613">
            <w:pPr>
              <w:adjustRightIn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1B22BD">
            <w:pPr>
              <w:adjustRightIn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救助科</w:t>
            </w:r>
          </w:p>
        </w:tc>
      </w:tr>
      <w:tr w:rsidR="00982FD8" w:rsidRPr="00340485" w:rsidTr="00922A01">
        <w:trPr>
          <w:trHeight w:val="12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D8" w:rsidRPr="00340485" w:rsidRDefault="00982FD8" w:rsidP="00F66B5B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301875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规范基本生活救助标准调整机制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2A652F" w:rsidRDefault="00982FD8" w:rsidP="002A652F">
            <w:pPr>
              <w:adjustRightInd/>
              <w:snapToGrid/>
              <w:spacing w:after="0"/>
              <w:jc w:val="both"/>
            </w:pPr>
            <w:r w:rsidRPr="002A652F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严格落实全市统一的低保、特困和照料护理标准，及时进行动态调整。认真落实社会救助和保障标准与物价上涨挂钩联动机制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D8" w:rsidRDefault="00982FD8" w:rsidP="00B40613">
            <w:pPr>
              <w:adjustRightIn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1B22BD">
            <w:pPr>
              <w:adjustRightIn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救助科</w:t>
            </w:r>
          </w:p>
        </w:tc>
      </w:tr>
      <w:tr w:rsidR="00982FD8" w:rsidRPr="00340485" w:rsidTr="002A652F">
        <w:trPr>
          <w:trHeight w:val="154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FD8" w:rsidRPr="00340485" w:rsidRDefault="00982FD8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A67519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贯彻落实《重庆市改革完善社会救助制度的重点举措》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301875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优化社会救助机制，全面推行一门受理、协同办理；优化审核审批机制，逐步探索低保、特困等社会救助审核确认权限下放镇（街道）的试点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；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做好急难社会救助，完善临时救助措施，全面建立镇街临时救助备用金制度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D8" w:rsidRDefault="00982FD8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D8" w:rsidRPr="00340485" w:rsidRDefault="00982FD8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救助科</w:t>
            </w:r>
          </w:p>
        </w:tc>
      </w:tr>
      <w:tr w:rsidR="00310977" w:rsidRPr="00340485" w:rsidTr="00310977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养老 服务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公共区域适老化改造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完成10个公共区域适老化改造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龙溪街道、龙山街道、龙塔街道、双凤桥街道、两路街道、双龙湖街道、回兴街道、宝圣湖街道、悦来街道、仙桃街道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养老科</w:t>
            </w:r>
          </w:p>
        </w:tc>
      </w:tr>
      <w:tr w:rsidR="00310977" w:rsidRPr="00340485" w:rsidTr="00310977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镇养老服务中心适老化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E14E17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完成8个镇养老服务中心适老化改造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王家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街道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洛碛镇、古路镇、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大湾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、茨竹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、兴隆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、大盛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</w:t>
            </w: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、木耳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镇、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养老科</w:t>
            </w:r>
          </w:p>
        </w:tc>
      </w:tr>
      <w:tr w:rsidR="00310977" w:rsidRPr="00340485" w:rsidTr="00310977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lastRenderedPageBreak/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01875">
              <w:rPr>
                <w:rFonts w:ascii="方正仿宋_GBK" w:eastAsia="方正仿宋_GBK" w:hAnsi="宋体" w:cs="宋体" w:hint="eastAsia"/>
                <w:color w:val="000000" w:themeColor="text1"/>
                <w:spacing w:val="-12"/>
                <w:sz w:val="24"/>
                <w:szCs w:val="24"/>
              </w:rPr>
              <w:t>养老 服务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居家适老化改造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完成100户适老化改造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养老科</w:t>
            </w:r>
          </w:p>
        </w:tc>
      </w:tr>
      <w:tr w:rsidR="00310977" w:rsidRPr="00340485" w:rsidTr="00310977">
        <w:trPr>
          <w:trHeight w:val="8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9442DF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农村互助养老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完成30个互助点建设并开展互助服务，每个镇街完成2个互助养老点探索创新。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王家街道、各镇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养老科</w:t>
            </w:r>
          </w:p>
        </w:tc>
      </w:tr>
      <w:tr w:rsidR="00310977" w:rsidRPr="00340485" w:rsidTr="00310977">
        <w:trPr>
          <w:trHeight w:val="82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居家养老服务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按照新方案实现符合条件的居家养老服务对象应享尽享、不符合的应退尽退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养老科</w:t>
            </w:r>
          </w:p>
        </w:tc>
      </w:tr>
      <w:tr w:rsidR="00310977" w:rsidRPr="00340485" w:rsidTr="00E2499D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助餐点建设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AA3F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完成55个助餐点建设运营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Pr="00980710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pacing w:val="-20"/>
                <w:sz w:val="24"/>
                <w:szCs w:val="24"/>
              </w:rPr>
            </w:pPr>
            <w:r w:rsidRPr="00980710">
              <w:rPr>
                <w:rFonts w:ascii="方正仿宋_GBK" w:eastAsia="方正仿宋_GBK" w:hAnsi="方正仿宋_GBK" w:cs="方正仿宋_GBK" w:hint="eastAsia"/>
                <w:color w:val="000000" w:themeColor="text1"/>
                <w:spacing w:val="-20"/>
                <w:sz w:val="24"/>
                <w:szCs w:val="24"/>
              </w:rPr>
              <w:t>龙溪街道、龙山街道、龙塔街道、双凤桥街道、两路街道、双龙湖街道、回兴街道、宝圣湖街道、悦来街道、仙桃街道、龙兴镇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养老科</w:t>
            </w:r>
          </w:p>
        </w:tc>
      </w:tr>
      <w:tr w:rsidR="00310977" w:rsidRPr="00340485" w:rsidTr="00E2499D">
        <w:trPr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建设家庭照护床位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45918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依托街道养老服务中心探索建立家庭照护床位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相关街道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养老科</w:t>
            </w:r>
          </w:p>
        </w:tc>
      </w:tr>
      <w:tr w:rsidR="00310977" w:rsidRPr="00340485" w:rsidTr="00310977">
        <w:trPr>
          <w:trHeight w:val="170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301875">
            <w:pPr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推进智慧养老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D45918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完成智慧养老云平台中的老年人信息和养老服务中心（站）、敬老院信息的动态管理，建设和维护智慧设施的常态使用。运用智慧养老云平台开展居家养老服务，助餐服务的审批、监管和结算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养老科</w:t>
            </w:r>
          </w:p>
        </w:tc>
      </w:tr>
      <w:tr w:rsidR="00310977" w:rsidRPr="00340485" w:rsidTr="00E2499D">
        <w:trPr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977" w:rsidRPr="00340485" w:rsidRDefault="00310977" w:rsidP="00980710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01875" w:rsidRDefault="00310977" w:rsidP="00301875">
            <w:pPr>
              <w:adjustRightInd/>
              <w:snapToGrid/>
              <w:spacing w:after="0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5458CF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5458CF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敬老院公建民营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5458CF" w:rsidRDefault="00310977" w:rsidP="00D91129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在兴隆、茨竹、木耳</w:t>
            </w:r>
            <w:r w:rsidRPr="005458CF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敬老院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开展</w:t>
            </w:r>
            <w:r w:rsidRPr="005458CF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公建民营改革试点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977" w:rsidRPr="00980710" w:rsidRDefault="00310977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兴隆镇、茨竹镇、木耳镇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977" w:rsidRPr="00340485" w:rsidRDefault="00310977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养老服务指导中心</w:t>
            </w:r>
          </w:p>
        </w:tc>
      </w:tr>
      <w:tr w:rsidR="00DF665F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65F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lastRenderedPageBreak/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65F" w:rsidRPr="00980710" w:rsidRDefault="00DF665F" w:rsidP="00A67519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2"/>
                <w:sz w:val="21"/>
                <w:szCs w:val="21"/>
              </w:rPr>
            </w:pPr>
            <w:r w:rsidRPr="00980710">
              <w:rPr>
                <w:rFonts w:ascii="方正仿宋_GBK" w:eastAsia="方正仿宋_GBK" w:hAnsi="宋体" w:cs="宋体" w:hint="eastAsia"/>
                <w:color w:val="000000" w:themeColor="text1"/>
                <w:spacing w:val="-12"/>
                <w:sz w:val="21"/>
                <w:szCs w:val="21"/>
              </w:rPr>
              <w:t>儿童福利和未成年人保护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5F" w:rsidRPr="00340485" w:rsidRDefault="00DF665F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镇街未成年人保护工作站建设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65F" w:rsidRPr="00340485" w:rsidRDefault="00DF665F" w:rsidP="008940E5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设立镇街未成年人保护工作站，指定专职工作人员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5F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65F" w:rsidRPr="00340485" w:rsidRDefault="00DF665F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社事科、区救助站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A67519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基层 社会 治理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村（居）委会换届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8940E5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方正仿宋_GBK" w:cs="Times New Roman" w:hint="eastAsia"/>
                <w:color w:val="000000" w:themeColor="text1"/>
                <w:sz w:val="24"/>
                <w:szCs w:val="24"/>
              </w:rPr>
              <w:t>完成第十一届村（居）民委员会换届工作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政权科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三级社工体系建设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各村（居）设立社会工作站（室），工作站配备专职社会工作者1名，工作室配备专职社会工作者2名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社事科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社会组织孵化基地建设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710" w:rsidRPr="00340485" w:rsidRDefault="00AA3FBD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进一步推进社会组织孵化基地建设，加强社会组织培育发展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B40613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相关街道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Default="0048383E" w:rsidP="001B22BD">
            <w:pPr>
              <w:adjustRightInd/>
              <w:snapToGrid/>
              <w:spacing w:after="0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4"/>
              </w:rPr>
              <w:t>审批科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专项事务管理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文明治丧整治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83124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划定文明治丧范围，在文明治丧范围内杜绝搭棚治丧现象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Pr="00980710" w:rsidRDefault="00B40613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各</w:t>
            </w:r>
            <w:r w:rsidR="00980710"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10"/>
                <w:sz w:val="24"/>
                <w:szCs w:val="24"/>
              </w:rPr>
              <w:t>区殡管所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推动婚俗改革试点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B40613" w:rsidP="00B40613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B40613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开展文明婚俗宣传、婚姻家庭辅导讲座等，组织集体婚礼、签名活动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B40613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Default="0048383E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区婚登处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精神障碍社区康复试点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8F7CF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继续在双龙湖街道开展精神障碍社区康复试点，探索可复制的精神障碍社区康复服务经验，方便全区推广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8F7CF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双龙湖街道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Default="0048383E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社事科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乡镇行政区域界线勘定试点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完成“木耳兴隆线”乡镇行政区域界线勘定试点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木耳镇、兴隆镇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政权科</w:t>
            </w:r>
          </w:p>
        </w:tc>
      </w:tr>
      <w:tr w:rsidR="00980710" w:rsidRPr="00340485" w:rsidTr="00B40613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980710" w:rsidP="007846A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2</w:t>
            </w:r>
            <w:r w:rsidR="007846AD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标准地名图录典志编纂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340485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完成重庆市标准地名图录典志编纂渝北部分工作任务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10" w:rsidRDefault="00980710" w:rsidP="00B40613">
            <w:pPr>
              <w:adjustRightInd/>
              <w:snapToGrid/>
              <w:spacing w:after="0"/>
              <w:jc w:val="both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各镇街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政权科</w:t>
            </w:r>
          </w:p>
        </w:tc>
      </w:tr>
      <w:tr w:rsidR="00980710" w:rsidRPr="00340485" w:rsidTr="007846AD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710" w:rsidRPr="00340485" w:rsidRDefault="007846AD" w:rsidP="005458C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980710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7846AD" w:rsidP="00F66B5B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B40613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编制民政事业“十四五”发展规划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Pr="00340485" w:rsidRDefault="007846AD" w:rsidP="007846A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B40613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完成《民政事业“十四五”发展规划》《养老服务设施建设“十四五”规划》《殡葬设施建设“十四五”规划》编制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710" w:rsidRDefault="00980710" w:rsidP="008940E5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10" w:rsidRDefault="007846AD" w:rsidP="001B22BD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 w:themeColor="text1"/>
                <w:spacing w:val="-10"/>
                <w:sz w:val="24"/>
                <w:szCs w:val="24"/>
              </w:rPr>
            </w:pPr>
            <w:r w:rsidRPr="00B40613">
              <w:rPr>
                <w:rFonts w:ascii="方正仿宋_GBK" w:eastAsia="方正仿宋_GBK" w:hAnsi="宋体" w:cs="宋体" w:hint="eastAsia"/>
                <w:color w:val="000000" w:themeColor="text1"/>
                <w:spacing w:val="-10"/>
                <w:sz w:val="24"/>
                <w:szCs w:val="24"/>
              </w:rPr>
              <w:t>办公室、养老科、区殡管所</w:t>
            </w:r>
          </w:p>
        </w:tc>
      </w:tr>
    </w:tbl>
    <w:p w:rsidR="00AC7502" w:rsidRPr="00340485" w:rsidRDefault="00AC7502" w:rsidP="0056638D">
      <w:pPr>
        <w:spacing w:line="300" w:lineRule="auto"/>
        <w:ind w:firstLineChars="150" w:firstLine="480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</w:p>
    <w:sectPr w:rsidR="00AC7502" w:rsidRPr="00340485" w:rsidSect="008940E5">
      <w:footerReference w:type="even" r:id="rId8"/>
      <w:footerReference w:type="default" r:id="rId9"/>
      <w:pgSz w:w="16838" w:h="11906" w:orient="landscape"/>
      <w:pgMar w:top="1418" w:right="1985" w:bottom="1418" w:left="1644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5E" w:rsidRDefault="00E4235E" w:rsidP="00AC7502">
      <w:pPr>
        <w:spacing w:after="0"/>
      </w:pPr>
      <w:r>
        <w:separator/>
      </w:r>
    </w:p>
  </w:endnote>
  <w:endnote w:type="continuationSeparator" w:id="0">
    <w:p w:rsidR="00E4235E" w:rsidRDefault="00E4235E" w:rsidP="00AC7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5B" w:rsidRDefault="00F66B5B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1F1494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 w:rsidR="001F1494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7C7B07" w:rsidRPr="007C7B07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2</w:t>
    </w:r>
    <w:r w:rsidR="001F1494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5B" w:rsidRDefault="007C7B07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4040" cy="230505"/>
              <wp:effectExtent l="0" t="0" r="1016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66B5B" w:rsidRDefault="00F66B5B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1F1494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F1494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7B07" w:rsidRPr="007C7B0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 w:rsidR="001F1494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6pt;margin-top:0;width:45.2pt;height:18.1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F66B5B" w:rsidRDefault="00F66B5B">
                    <w:pPr>
                      <w:pStyle w:val="a3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 w:rsidR="001F1494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F1494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C7B07" w:rsidRPr="007C7B0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1F1494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5E" w:rsidRDefault="00E4235E" w:rsidP="00AC7502">
      <w:pPr>
        <w:spacing w:after="0"/>
      </w:pPr>
      <w:r>
        <w:separator/>
      </w:r>
    </w:p>
  </w:footnote>
  <w:footnote w:type="continuationSeparator" w:id="0">
    <w:p w:rsidR="00E4235E" w:rsidRDefault="00E4235E" w:rsidP="00AC75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evenAndOddHeaders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1FAE"/>
    <w:rsid w:val="000A0F86"/>
    <w:rsid w:val="000F4E38"/>
    <w:rsid w:val="000F5C3D"/>
    <w:rsid w:val="00111D03"/>
    <w:rsid w:val="0012660E"/>
    <w:rsid w:val="00126F26"/>
    <w:rsid w:val="00181828"/>
    <w:rsid w:val="00193DF6"/>
    <w:rsid w:val="001A0D84"/>
    <w:rsid w:val="001B22BD"/>
    <w:rsid w:val="001F1494"/>
    <w:rsid w:val="001F2C2A"/>
    <w:rsid w:val="001F3979"/>
    <w:rsid w:val="001F7D69"/>
    <w:rsid w:val="00205AD7"/>
    <w:rsid w:val="002458DE"/>
    <w:rsid w:val="002A652F"/>
    <w:rsid w:val="002C3F17"/>
    <w:rsid w:val="002F421B"/>
    <w:rsid w:val="00301875"/>
    <w:rsid w:val="00306E34"/>
    <w:rsid w:val="00310977"/>
    <w:rsid w:val="00323B43"/>
    <w:rsid w:val="00340485"/>
    <w:rsid w:val="00366639"/>
    <w:rsid w:val="003B2CDC"/>
    <w:rsid w:val="003D37D8"/>
    <w:rsid w:val="00413924"/>
    <w:rsid w:val="00426133"/>
    <w:rsid w:val="004358AB"/>
    <w:rsid w:val="00442B6F"/>
    <w:rsid w:val="0045274A"/>
    <w:rsid w:val="004714C4"/>
    <w:rsid w:val="0048383E"/>
    <w:rsid w:val="004A08C3"/>
    <w:rsid w:val="004A6ED0"/>
    <w:rsid w:val="004C211E"/>
    <w:rsid w:val="004C400F"/>
    <w:rsid w:val="004E5C9C"/>
    <w:rsid w:val="004F4537"/>
    <w:rsid w:val="005028EE"/>
    <w:rsid w:val="005343B4"/>
    <w:rsid w:val="005458CF"/>
    <w:rsid w:val="005536A5"/>
    <w:rsid w:val="0056638D"/>
    <w:rsid w:val="005B5098"/>
    <w:rsid w:val="005B55A6"/>
    <w:rsid w:val="006037A3"/>
    <w:rsid w:val="0061040D"/>
    <w:rsid w:val="00615F95"/>
    <w:rsid w:val="00620BE5"/>
    <w:rsid w:val="00641748"/>
    <w:rsid w:val="00681601"/>
    <w:rsid w:val="00712F77"/>
    <w:rsid w:val="0073295F"/>
    <w:rsid w:val="00736672"/>
    <w:rsid w:val="0074758F"/>
    <w:rsid w:val="00747DB6"/>
    <w:rsid w:val="007846AD"/>
    <w:rsid w:val="00796B5F"/>
    <w:rsid w:val="007A2896"/>
    <w:rsid w:val="007C309A"/>
    <w:rsid w:val="007C7B07"/>
    <w:rsid w:val="007E526F"/>
    <w:rsid w:val="00820C26"/>
    <w:rsid w:val="008255EF"/>
    <w:rsid w:val="00827B8E"/>
    <w:rsid w:val="0083124B"/>
    <w:rsid w:val="008477F2"/>
    <w:rsid w:val="00890E71"/>
    <w:rsid w:val="008940E5"/>
    <w:rsid w:val="008B7726"/>
    <w:rsid w:val="008C316B"/>
    <w:rsid w:val="008F7CF0"/>
    <w:rsid w:val="0091210A"/>
    <w:rsid w:val="00921162"/>
    <w:rsid w:val="00930DC7"/>
    <w:rsid w:val="009442DF"/>
    <w:rsid w:val="0095525F"/>
    <w:rsid w:val="00980710"/>
    <w:rsid w:val="00982FD8"/>
    <w:rsid w:val="009A4352"/>
    <w:rsid w:val="009A482A"/>
    <w:rsid w:val="009F0B4D"/>
    <w:rsid w:val="009F2CE4"/>
    <w:rsid w:val="00A3429C"/>
    <w:rsid w:val="00A67519"/>
    <w:rsid w:val="00AA3FBD"/>
    <w:rsid w:val="00AB1BC7"/>
    <w:rsid w:val="00AC7502"/>
    <w:rsid w:val="00AF33DD"/>
    <w:rsid w:val="00B40613"/>
    <w:rsid w:val="00B731BA"/>
    <w:rsid w:val="00BD676E"/>
    <w:rsid w:val="00BF620B"/>
    <w:rsid w:val="00C33B1B"/>
    <w:rsid w:val="00C92152"/>
    <w:rsid w:val="00D07982"/>
    <w:rsid w:val="00D31D50"/>
    <w:rsid w:val="00D45918"/>
    <w:rsid w:val="00D47D3D"/>
    <w:rsid w:val="00D633E3"/>
    <w:rsid w:val="00D7004B"/>
    <w:rsid w:val="00D87A80"/>
    <w:rsid w:val="00D92DA9"/>
    <w:rsid w:val="00D94DCE"/>
    <w:rsid w:val="00DF665F"/>
    <w:rsid w:val="00E022DB"/>
    <w:rsid w:val="00E14E17"/>
    <w:rsid w:val="00E203C4"/>
    <w:rsid w:val="00E4235E"/>
    <w:rsid w:val="00E72DD8"/>
    <w:rsid w:val="00E75C1B"/>
    <w:rsid w:val="00E86C2D"/>
    <w:rsid w:val="00EC35BC"/>
    <w:rsid w:val="00F16D05"/>
    <w:rsid w:val="00F16DD2"/>
    <w:rsid w:val="00F46DBE"/>
    <w:rsid w:val="00F62FB7"/>
    <w:rsid w:val="00F66B5B"/>
    <w:rsid w:val="00F676E9"/>
    <w:rsid w:val="00FB4AB7"/>
    <w:rsid w:val="00FC1459"/>
    <w:rsid w:val="00FC2DD8"/>
    <w:rsid w:val="00FF3DF7"/>
    <w:rsid w:val="012809A6"/>
    <w:rsid w:val="02DC7851"/>
    <w:rsid w:val="05556784"/>
    <w:rsid w:val="070B3AB0"/>
    <w:rsid w:val="08D3575F"/>
    <w:rsid w:val="09FF26E0"/>
    <w:rsid w:val="0A9571D4"/>
    <w:rsid w:val="0D3C4C6C"/>
    <w:rsid w:val="0F0627AA"/>
    <w:rsid w:val="107044A7"/>
    <w:rsid w:val="12EB584F"/>
    <w:rsid w:val="12F72A29"/>
    <w:rsid w:val="15346A2D"/>
    <w:rsid w:val="19743A39"/>
    <w:rsid w:val="1CE94108"/>
    <w:rsid w:val="1E6B2B78"/>
    <w:rsid w:val="26A5382A"/>
    <w:rsid w:val="27725038"/>
    <w:rsid w:val="27991172"/>
    <w:rsid w:val="28C66DAF"/>
    <w:rsid w:val="28DF7FF4"/>
    <w:rsid w:val="2A7251D7"/>
    <w:rsid w:val="30071505"/>
    <w:rsid w:val="359B1DB1"/>
    <w:rsid w:val="35EC3915"/>
    <w:rsid w:val="36D811ED"/>
    <w:rsid w:val="37B01C9D"/>
    <w:rsid w:val="3CD265D1"/>
    <w:rsid w:val="3F940B75"/>
    <w:rsid w:val="432D19AE"/>
    <w:rsid w:val="4C74652C"/>
    <w:rsid w:val="4CC81BFC"/>
    <w:rsid w:val="51BF0AA6"/>
    <w:rsid w:val="51E94F01"/>
    <w:rsid w:val="5254347A"/>
    <w:rsid w:val="527E6F3C"/>
    <w:rsid w:val="52C74D2E"/>
    <w:rsid w:val="54051FAD"/>
    <w:rsid w:val="560757FF"/>
    <w:rsid w:val="572D0687"/>
    <w:rsid w:val="5A6A7979"/>
    <w:rsid w:val="5BD95F9D"/>
    <w:rsid w:val="5F0876F9"/>
    <w:rsid w:val="603E0BF1"/>
    <w:rsid w:val="6114570A"/>
    <w:rsid w:val="62352DA1"/>
    <w:rsid w:val="646C3432"/>
    <w:rsid w:val="65F40723"/>
    <w:rsid w:val="66DE6F24"/>
    <w:rsid w:val="68B41D54"/>
    <w:rsid w:val="6D104D7A"/>
    <w:rsid w:val="72C161A4"/>
    <w:rsid w:val="7CEE51BB"/>
    <w:rsid w:val="7DEA3321"/>
    <w:rsid w:val="7F9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0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C7502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AC75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脚 Char"/>
    <w:basedOn w:val="a0"/>
    <w:link w:val="a3"/>
    <w:qFormat/>
    <w:rsid w:val="00AC7502"/>
    <w:rPr>
      <w:rFonts w:ascii="Calibri" w:eastAsia="宋体" w:hAnsi="Calibri" w:cs="Calibri"/>
      <w:kern w:val="2"/>
      <w:sz w:val="18"/>
      <w:szCs w:val="18"/>
    </w:rPr>
  </w:style>
  <w:style w:type="paragraph" w:customStyle="1" w:styleId="ParaChar">
    <w:name w:val="默认段落字体 Para Char"/>
    <w:basedOn w:val="a"/>
    <w:qFormat/>
    <w:rsid w:val="00AC7502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NormalCharacter">
    <w:name w:val="NormalCharacter"/>
    <w:uiPriority w:val="99"/>
    <w:qFormat/>
    <w:rsid w:val="00EC3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0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C7502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AC75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脚 Char"/>
    <w:basedOn w:val="a0"/>
    <w:link w:val="a3"/>
    <w:qFormat/>
    <w:rsid w:val="00AC7502"/>
    <w:rPr>
      <w:rFonts w:ascii="Calibri" w:eastAsia="宋体" w:hAnsi="Calibri" w:cs="Calibri"/>
      <w:kern w:val="2"/>
      <w:sz w:val="18"/>
      <w:szCs w:val="18"/>
    </w:rPr>
  </w:style>
  <w:style w:type="paragraph" w:customStyle="1" w:styleId="ParaChar">
    <w:name w:val="默认段落字体 Para Char"/>
    <w:basedOn w:val="a"/>
    <w:qFormat/>
    <w:rsid w:val="00AC7502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NormalCharacter">
    <w:name w:val="NormalCharacter"/>
    <w:uiPriority w:val="99"/>
    <w:qFormat/>
    <w:rsid w:val="00E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1789</Characters>
  <Application>Microsoft Office Word</Application>
  <DocSecurity>0</DocSecurity>
  <Lines>14</Lines>
  <Paragraphs>4</Paragraphs>
  <ScaleCrop>false</ScaleCrop>
  <Company>西云科技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mzj547</dc:creator>
  <cp:lastModifiedBy>杨琴</cp:lastModifiedBy>
  <cp:revision>2</cp:revision>
  <cp:lastPrinted>2021-02-22T07:35:00Z</cp:lastPrinted>
  <dcterms:created xsi:type="dcterms:W3CDTF">2023-10-26T06:18:00Z</dcterms:created>
  <dcterms:modified xsi:type="dcterms:W3CDTF">2023-10-26T06:18:00Z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