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60" w:lineRule="exact"/>
        <w:jc w:val="both"/>
        <w:textAlignment w:val="baseline"/>
        <w:rPr>
          <w:rStyle w:val="8"/>
          <w:rFonts w:hint="eastAsia" w:ascii="方正黑体_GBK" w:hAnsi="方正黑体_GBK" w:eastAsia="方正黑体_GBK" w:cs="方正黑体_GBK"/>
          <w:b w:val="0"/>
          <w:bCs w:val="0"/>
          <w:i w:val="0"/>
          <w:caps w:val="0"/>
          <w:spacing w:val="0"/>
          <w:w w:val="100"/>
          <w:kern w:val="2"/>
          <w:sz w:val="32"/>
          <w:szCs w:val="32"/>
          <w:lang w:val="en-US" w:eastAsia="zh-CN" w:bidi="ar-SA"/>
        </w:rPr>
      </w:pPr>
      <w:r>
        <w:rPr>
          <w:rStyle w:val="8"/>
          <w:rFonts w:hint="eastAsia" w:ascii="方正黑体_GBK" w:hAnsi="方正黑体_GBK" w:eastAsia="方正黑体_GBK" w:cs="方正黑体_GBK"/>
          <w:b w:val="0"/>
          <w:bCs w:val="0"/>
          <w:i w:val="0"/>
          <w:caps w:val="0"/>
          <w:spacing w:val="0"/>
          <w:w w:val="100"/>
          <w:kern w:val="2"/>
          <w:sz w:val="32"/>
          <w:szCs w:val="32"/>
          <w:lang w:val="en-US" w:eastAsia="zh-CN" w:bidi="ar-SA"/>
        </w:rPr>
        <w:t>附件2</w:t>
      </w:r>
    </w:p>
    <w:p>
      <w:pPr>
        <w:pStyle w:val="2"/>
        <w:keepNext w:val="0"/>
        <w:keepLines w:val="0"/>
        <w:pageBreakBefore w:val="0"/>
        <w:kinsoku/>
        <w:wordWrap/>
        <w:overflowPunct/>
        <w:topLinePunct w:val="0"/>
        <w:bidi w:val="0"/>
        <w:snapToGrid/>
        <w:spacing w:line="560" w:lineRule="exact"/>
        <w:jc w:val="center"/>
        <w:rPr>
          <w:rStyle w:val="8"/>
          <w:rFonts w:hint="eastAsia" w:ascii="方正小标宋_GBK" w:hAnsi="方正小标宋_GBK" w:eastAsia="方正小标宋_GBK" w:cs="方正小标宋_GBK"/>
          <w:b w:val="0"/>
          <w:bCs w:val="0"/>
          <w:i w:val="0"/>
          <w:caps w:val="0"/>
          <w:spacing w:val="0"/>
          <w:w w:val="100"/>
          <w:kern w:val="2"/>
          <w:sz w:val="44"/>
          <w:szCs w:val="44"/>
          <w:lang w:val="en-US" w:eastAsia="zh-CN" w:bidi="ar-SA"/>
        </w:rPr>
      </w:pPr>
      <w:r>
        <w:rPr>
          <w:rStyle w:val="8"/>
          <w:rFonts w:hint="eastAsia" w:ascii="方正小标宋_GBK" w:hAnsi="方正小标宋_GBK" w:eastAsia="方正小标宋_GBK" w:cs="方正小标宋_GBK"/>
          <w:b w:val="0"/>
          <w:bCs w:val="0"/>
          <w:i w:val="0"/>
          <w:caps w:val="0"/>
          <w:spacing w:val="0"/>
          <w:w w:val="100"/>
          <w:kern w:val="2"/>
          <w:sz w:val="44"/>
          <w:szCs w:val="44"/>
          <w:lang w:val="en-US" w:eastAsia="zh-CN" w:bidi="ar-SA"/>
        </w:rPr>
        <w:t>制定说明</w:t>
      </w:r>
    </w:p>
    <w:p>
      <w:pPr>
        <w:pStyle w:val="2"/>
        <w:keepNext w:val="0"/>
        <w:keepLines w:val="0"/>
        <w:pageBreakBefore w:val="0"/>
        <w:kinsoku/>
        <w:wordWrap/>
        <w:overflowPunct/>
        <w:topLinePunct w:val="0"/>
        <w:bidi w:val="0"/>
        <w:snapToGrid/>
        <w:spacing w:line="560" w:lineRule="exact"/>
        <w:jc w:val="center"/>
        <w:rPr>
          <w:rStyle w:val="8"/>
          <w:rFonts w:hint="eastAsia" w:ascii="方正小标宋_GBK" w:hAnsi="方正小标宋_GBK" w:eastAsia="方正小标宋_GBK" w:cs="方正小标宋_GBK"/>
          <w:b w:val="0"/>
          <w:bCs w:val="0"/>
          <w:i w:val="0"/>
          <w:caps w:val="0"/>
          <w:spacing w:val="0"/>
          <w:w w:val="100"/>
          <w:kern w:val="2"/>
          <w:sz w:val="44"/>
          <w:szCs w:val="44"/>
          <w:lang w:val="en-US" w:eastAsia="zh-CN" w:bidi="ar-SA"/>
        </w:rPr>
      </w:pP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Style w:val="8"/>
          <w:rFonts w:hint="default" w:ascii="Times New Roman" w:hAnsi="Times New Roman" w:eastAsia="方正仿宋_GBK" w:cs="Times New Roman"/>
          <w:b w:val="0"/>
          <w:i w:val="0"/>
          <w:caps w:val="0"/>
          <w:spacing w:val="0"/>
          <w:w w:val="100"/>
          <w:kern w:val="2"/>
          <w:sz w:val="32"/>
          <w:szCs w:val="32"/>
          <w:lang w:val="en-US" w:eastAsia="zh-CN" w:bidi="ar-SA"/>
        </w:rPr>
      </w:pPr>
      <w:r>
        <w:rPr>
          <w:rStyle w:val="8"/>
          <w:rFonts w:hint="eastAsia" w:ascii="方正楷体_GBK" w:hAnsi="方正楷体_GBK" w:eastAsia="方正楷体_GBK" w:cs="方正楷体_GBK"/>
          <w:b w:val="0"/>
          <w:bCs w:val="0"/>
          <w:i w:val="0"/>
          <w:caps w:val="0"/>
          <w:spacing w:val="0"/>
          <w:w w:val="100"/>
          <w:kern w:val="2"/>
          <w:sz w:val="32"/>
          <w:szCs w:val="32"/>
          <w:lang w:val="en-US" w:eastAsia="zh-CN" w:bidi="ar-SA"/>
        </w:rPr>
        <w:t>（一）总体框架。</w:t>
      </w:r>
      <w:r>
        <w:rPr>
          <w:rStyle w:val="8"/>
          <w:rFonts w:hint="default" w:ascii="Times New Roman" w:hAnsi="Times New Roman" w:eastAsia="方正仿宋_GBK" w:cs="Times New Roman"/>
          <w:b w:val="0"/>
          <w:i w:val="0"/>
          <w:caps w:val="0"/>
          <w:spacing w:val="0"/>
          <w:w w:val="100"/>
          <w:kern w:val="2"/>
          <w:sz w:val="32"/>
          <w:szCs w:val="32"/>
          <w:lang w:val="en-US" w:eastAsia="zh-CN" w:bidi="ar-SA"/>
        </w:rPr>
        <w:t>共5章。第一章为</w:t>
      </w:r>
      <w:r>
        <w:rPr>
          <w:rStyle w:val="8"/>
          <w:rFonts w:hint="eastAsia" w:ascii="Times New Roman" w:hAnsi="Times New Roman" w:eastAsia="方正仿宋_GBK" w:cs="Times New Roman"/>
          <w:b w:val="0"/>
          <w:i w:val="0"/>
          <w:caps w:val="0"/>
          <w:spacing w:val="0"/>
          <w:w w:val="100"/>
          <w:kern w:val="2"/>
          <w:sz w:val="32"/>
          <w:szCs w:val="32"/>
          <w:lang w:val="en-US" w:eastAsia="zh-CN" w:bidi="ar-SA"/>
        </w:rPr>
        <w:t>发展基础</w:t>
      </w:r>
      <w:r>
        <w:rPr>
          <w:rStyle w:val="8"/>
          <w:rFonts w:hint="default" w:ascii="Times New Roman" w:hAnsi="Times New Roman" w:eastAsia="方正仿宋_GBK" w:cs="Times New Roman"/>
          <w:b w:val="0"/>
          <w:i w:val="0"/>
          <w:caps w:val="0"/>
          <w:spacing w:val="0"/>
          <w:w w:val="100"/>
          <w:kern w:val="2"/>
          <w:sz w:val="32"/>
          <w:szCs w:val="32"/>
          <w:lang w:val="en-US" w:eastAsia="zh-CN" w:bidi="ar-SA"/>
        </w:rPr>
        <w:t>，包括“十三五”时期发展成就及问题挑战。第二章为发展形势，包括发展的机遇、趋势及我区养老服务需求预测。第三章为总体</w:t>
      </w:r>
      <w:r>
        <w:rPr>
          <w:rStyle w:val="8"/>
          <w:rFonts w:hint="eastAsia" w:ascii="Times New Roman" w:hAnsi="Times New Roman" w:eastAsia="方正仿宋_GBK" w:cs="Times New Roman"/>
          <w:b w:val="0"/>
          <w:i w:val="0"/>
          <w:caps w:val="0"/>
          <w:spacing w:val="0"/>
          <w:w w:val="100"/>
          <w:kern w:val="2"/>
          <w:sz w:val="32"/>
          <w:szCs w:val="32"/>
          <w:lang w:val="en-US" w:eastAsia="zh-CN" w:bidi="ar-SA"/>
        </w:rPr>
        <w:t>要求</w:t>
      </w:r>
      <w:r>
        <w:rPr>
          <w:rStyle w:val="8"/>
          <w:rFonts w:hint="default" w:ascii="Times New Roman" w:hAnsi="Times New Roman" w:eastAsia="方正仿宋_GBK" w:cs="Times New Roman"/>
          <w:b w:val="0"/>
          <w:i w:val="0"/>
          <w:caps w:val="0"/>
          <w:spacing w:val="0"/>
          <w:w w:val="100"/>
          <w:kern w:val="2"/>
          <w:sz w:val="32"/>
          <w:szCs w:val="32"/>
          <w:lang w:val="en-US" w:eastAsia="zh-CN" w:bidi="ar-SA"/>
        </w:rPr>
        <w:t>，包括指导思想、基本原则、总体及阶段性目标</w:t>
      </w:r>
      <w:r>
        <w:rPr>
          <w:rStyle w:val="8"/>
          <w:rFonts w:hint="eastAsia" w:ascii="Times New Roman" w:hAnsi="Times New Roman" w:eastAsia="方正仿宋_GBK" w:cs="Times New Roman"/>
          <w:b w:val="0"/>
          <w:i w:val="0"/>
          <w:caps w:val="0"/>
          <w:spacing w:val="0"/>
          <w:w w:val="100"/>
          <w:kern w:val="2"/>
          <w:sz w:val="32"/>
          <w:szCs w:val="32"/>
          <w:lang w:val="en-US" w:eastAsia="zh-CN" w:bidi="ar-SA"/>
        </w:rPr>
        <w:t>和规划指标</w:t>
      </w:r>
      <w:r>
        <w:rPr>
          <w:rStyle w:val="8"/>
          <w:rFonts w:hint="default" w:ascii="Times New Roman" w:hAnsi="Times New Roman" w:eastAsia="方正仿宋_GBK" w:cs="Times New Roman"/>
          <w:b w:val="0"/>
          <w:i w:val="0"/>
          <w:caps w:val="0"/>
          <w:spacing w:val="0"/>
          <w:w w:val="100"/>
          <w:kern w:val="2"/>
          <w:sz w:val="32"/>
          <w:szCs w:val="32"/>
          <w:lang w:val="en-US" w:eastAsia="zh-CN" w:bidi="ar-SA"/>
        </w:rPr>
        <w:t>。第四章为</w:t>
      </w:r>
      <w:r>
        <w:rPr>
          <w:rStyle w:val="8"/>
          <w:rFonts w:hint="eastAsia" w:ascii="Times New Roman" w:hAnsi="Times New Roman" w:eastAsia="方正仿宋_GBK" w:cs="Times New Roman"/>
          <w:b w:val="0"/>
          <w:i w:val="0"/>
          <w:caps w:val="0"/>
          <w:spacing w:val="0"/>
          <w:w w:val="100"/>
          <w:kern w:val="2"/>
          <w:sz w:val="32"/>
          <w:szCs w:val="32"/>
          <w:lang w:val="en-US" w:eastAsia="zh-CN" w:bidi="ar-SA"/>
        </w:rPr>
        <w:t>主要</w:t>
      </w:r>
      <w:r>
        <w:rPr>
          <w:rStyle w:val="8"/>
          <w:rFonts w:hint="default" w:ascii="Times New Roman" w:hAnsi="Times New Roman" w:eastAsia="方正仿宋_GBK" w:cs="Times New Roman"/>
          <w:b w:val="0"/>
          <w:i w:val="0"/>
          <w:caps w:val="0"/>
          <w:spacing w:val="0"/>
          <w:w w:val="100"/>
          <w:kern w:val="2"/>
          <w:sz w:val="32"/>
          <w:szCs w:val="32"/>
          <w:lang w:val="en-US" w:eastAsia="zh-CN" w:bidi="ar-SA"/>
        </w:rPr>
        <w:t>任务，包括深化养老服务制度改革创新等8项。第五章为保障措施，包括</w:t>
      </w:r>
      <w:r>
        <w:rPr>
          <w:rStyle w:val="8"/>
          <w:rFonts w:hint="eastAsia" w:ascii="Times New Roman" w:hAnsi="Times New Roman" w:eastAsia="方正仿宋_GBK" w:cs="Times New Roman"/>
          <w:b w:val="0"/>
          <w:i w:val="0"/>
          <w:caps w:val="0"/>
          <w:spacing w:val="0"/>
          <w:w w:val="100"/>
          <w:kern w:val="2"/>
          <w:sz w:val="32"/>
          <w:szCs w:val="32"/>
          <w:lang w:val="en-US" w:eastAsia="zh-CN" w:bidi="ar-SA"/>
        </w:rPr>
        <w:t>加强组织领导</w:t>
      </w:r>
      <w:r>
        <w:rPr>
          <w:rStyle w:val="8"/>
          <w:rFonts w:hint="default" w:ascii="Times New Roman" w:hAnsi="Times New Roman" w:eastAsia="方正仿宋_GBK" w:cs="Times New Roman"/>
          <w:b w:val="0"/>
          <w:i w:val="0"/>
          <w:caps w:val="0"/>
          <w:spacing w:val="0"/>
          <w:w w:val="100"/>
          <w:kern w:val="2"/>
          <w:sz w:val="32"/>
          <w:szCs w:val="32"/>
          <w:lang w:val="en-US" w:eastAsia="zh-CN" w:bidi="ar-SA"/>
        </w:rPr>
        <w:t>、</w:t>
      </w:r>
      <w:r>
        <w:rPr>
          <w:rStyle w:val="8"/>
          <w:rFonts w:hint="eastAsia" w:ascii="Times New Roman" w:hAnsi="Times New Roman" w:eastAsia="方正仿宋_GBK" w:cs="Times New Roman"/>
          <w:b w:val="0"/>
          <w:i w:val="0"/>
          <w:caps w:val="0"/>
          <w:spacing w:val="0"/>
          <w:w w:val="100"/>
          <w:kern w:val="2"/>
          <w:sz w:val="32"/>
          <w:szCs w:val="32"/>
          <w:lang w:val="en-US" w:eastAsia="zh-CN" w:bidi="ar-SA"/>
        </w:rPr>
        <w:t>强化用地保障</w:t>
      </w:r>
      <w:r>
        <w:rPr>
          <w:rStyle w:val="8"/>
          <w:rFonts w:hint="default" w:ascii="Times New Roman" w:hAnsi="Times New Roman" w:eastAsia="方正仿宋_GBK" w:cs="Times New Roman"/>
          <w:b w:val="0"/>
          <w:i w:val="0"/>
          <w:caps w:val="0"/>
          <w:spacing w:val="0"/>
          <w:w w:val="100"/>
          <w:kern w:val="2"/>
          <w:sz w:val="32"/>
          <w:szCs w:val="32"/>
          <w:lang w:val="en-US" w:eastAsia="zh-CN" w:bidi="ar-SA"/>
        </w:rPr>
        <w:t xml:space="preserve">保障等7项。 </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Style w:val="8"/>
          <w:rFonts w:hint="default" w:ascii="Times New Roman" w:hAnsi="Times New Roman" w:eastAsia="方正仿宋_GBK" w:cs="Times New Roman"/>
          <w:b w:val="0"/>
          <w:i w:val="0"/>
          <w:caps w:val="0"/>
          <w:spacing w:val="0"/>
          <w:w w:val="100"/>
          <w:kern w:val="2"/>
          <w:sz w:val="32"/>
          <w:szCs w:val="32"/>
          <w:lang w:val="en-US" w:eastAsia="zh-CN" w:bidi="ar-SA"/>
        </w:rPr>
      </w:pPr>
      <w:r>
        <w:rPr>
          <w:rStyle w:val="8"/>
          <w:rFonts w:hint="eastAsia" w:ascii="方正楷体_GBK" w:hAnsi="方正楷体_GBK" w:eastAsia="方正楷体_GBK" w:cs="方正楷体_GBK"/>
          <w:b w:val="0"/>
          <w:bCs w:val="0"/>
          <w:i w:val="0"/>
          <w:caps w:val="0"/>
          <w:spacing w:val="0"/>
          <w:w w:val="100"/>
          <w:kern w:val="2"/>
          <w:sz w:val="32"/>
          <w:szCs w:val="32"/>
          <w:lang w:val="en-US" w:eastAsia="zh-CN" w:bidi="ar-SA"/>
        </w:rPr>
        <w:t>（二）</w:t>
      </w:r>
      <w:r>
        <w:rPr>
          <w:rStyle w:val="8"/>
          <w:rFonts w:hint="default" w:ascii="方正楷体_GBK" w:hAnsi="方正楷体_GBK" w:eastAsia="方正楷体_GBK" w:cs="方正楷体_GBK"/>
          <w:b w:val="0"/>
          <w:bCs w:val="0"/>
          <w:i w:val="0"/>
          <w:caps w:val="0"/>
          <w:spacing w:val="0"/>
          <w:w w:val="100"/>
          <w:kern w:val="2"/>
          <w:sz w:val="32"/>
          <w:szCs w:val="32"/>
          <w:lang w:val="en-US" w:eastAsia="zh-CN" w:bidi="ar-SA"/>
        </w:rPr>
        <w:t>总体目标。</w:t>
      </w:r>
      <w:r>
        <w:rPr>
          <w:rStyle w:val="8"/>
          <w:rFonts w:hint="default" w:ascii="Times New Roman" w:hAnsi="Times New Roman" w:eastAsia="方正仿宋_GBK" w:cs="Times New Roman"/>
          <w:b w:val="0"/>
          <w:i w:val="0"/>
          <w:caps w:val="0"/>
          <w:spacing w:val="0"/>
          <w:w w:val="100"/>
          <w:kern w:val="2"/>
          <w:sz w:val="32"/>
          <w:szCs w:val="32"/>
          <w:lang w:val="en-US" w:eastAsia="zh-CN" w:bidi="ar-SA"/>
        </w:rPr>
        <w:t>结合渝北区“临空之城，山水渝北”的总体形象，围绕“魅力山水好渝北，都市养老幸福地”的形象定位，持续推动老年友好型社会建设，全面构建高质量、可持续的居家社区机构相协调、医养康养相结合的养老服务体系。聚焦社区居家养老服务能力提升和机构养老服务质量提升两个关键领域，抓好养老服务发展政策和人才队伍两大支持体系建设，构建城乡养老均衡发展、基本养老普遍惠及、养老服务精准供给、产业发展深度融合、保障机制日趋完善的“大养老”新格局，逐步实现兜底供养有保障、普惠养老能满足、高端市场可选择的养老服务供给体系，将渝北区打造成重庆乃至西南片区“普惠养老示范区、多元养老先行区、品质养老聚集区”，为老年人打造一个高品质的可养、适养、颐养的幸福之地。到2025年，社区居家养老服务逐步成熟，基本养老服务体系制度框架基本形成，农村养老快速发展，养老机构发展更加规范，医养服务深度融合，家庭养老床位、失能失智照护、安宁疗护、喘息服务等创新发展，养老服务业态更加丰富，养老服务消费潜力充分释放，养老服务环境不断优化，社会环境宜居友好，居家养老服务超50万人次，家庭养老床位达500张，护理型养老床位占比达到60%，失智老人照护机构达5家，《养老机构服务安全基本规范》强制性标准达标率为100%。</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Style w:val="8"/>
          <w:rFonts w:hint="default" w:ascii="Times New Roman" w:hAnsi="Times New Roman" w:eastAsia="方正仿宋_GBK" w:cs="Times New Roman"/>
          <w:b w:val="0"/>
          <w:i w:val="0"/>
          <w:caps w:val="0"/>
          <w:spacing w:val="0"/>
          <w:w w:val="100"/>
          <w:kern w:val="2"/>
          <w:sz w:val="32"/>
          <w:szCs w:val="32"/>
          <w:lang w:val="en-US" w:eastAsia="zh-CN" w:bidi="ar-SA"/>
        </w:rPr>
      </w:pPr>
      <w:r>
        <w:rPr>
          <w:rStyle w:val="8"/>
          <w:rFonts w:hint="eastAsia" w:ascii="方正楷体_GBK" w:hAnsi="方正楷体_GBK" w:eastAsia="方正楷体_GBK" w:cs="方正楷体_GBK"/>
          <w:b w:val="0"/>
          <w:bCs w:val="0"/>
          <w:i w:val="0"/>
          <w:caps w:val="0"/>
          <w:spacing w:val="0"/>
          <w:w w:val="100"/>
          <w:kern w:val="2"/>
          <w:sz w:val="32"/>
          <w:szCs w:val="32"/>
          <w:lang w:val="en-US" w:eastAsia="zh-CN" w:bidi="ar-SA"/>
        </w:rPr>
        <w:t>（三）</w:t>
      </w:r>
      <w:r>
        <w:rPr>
          <w:rStyle w:val="8"/>
          <w:rFonts w:hint="default" w:ascii="方正楷体_GBK" w:hAnsi="方正楷体_GBK" w:eastAsia="方正楷体_GBK" w:cs="方正楷体_GBK"/>
          <w:b w:val="0"/>
          <w:bCs w:val="0"/>
          <w:i w:val="0"/>
          <w:caps w:val="0"/>
          <w:spacing w:val="0"/>
          <w:w w:val="100"/>
          <w:kern w:val="2"/>
          <w:sz w:val="32"/>
          <w:szCs w:val="32"/>
          <w:lang w:val="en-US" w:eastAsia="zh-CN" w:bidi="ar-SA"/>
        </w:rPr>
        <w:t>重点指标。</w:t>
      </w:r>
      <w:r>
        <w:rPr>
          <w:rStyle w:val="8"/>
          <w:rFonts w:hint="default" w:ascii="Times New Roman" w:hAnsi="Times New Roman" w:eastAsia="方正仿宋_GBK" w:cs="Times New Roman"/>
          <w:b w:val="0"/>
          <w:i w:val="0"/>
          <w:caps w:val="0"/>
          <w:spacing w:val="0"/>
          <w:w w:val="100"/>
          <w:kern w:val="2"/>
          <w:sz w:val="32"/>
          <w:szCs w:val="32"/>
          <w:lang w:val="en-US" w:eastAsia="zh-CN" w:bidi="ar-SA"/>
        </w:rPr>
        <w:t>深入贯彻《国家积极应对人口老龄化中长期规划》《“十四五”养老服务规划编制要点》《重庆市积极应对人口老龄化中长期规划》等指导文件指示要求，对标对表全国先进地区，围绕重点目标任务，形成“十四五”重点指标体系。到 2025年，城乡社区养老服务设施覆盖率达到100%，福彩公益金用于养老服务业的比例达到80%，城乡养老保险、医疗保险覆盖（参保）率稳定在95%及100%，养老床位数达到8000张，政府运营床位占比不高于</w:t>
      </w:r>
      <w:r>
        <w:rPr>
          <w:rStyle w:val="8"/>
          <w:rFonts w:hint="eastAsia" w:ascii="Times New Roman" w:hAnsi="Times New Roman" w:eastAsia="方正仿宋_GBK" w:cs="Times New Roman"/>
          <w:b w:val="0"/>
          <w:i w:val="0"/>
          <w:caps w:val="0"/>
          <w:spacing w:val="0"/>
          <w:w w:val="100"/>
          <w:kern w:val="2"/>
          <w:sz w:val="32"/>
          <w:szCs w:val="32"/>
          <w:lang w:val="en-US" w:eastAsia="zh-CN" w:bidi="ar-SA"/>
        </w:rPr>
        <w:t>74</w:t>
      </w:r>
      <w:r>
        <w:rPr>
          <w:rStyle w:val="8"/>
          <w:rFonts w:hint="default" w:ascii="Times New Roman" w:hAnsi="Times New Roman" w:eastAsia="方正仿宋_GBK" w:cs="Times New Roman"/>
          <w:b w:val="0"/>
          <w:i w:val="0"/>
          <w:caps w:val="0"/>
          <w:spacing w:val="0"/>
          <w:w w:val="100"/>
          <w:kern w:val="2"/>
          <w:sz w:val="32"/>
          <w:szCs w:val="32"/>
          <w:lang w:val="en-US" w:eastAsia="zh-CN" w:bidi="ar-SA"/>
        </w:rPr>
        <w:t>0%，护理型养老床位占比不低于60%。</w:t>
      </w:r>
    </w:p>
    <w:p>
      <w:pPr>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60" w:lineRule="exact"/>
        <w:ind w:firstLine="640" w:firstLineChars="200"/>
        <w:jc w:val="both"/>
        <w:textAlignment w:val="baseline"/>
        <w:rPr>
          <w:rStyle w:val="8"/>
          <w:rFonts w:hint="default" w:ascii="Times New Roman" w:hAnsi="Times New Roman" w:eastAsia="方正仿宋_GBK" w:cs="Times New Roman"/>
          <w:b w:val="0"/>
          <w:i w:val="0"/>
          <w:caps w:val="0"/>
          <w:spacing w:val="0"/>
          <w:w w:val="100"/>
          <w:kern w:val="2"/>
          <w:sz w:val="32"/>
          <w:szCs w:val="32"/>
          <w:lang w:val="en-US" w:eastAsia="zh-CN" w:bidi="ar-SA"/>
        </w:rPr>
      </w:pPr>
      <w:r>
        <w:rPr>
          <w:rStyle w:val="8"/>
          <w:rFonts w:hint="eastAsia" w:ascii="方正楷体_GBK" w:hAnsi="方正楷体_GBK" w:eastAsia="方正楷体_GBK" w:cs="方正楷体_GBK"/>
          <w:b w:val="0"/>
          <w:bCs w:val="0"/>
          <w:i w:val="0"/>
          <w:caps w:val="0"/>
          <w:spacing w:val="0"/>
          <w:w w:val="100"/>
          <w:kern w:val="2"/>
          <w:sz w:val="32"/>
          <w:szCs w:val="32"/>
          <w:lang w:val="en-US" w:eastAsia="zh-CN" w:bidi="ar-SA"/>
        </w:rPr>
        <w:t>（四）</w:t>
      </w:r>
      <w:r>
        <w:rPr>
          <w:rStyle w:val="8"/>
          <w:rFonts w:hint="default" w:ascii="方正楷体_GBK" w:hAnsi="方正楷体_GBK" w:eastAsia="方正楷体_GBK" w:cs="方正楷体_GBK"/>
          <w:b w:val="0"/>
          <w:bCs w:val="0"/>
          <w:i w:val="0"/>
          <w:caps w:val="0"/>
          <w:spacing w:val="0"/>
          <w:w w:val="100"/>
          <w:kern w:val="2"/>
          <w:sz w:val="32"/>
          <w:szCs w:val="32"/>
          <w:lang w:val="en-US" w:eastAsia="zh-CN" w:bidi="ar-SA"/>
        </w:rPr>
        <w:t>重点任务。</w:t>
      </w:r>
      <w:r>
        <w:rPr>
          <w:rStyle w:val="8"/>
          <w:rFonts w:hint="default" w:ascii="Times New Roman" w:hAnsi="Times New Roman" w:eastAsia="方正仿宋_GBK" w:cs="Times New Roman"/>
          <w:b/>
          <w:bCs/>
          <w:i w:val="0"/>
          <w:caps w:val="0"/>
          <w:spacing w:val="0"/>
          <w:w w:val="100"/>
          <w:kern w:val="2"/>
          <w:sz w:val="32"/>
          <w:szCs w:val="32"/>
          <w:lang w:val="en-US" w:eastAsia="zh-CN" w:bidi="ar-SA"/>
        </w:rPr>
        <w:t>一是</w:t>
      </w:r>
      <w:r>
        <w:rPr>
          <w:rStyle w:val="8"/>
          <w:rFonts w:hint="default" w:ascii="Times New Roman" w:hAnsi="Times New Roman" w:eastAsia="方正仿宋_GBK" w:cs="Times New Roman"/>
          <w:b w:val="0"/>
          <w:i w:val="0"/>
          <w:caps w:val="0"/>
          <w:spacing w:val="0"/>
          <w:w w:val="100"/>
          <w:kern w:val="2"/>
          <w:sz w:val="32"/>
          <w:szCs w:val="32"/>
          <w:lang w:val="en-US" w:eastAsia="zh-CN" w:bidi="ar-SA"/>
        </w:rPr>
        <w:t>深化养老服务制度改革创新。包括完善养老服务政策支持体系，</w:t>
      </w:r>
      <w:r>
        <w:rPr>
          <w:rStyle w:val="8"/>
          <w:rFonts w:hint="eastAsia" w:ascii="Times New Roman" w:hAnsi="Times New Roman" w:eastAsia="方正仿宋_GBK" w:cs="Times New Roman"/>
          <w:b w:val="0"/>
          <w:i w:val="0"/>
          <w:caps w:val="0"/>
          <w:spacing w:val="0"/>
          <w:w w:val="100"/>
          <w:kern w:val="2"/>
          <w:sz w:val="32"/>
          <w:szCs w:val="32"/>
          <w:lang w:val="en-US" w:eastAsia="zh-CN" w:bidi="ar-SA"/>
        </w:rPr>
        <w:t>加强基本养老服务体系建设</w:t>
      </w:r>
      <w:r>
        <w:rPr>
          <w:rStyle w:val="8"/>
          <w:rFonts w:hint="default" w:ascii="Times New Roman" w:hAnsi="Times New Roman" w:eastAsia="方正仿宋_GBK" w:cs="Times New Roman"/>
          <w:b w:val="0"/>
          <w:i w:val="0"/>
          <w:caps w:val="0"/>
          <w:spacing w:val="0"/>
          <w:w w:val="100"/>
          <w:kern w:val="2"/>
          <w:sz w:val="32"/>
          <w:szCs w:val="32"/>
          <w:lang w:val="en-US" w:eastAsia="zh-CN" w:bidi="ar-SA"/>
        </w:rPr>
        <w:t>，建立健全养老服务评估制度</w:t>
      </w:r>
      <w:r>
        <w:rPr>
          <w:rStyle w:val="8"/>
          <w:rFonts w:hint="eastAsia" w:ascii="Times New Roman" w:hAnsi="Times New Roman" w:eastAsia="方正仿宋_GBK" w:cs="Times New Roman"/>
          <w:b w:val="0"/>
          <w:i w:val="0"/>
          <w:caps w:val="0"/>
          <w:spacing w:val="0"/>
          <w:w w:val="100"/>
          <w:kern w:val="2"/>
          <w:sz w:val="32"/>
          <w:szCs w:val="32"/>
          <w:lang w:val="en-US" w:eastAsia="zh-CN" w:bidi="ar-SA"/>
        </w:rPr>
        <w:t>，完善养老服务综合监管制度</w:t>
      </w:r>
      <w:r>
        <w:rPr>
          <w:rStyle w:val="8"/>
          <w:rFonts w:hint="default" w:ascii="Times New Roman" w:hAnsi="Times New Roman" w:eastAsia="方正仿宋_GBK" w:cs="Times New Roman"/>
          <w:b w:val="0"/>
          <w:i w:val="0"/>
          <w:caps w:val="0"/>
          <w:spacing w:val="0"/>
          <w:w w:val="100"/>
          <w:kern w:val="2"/>
          <w:sz w:val="32"/>
          <w:szCs w:val="32"/>
          <w:lang w:val="en-US" w:eastAsia="zh-CN" w:bidi="ar-SA"/>
        </w:rPr>
        <w:t>。</w:t>
      </w:r>
      <w:r>
        <w:rPr>
          <w:rStyle w:val="8"/>
          <w:rFonts w:hint="default" w:ascii="Times New Roman" w:hAnsi="Times New Roman" w:eastAsia="方正仿宋_GBK" w:cs="Times New Roman"/>
          <w:b/>
          <w:bCs/>
          <w:i w:val="0"/>
          <w:caps w:val="0"/>
          <w:spacing w:val="0"/>
          <w:w w:val="100"/>
          <w:kern w:val="2"/>
          <w:sz w:val="32"/>
          <w:szCs w:val="32"/>
          <w:lang w:val="en-US" w:eastAsia="zh-CN" w:bidi="ar-SA"/>
        </w:rPr>
        <w:t>二是</w:t>
      </w:r>
      <w:bookmarkStart w:id="0" w:name="_Toc15733"/>
      <w:r>
        <w:rPr>
          <w:rStyle w:val="8"/>
          <w:rFonts w:hint="eastAsia" w:ascii="Times New Roman" w:hAnsi="Times New Roman" w:eastAsia="方正仿宋_GBK" w:cs="Times New Roman"/>
          <w:b w:val="0"/>
          <w:i w:val="0"/>
          <w:caps w:val="0"/>
          <w:spacing w:val="0"/>
          <w:w w:val="100"/>
          <w:kern w:val="2"/>
          <w:sz w:val="32"/>
          <w:szCs w:val="32"/>
          <w:lang w:val="en-US" w:eastAsia="zh-CN" w:bidi="ar-SA"/>
        </w:rPr>
        <w:t>增强</w:t>
      </w:r>
      <w:r>
        <w:rPr>
          <w:rStyle w:val="8"/>
          <w:rFonts w:hint="default" w:ascii="Times New Roman" w:hAnsi="Times New Roman" w:eastAsia="方正仿宋_GBK" w:cs="Times New Roman"/>
          <w:b w:val="0"/>
          <w:i w:val="0"/>
          <w:caps w:val="0"/>
          <w:spacing w:val="0"/>
          <w:w w:val="100"/>
          <w:kern w:val="2"/>
          <w:sz w:val="32"/>
          <w:szCs w:val="32"/>
          <w:lang w:val="en-US" w:eastAsia="zh-CN" w:bidi="ar-SA"/>
        </w:rPr>
        <w:t>社区居家养老服务</w:t>
      </w:r>
      <w:bookmarkEnd w:id="0"/>
      <w:r>
        <w:rPr>
          <w:rStyle w:val="8"/>
          <w:rFonts w:hint="eastAsia" w:ascii="Times New Roman" w:hAnsi="Times New Roman" w:eastAsia="方正仿宋_GBK" w:cs="Times New Roman"/>
          <w:b w:val="0"/>
          <w:i w:val="0"/>
          <w:caps w:val="0"/>
          <w:spacing w:val="0"/>
          <w:w w:val="100"/>
          <w:kern w:val="2"/>
          <w:sz w:val="32"/>
          <w:szCs w:val="32"/>
          <w:lang w:val="en-US" w:eastAsia="zh-CN" w:bidi="ar-SA"/>
        </w:rPr>
        <w:t>能力。</w:t>
      </w:r>
      <w:r>
        <w:rPr>
          <w:rStyle w:val="8"/>
          <w:rFonts w:hint="default" w:ascii="Times New Roman" w:hAnsi="Times New Roman" w:eastAsia="方正仿宋_GBK" w:cs="Times New Roman"/>
          <w:b w:val="0"/>
          <w:i w:val="0"/>
          <w:caps w:val="0"/>
          <w:spacing w:val="0"/>
          <w:w w:val="100"/>
          <w:kern w:val="2"/>
          <w:sz w:val="32"/>
          <w:szCs w:val="32"/>
          <w:lang w:val="en-US" w:eastAsia="zh-CN" w:bidi="ar-SA"/>
        </w:rPr>
        <w:t>包括完善社区居家养老服务网络，</w:t>
      </w:r>
      <w:r>
        <w:rPr>
          <w:rStyle w:val="8"/>
          <w:rFonts w:hint="eastAsia" w:ascii="Times New Roman" w:hAnsi="Times New Roman" w:eastAsia="方正仿宋_GBK" w:cs="Times New Roman"/>
          <w:b w:val="0"/>
          <w:i w:val="0"/>
          <w:caps w:val="0"/>
          <w:spacing w:val="0"/>
          <w:w w:val="100"/>
          <w:kern w:val="2"/>
          <w:sz w:val="32"/>
          <w:szCs w:val="32"/>
          <w:lang w:val="en-US" w:eastAsia="zh-CN" w:bidi="ar-SA"/>
        </w:rPr>
        <w:t>强化社区养老服务设施功能，</w:t>
      </w:r>
      <w:r>
        <w:rPr>
          <w:rStyle w:val="8"/>
          <w:rFonts w:hint="default" w:ascii="Times New Roman" w:hAnsi="Times New Roman" w:eastAsia="方正仿宋_GBK" w:cs="Times New Roman"/>
          <w:b w:val="0"/>
          <w:i w:val="0"/>
          <w:caps w:val="0"/>
          <w:spacing w:val="0"/>
          <w:w w:val="100"/>
          <w:kern w:val="2"/>
          <w:sz w:val="32"/>
          <w:szCs w:val="32"/>
          <w:lang w:val="en-US" w:eastAsia="zh-CN" w:bidi="ar-SA"/>
        </w:rPr>
        <w:t>规范社区居家养老运营管理，丰富社区居家养老服务形态，</w:t>
      </w:r>
      <w:r>
        <w:rPr>
          <w:rStyle w:val="8"/>
          <w:rFonts w:hint="eastAsia" w:ascii="Times New Roman" w:hAnsi="Times New Roman" w:eastAsia="方正仿宋_GBK" w:cs="Times New Roman"/>
          <w:b w:val="0"/>
          <w:i w:val="0"/>
          <w:caps w:val="0"/>
          <w:spacing w:val="0"/>
          <w:w w:val="100"/>
          <w:kern w:val="2"/>
          <w:sz w:val="32"/>
          <w:szCs w:val="32"/>
          <w:lang w:val="en-US" w:eastAsia="zh-CN" w:bidi="ar-SA"/>
        </w:rPr>
        <w:t>推进</w:t>
      </w:r>
      <w:r>
        <w:rPr>
          <w:rStyle w:val="8"/>
          <w:rFonts w:hint="default" w:ascii="Times New Roman" w:hAnsi="Times New Roman" w:eastAsia="方正仿宋_GBK" w:cs="Times New Roman"/>
          <w:b w:val="0"/>
          <w:i w:val="0"/>
          <w:caps w:val="0"/>
          <w:spacing w:val="0"/>
          <w:w w:val="100"/>
          <w:kern w:val="2"/>
          <w:sz w:val="32"/>
          <w:szCs w:val="32"/>
          <w:lang w:val="en-US" w:eastAsia="zh-CN" w:bidi="ar-SA"/>
        </w:rPr>
        <w:t>社区居家适老环境</w:t>
      </w:r>
      <w:r>
        <w:rPr>
          <w:rStyle w:val="8"/>
          <w:rFonts w:hint="eastAsia" w:ascii="Times New Roman" w:hAnsi="Times New Roman" w:eastAsia="方正仿宋_GBK" w:cs="Times New Roman"/>
          <w:b w:val="0"/>
          <w:i w:val="0"/>
          <w:caps w:val="0"/>
          <w:spacing w:val="0"/>
          <w:w w:val="100"/>
          <w:kern w:val="2"/>
          <w:sz w:val="32"/>
          <w:szCs w:val="32"/>
          <w:lang w:val="en-US" w:eastAsia="zh-CN" w:bidi="ar-SA"/>
        </w:rPr>
        <w:t>建设</w:t>
      </w:r>
      <w:r>
        <w:rPr>
          <w:rStyle w:val="8"/>
          <w:rFonts w:hint="default" w:ascii="Times New Roman" w:hAnsi="Times New Roman" w:eastAsia="方正仿宋_GBK" w:cs="Times New Roman"/>
          <w:b w:val="0"/>
          <w:i w:val="0"/>
          <w:caps w:val="0"/>
          <w:spacing w:val="0"/>
          <w:w w:val="100"/>
          <w:kern w:val="2"/>
          <w:sz w:val="32"/>
          <w:szCs w:val="32"/>
          <w:lang w:val="en-US" w:eastAsia="zh-CN" w:bidi="ar-SA"/>
        </w:rPr>
        <w:t>。</w:t>
      </w:r>
      <w:bookmarkStart w:id="1" w:name="_Toc31110"/>
      <w:r>
        <w:rPr>
          <w:rStyle w:val="8"/>
          <w:rFonts w:hint="default" w:ascii="Times New Roman" w:hAnsi="Times New Roman" w:eastAsia="方正仿宋_GBK" w:cs="Times New Roman"/>
          <w:b/>
          <w:bCs/>
          <w:i w:val="0"/>
          <w:caps w:val="0"/>
          <w:spacing w:val="0"/>
          <w:w w:val="100"/>
          <w:kern w:val="2"/>
          <w:sz w:val="32"/>
          <w:szCs w:val="32"/>
          <w:lang w:val="en-US" w:eastAsia="zh-CN" w:bidi="ar-SA"/>
        </w:rPr>
        <w:t>三是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提升</w:t>
      </w:r>
      <w:r>
        <w:rPr>
          <w:rStyle w:val="8"/>
          <w:rFonts w:hint="default" w:ascii="Times New Roman" w:hAnsi="Times New Roman" w:eastAsia="方正仿宋_GBK" w:cs="Times New Roman"/>
          <w:b w:val="0"/>
          <w:i w:val="0"/>
          <w:caps w:val="0"/>
          <w:spacing w:val="0"/>
          <w:w w:val="100"/>
          <w:kern w:val="2"/>
          <w:sz w:val="32"/>
          <w:szCs w:val="32"/>
          <w:lang w:val="en-US" w:eastAsia="zh-CN" w:bidi="ar-SA"/>
        </w:rPr>
        <w:t>机构养老服务</w:t>
      </w:r>
      <w:bookmarkEnd w:id="1"/>
      <w:r>
        <w:rPr>
          <w:rStyle w:val="8"/>
          <w:rFonts w:hint="eastAsia" w:ascii="Times New Roman" w:hAnsi="Times New Roman" w:eastAsia="方正仿宋_GBK" w:cs="Times New Roman"/>
          <w:b w:val="0"/>
          <w:i w:val="0"/>
          <w:caps w:val="0"/>
          <w:spacing w:val="0"/>
          <w:w w:val="100"/>
          <w:kern w:val="2"/>
          <w:sz w:val="32"/>
          <w:szCs w:val="32"/>
          <w:lang w:val="en-US" w:eastAsia="zh-CN" w:bidi="ar-SA"/>
        </w:rPr>
        <w:t>品质</w:t>
      </w:r>
      <w:r>
        <w:rPr>
          <w:rStyle w:val="8"/>
          <w:rFonts w:hint="default" w:ascii="Times New Roman" w:hAnsi="Times New Roman" w:eastAsia="方正仿宋_GBK" w:cs="Times New Roman"/>
          <w:b w:val="0"/>
          <w:i w:val="0"/>
          <w:caps w:val="0"/>
          <w:spacing w:val="0"/>
          <w:w w:val="100"/>
          <w:kern w:val="2"/>
          <w:sz w:val="32"/>
          <w:szCs w:val="32"/>
          <w:lang w:val="en-US" w:eastAsia="zh-CN" w:bidi="ar-SA"/>
        </w:rPr>
        <w:t>。包括强化公办养老机构保障作用，有序发展</w:t>
      </w:r>
      <w:r>
        <w:rPr>
          <w:rStyle w:val="8"/>
          <w:rFonts w:hint="eastAsia" w:ascii="Times New Roman" w:hAnsi="Times New Roman" w:eastAsia="方正仿宋_GBK" w:cs="Times New Roman"/>
          <w:b w:val="0"/>
          <w:i w:val="0"/>
          <w:caps w:val="0"/>
          <w:spacing w:val="0"/>
          <w:w w:val="100"/>
          <w:kern w:val="2"/>
          <w:sz w:val="32"/>
          <w:szCs w:val="32"/>
          <w:lang w:val="en-US" w:eastAsia="zh-CN" w:bidi="ar-SA"/>
        </w:rPr>
        <w:t>社会办</w:t>
      </w:r>
      <w:r>
        <w:rPr>
          <w:rStyle w:val="8"/>
          <w:rFonts w:hint="default" w:ascii="Times New Roman" w:hAnsi="Times New Roman" w:eastAsia="方正仿宋_GBK" w:cs="Times New Roman"/>
          <w:b w:val="0"/>
          <w:i w:val="0"/>
          <w:caps w:val="0"/>
          <w:spacing w:val="0"/>
          <w:w w:val="100"/>
          <w:kern w:val="2"/>
          <w:sz w:val="32"/>
          <w:szCs w:val="32"/>
          <w:lang w:val="en-US" w:eastAsia="zh-CN" w:bidi="ar-SA"/>
        </w:rPr>
        <w:t>养老机构，提升机构养老服务质量，创建一批星级、叶级养老机构。</w:t>
      </w:r>
      <w:r>
        <w:rPr>
          <w:rStyle w:val="8"/>
          <w:rFonts w:hint="default" w:ascii="Times New Roman" w:hAnsi="Times New Roman" w:eastAsia="方正仿宋_GBK" w:cs="Times New Roman"/>
          <w:b/>
          <w:bCs/>
          <w:i w:val="0"/>
          <w:caps w:val="0"/>
          <w:spacing w:val="0"/>
          <w:w w:val="100"/>
          <w:kern w:val="2"/>
          <w:sz w:val="32"/>
          <w:szCs w:val="32"/>
          <w:lang w:val="en-US" w:eastAsia="zh-CN" w:bidi="ar-SA"/>
        </w:rPr>
        <w:t>四是</w:t>
      </w:r>
      <w:r>
        <w:rPr>
          <w:rStyle w:val="8"/>
          <w:rFonts w:hint="default" w:ascii="Times New Roman" w:hAnsi="Times New Roman" w:eastAsia="方正仿宋_GBK" w:cs="Times New Roman"/>
          <w:b w:val="0"/>
          <w:i w:val="0"/>
          <w:caps w:val="0"/>
          <w:spacing w:val="0"/>
          <w:w w:val="100"/>
          <w:kern w:val="2"/>
          <w:sz w:val="32"/>
          <w:szCs w:val="32"/>
          <w:lang w:val="en-US" w:eastAsia="zh-CN" w:bidi="ar-SA"/>
        </w:rPr>
        <w:t>推进医养</w:t>
      </w:r>
      <w:r>
        <w:rPr>
          <w:rStyle w:val="8"/>
          <w:rFonts w:hint="eastAsia" w:ascii="Times New Roman" w:hAnsi="Times New Roman" w:eastAsia="方正仿宋_GBK" w:cs="Times New Roman"/>
          <w:b w:val="0"/>
          <w:i w:val="0"/>
          <w:caps w:val="0"/>
          <w:spacing w:val="0"/>
          <w:w w:val="100"/>
          <w:kern w:val="2"/>
          <w:sz w:val="32"/>
          <w:szCs w:val="32"/>
          <w:lang w:val="en-US" w:eastAsia="zh-CN" w:bidi="ar-SA"/>
        </w:rPr>
        <w:t>深度</w:t>
      </w:r>
      <w:r>
        <w:rPr>
          <w:rStyle w:val="8"/>
          <w:rFonts w:hint="default" w:ascii="Times New Roman" w:hAnsi="Times New Roman" w:eastAsia="方正仿宋_GBK" w:cs="Times New Roman"/>
          <w:b w:val="0"/>
          <w:i w:val="0"/>
          <w:caps w:val="0"/>
          <w:spacing w:val="0"/>
          <w:w w:val="100"/>
          <w:kern w:val="2"/>
          <w:sz w:val="32"/>
          <w:szCs w:val="32"/>
          <w:lang w:val="en-US" w:eastAsia="zh-CN" w:bidi="ar-SA"/>
        </w:rPr>
        <w:t>融合发展。包括推动多元化医养融合模式，完善养老领域医疗服务功能，建立健全长期照护服务体系。</w:t>
      </w:r>
      <w:r>
        <w:rPr>
          <w:rStyle w:val="8"/>
          <w:rFonts w:hint="eastAsia" w:ascii="Times New Roman" w:hAnsi="Times New Roman" w:eastAsia="方正仿宋_GBK" w:cs="Times New Roman"/>
          <w:b/>
          <w:bCs/>
          <w:i w:val="0"/>
          <w:caps w:val="0"/>
          <w:spacing w:val="0"/>
          <w:w w:val="100"/>
          <w:kern w:val="2"/>
          <w:sz w:val="32"/>
          <w:szCs w:val="32"/>
          <w:lang w:val="en-US" w:eastAsia="zh-CN" w:bidi="ar-SA"/>
        </w:rPr>
        <w:t>五</w:t>
      </w:r>
      <w:r>
        <w:rPr>
          <w:rStyle w:val="8"/>
          <w:rFonts w:hint="default" w:ascii="Times New Roman" w:hAnsi="Times New Roman" w:eastAsia="方正仿宋_GBK" w:cs="Times New Roman"/>
          <w:b/>
          <w:bCs/>
          <w:i w:val="0"/>
          <w:caps w:val="0"/>
          <w:spacing w:val="0"/>
          <w:w w:val="100"/>
          <w:kern w:val="2"/>
          <w:sz w:val="32"/>
          <w:szCs w:val="32"/>
          <w:lang w:val="en-US" w:eastAsia="zh-CN" w:bidi="ar-SA"/>
        </w:rPr>
        <w:t>是</w:t>
      </w:r>
      <w:r>
        <w:rPr>
          <w:rStyle w:val="8"/>
          <w:rFonts w:hint="default" w:ascii="Times New Roman" w:hAnsi="Times New Roman" w:eastAsia="方正仿宋_GBK" w:cs="Times New Roman"/>
          <w:b w:val="0"/>
          <w:i w:val="0"/>
          <w:caps w:val="0"/>
          <w:spacing w:val="0"/>
          <w:w w:val="100"/>
          <w:kern w:val="2"/>
          <w:sz w:val="32"/>
          <w:szCs w:val="32"/>
          <w:lang w:val="en-US" w:eastAsia="zh-CN" w:bidi="ar-SA"/>
        </w:rPr>
        <w:t>加强养老人才队伍建设，包括构建多元化为老服务队伍，提高养老人才综合素质，促进养老服务职业发展。</w:t>
      </w:r>
      <w:r>
        <w:rPr>
          <w:rStyle w:val="8"/>
          <w:rFonts w:hint="default" w:ascii="Times New Roman" w:hAnsi="Times New Roman" w:eastAsia="方正仿宋_GBK" w:cs="Times New Roman"/>
          <w:b/>
          <w:bCs/>
          <w:i w:val="0"/>
          <w:caps w:val="0"/>
          <w:spacing w:val="0"/>
          <w:w w:val="100"/>
          <w:kern w:val="2"/>
          <w:sz w:val="32"/>
          <w:szCs w:val="32"/>
          <w:lang w:val="en-US" w:eastAsia="zh-CN" w:bidi="ar-SA"/>
        </w:rPr>
        <w:t>七是</w:t>
      </w:r>
      <w:r>
        <w:rPr>
          <w:rStyle w:val="8"/>
          <w:rFonts w:hint="default" w:ascii="Times New Roman" w:hAnsi="Times New Roman" w:eastAsia="方正仿宋_GBK" w:cs="Times New Roman"/>
          <w:b w:val="0"/>
          <w:i w:val="0"/>
          <w:caps w:val="0"/>
          <w:spacing w:val="0"/>
          <w:w w:val="100"/>
          <w:kern w:val="2"/>
          <w:sz w:val="32"/>
          <w:szCs w:val="32"/>
          <w:lang w:val="en-US" w:eastAsia="zh-CN" w:bidi="ar-SA"/>
        </w:rPr>
        <w:t>推进“养老服务+”产业</w:t>
      </w:r>
      <w:r>
        <w:rPr>
          <w:rStyle w:val="8"/>
          <w:rFonts w:hint="eastAsia" w:ascii="Times New Roman" w:hAnsi="Times New Roman" w:eastAsia="方正仿宋_GBK" w:cs="Times New Roman"/>
          <w:b w:val="0"/>
          <w:i w:val="0"/>
          <w:caps w:val="0"/>
          <w:spacing w:val="0"/>
          <w:w w:val="100"/>
          <w:kern w:val="2"/>
          <w:sz w:val="32"/>
          <w:szCs w:val="32"/>
          <w:lang w:val="en-US" w:eastAsia="zh-CN" w:bidi="ar-SA"/>
        </w:rPr>
        <w:t>发展</w:t>
      </w:r>
      <w:r>
        <w:rPr>
          <w:rStyle w:val="8"/>
          <w:rFonts w:hint="default" w:ascii="Times New Roman" w:hAnsi="Times New Roman" w:eastAsia="方正仿宋_GBK" w:cs="Times New Roman"/>
          <w:b w:val="0"/>
          <w:i w:val="0"/>
          <w:caps w:val="0"/>
          <w:spacing w:val="0"/>
          <w:w w:val="100"/>
          <w:kern w:val="2"/>
          <w:sz w:val="32"/>
          <w:szCs w:val="32"/>
          <w:lang w:val="en-US" w:eastAsia="zh-CN" w:bidi="ar-SA"/>
        </w:rPr>
        <w:t>。包括打造智慧养老服务</w:t>
      </w:r>
      <w:r>
        <w:rPr>
          <w:rStyle w:val="8"/>
          <w:rFonts w:hint="eastAsia" w:ascii="Times New Roman" w:hAnsi="Times New Roman" w:eastAsia="方正仿宋_GBK" w:cs="Times New Roman"/>
          <w:b w:val="0"/>
          <w:i w:val="0"/>
          <w:caps w:val="0"/>
          <w:spacing w:val="0"/>
          <w:w w:val="100"/>
          <w:kern w:val="2"/>
          <w:sz w:val="32"/>
          <w:szCs w:val="32"/>
          <w:lang w:val="en-US" w:eastAsia="zh-CN" w:bidi="ar-SA"/>
        </w:rPr>
        <w:t>模式</w:t>
      </w:r>
      <w:r>
        <w:rPr>
          <w:rStyle w:val="8"/>
          <w:rFonts w:hint="default" w:ascii="Times New Roman" w:hAnsi="Times New Roman" w:eastAsia="方正仿宋_GBK" w:cs="Times New Roman"/>
          <w:b w:val="0"/>
          <w:i w:val="0"/>
          <w:caps w:val="0"/>
          <w:spacing w:val="0"/>
          <w:w w:val="100"/>
          <w:kern w:val="2"/>
          <w:sz w:val="32"/>
          <w:szCs w:val="32"/>
          <w:lang w:val="en-US" w:eastAsia="zh-CN" w:bidi="ar-SA"/>
        </w:rPr>
        <w:t>，丰富养老服务业态，促进养老服务消费升级，建立健全老年人关爱服务体系。</w:t>
      </w:r>
      <w:r>
        <w:rPr>
          <w:rStyle w:val="8"/>
          <w:rFonts w:hint="eastAsia" w:ascii="Times New Roman" w:hAnsi="Times New Roman" w:eastAsia="方正仿宋_GBK" w:cs="Times New Roman"/>
          <w:b/>
          <w:bCs/>
          <w:i w:val="0"/>
          <w:caps w:val="0"/>
          <w:spacing w:val="0"/>
          <w:w w:val="100"/>
          <w:kern w:val="2"/>
          <w:sz w:val="32"/>
          <w:szCs w:val="32"/>
          <w:lang w:val="en-US" w:eastAsia="zh-CN" w:bidi="ar-SA"/>
        </w:rPr>
        <w:t>七</w:t>
      </w:r>
      <w:r>
        <w:rPr>
          <w:rStyle w:val="8"/>
          <w:rFonts w:hint="default" w:ascii="Times New Roman" w:hAnsi="Times New Roman" w:eastAsia="方正仿宋_GBK" w:cs="Times New Roman"/>
          <w:b/>
          <w:bCs/>
          <w:i w:val="0"/>
          <w:caps w:val="0"/>
          <w:spacing w:val="0"/>
          <w:w w:val="100"/>
          <w:kern w:val="2"/>
          <w:sz w:val="32"/>
          <w:szCs w:val="32"/>
          <w:lang w:val="en-US" w:eastAsia="zh-CN" w:bidi="ar-SA"/>
        </w:rPr>
        <w:t>是</w:t>
      </w:r>
      <w:r>
        <w:rPr>
          <w:rStyle w:val="8"/>
          <w:rFonts w:hint="default" w:ascii="Times New Roman" w:hAnsi="Times New Roman" w:eastAsia="方正仿宋_GBK" w:cs="Times New Roman"/>
          <w:b w:val="0"/>
          <w:i w:val="0"/>
          <w:caps w:val="0"/>
          <w:spacing w:val="0"/>
          <w:w w:val="100"/>
          <w:kern w:val="2"/>
          <w:sz w:val="32"/>
          <w:szCs w:val="32"/>
          <w:lang w:val="en-US" w:eastAsia="zh-CN" w:bidi="ar-SA"/>
        </w:rPr>
        <w:t>推进成渝</w:t>
      </w:r>
      <w:r>
        <w:rPr>
          <w:rStyle w:val="8"/>
          <w:rFonts w:hint="eastAsia" w:ascii="Times New Roman" w:hAnsi="Times New Roman" w:eastAsia="方正仿宋_GBK" w:cs="Times New Roman"/>
          <w:b w:val="0"/>
          <w:i w:val="0"/>
          <w:caps w:val="0"/>
          <w:spacing w:val="0"/>
          <w:w w:val="100"/>
          <w:kern w:val="2"/>
          <w:sz w:val="32"/>
          <w:szCs w:val="32"/>
          <w:lang w:val="en-US" w:eastAsia="zh-CN" w:bidi="ar-SA"/>
        </w:rPr>
        <w:t>两地养老服务</w:t>
      </w:r>
      <w:r>
        <w:rPr>
          <w:rStyle w:val="8"/>
          <w:rFonts w:hint="default" w:ascii="Times New Roman" w:hAnsi="Times New Roman" w:eastAsia="方正仿宋_GBK" w:cs="Times New Roman"/>
          <w:b w:val="0"/>
          <w:i w:val="0"/>
          <w:caps w:val="0"/>
          <w:spacing w:val="0"/>
          <w:w w:val="100"/>
          <w:kern w:val="2"/>
          <w:sz w:val="32"/>
          <w:szCs w:val="32"/>
          <w:lang w:val="en-US" w:eastAsia="zh-CN" w:bidi="ar-SA"/>
        </w:rPr>
        <w:t>协同发展。包括政策协同、标准协同和资源信息共享。</w:t>
      </w:r>
    </w:p>
    <w:p>
      <w:pPr>
        <w:pStyle w:val="2"/>
        <w:keepNext w:val="0"/>
        <w:keepLines w:val="0"/>
        <w:pageBreakBefore w:val="0"/>
        <w:kinsoku/>
        <w:wordWrap/>
        <w:overflowPunct/>
        <w:topLinePunct w:val="0"/>
        <w:bidi w:val="0"/>
        <w:snapToGrid/>
        <w:spacing w:line="560" w:lineRule="exact"/>
        <w:ind w:firstLine="640" w:firstLineChars="200"/>
        <w:rPr>
          <w:rFonts w:hint="default"/>
          <w:lang w:val="en-US" w:eastAsia="zh-CN"/>
        </w:rPr>
      </w:pPr>
      <w:r>
        <w:rPr>
          <w:rStyle w:val="8"/>
          <w:rFonts w:hint="eastAsia" w:ascii="方正楷体_GBK" w:hAnsi="方正楷体_GBK" w:eastAsia="方正楷体_GBK" w:cs="方正楷体_GBK"/>
          <w:b w:val="0"/>
          <w:bCs w:val="0"/>
          <w:i w:val="0"/>
          <w:caps w:val="0"/>
          <w:color w:val="auto"/>
          <w:spacing w:val="0"/>
          <w:w w:val="100"/>
          <w:kern w:val="2"/>
          <w:sz w:val="32"/>
          <w:szCs w:val="32"/>
          <w:lang w:val="en-US" w:eastAsia="zh-CN" w:bidi="ar-SA"/>
        </w:rPr>
        <w:t>（五）保障措施。</w:t>
      </w:r>
      <w:r>
        <w:rPr>
          <w:rStyle w:val="8"/>
          <w:rFonts w:hint="eastAsia" w:ascii="Times New Roman" w:hAnsi="Times New Roman" w:eastAsia="方正仿宋_GBK" w:cs="Times New Roman"/>
          <w:b/>
          <w:bCs/>
          <w:i w:val="0"/>
          <w:caps w:val="0"/>
          <w:spacing w:val="0"/>
          <w:w w:val="100"/>
          <w:kern w:val="2"/>
          <w:sz w:val="32"/>
          <w:szCs w:val="32"/>
          <w:lang w:val="en-US" w:eastAsia="zh-CN" w:bidi="ar-SA"/>
        </w:rPr>
        <w:t>一是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加强组织领导。</w:t>
      </w:r>
      <w:r>
        <w:rPr>
          <w:rStyle w:val="8"/>
          <w:rFonts w:hint="eastAsia" w:ascii="Times New Roman" w:hAnsi="Times New Roman" w:eastAsia="方正仿宋_GBK" w:cs="Times New Roman"/>
          <w:b/>
          <w:bCs/>
          <w:i w:val="0"/>
          <w:caps w:val="0"/>
          <w:spacing w:val="0"/>
          <w:w w:val="100"/>
          <w:kern w:val="2"/>
          <w:sz w:val="32"/>
          <w:szCs w:val="32"/>
          <w:lang w:val="en-US" w:eastAsia="zh-CN" w:bidi="ar-SA"/>
        </w:rPr>
        <w:t>二是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强化设施保障。</w:t>
      </w:r>
      <w:r>
        <w:rPr>
          <w:rStyle w:val="8"/>
          <w:rFonts w:hint="eastAsia" w:ascii="Times New Roman" w:hAnsi="Times New Roman" w:eastAsia="方正仿宋_GBK" w:cs="Times New Roman"/>
          <w:b/>
          <w:bCs/>
          <w:i w:val="0"/>
          <w:caps w:val="0"/>
          <w:spacing w:val="0"/>
          <w:w w:val="100"/>
          <w:kern w:val="2"/>
          <w:sz w:val="32"/>
          <w:szCs w:val="32"/>
          <w:lang w:val="en-US" w:eastAsia="zh-CN" w:bidi="ar-SA"/>
        </w:rPr>
        <w:t>三是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拓展资金投入。</w:t>
      </w:r>
      <w:r>
        <w:rPr>
          <w:rStyle w:val="8"/>
          <w:rFonts w:hint="eastAsia" w:ascii="Times New Roman" w:hAnsi="Times New Roman" w:eastAsia="方正仿宋_GBK" w:cs="Times New Roman"/>
          <w:b/>
          <w:bCs/>
          <w:i w:val="0"/>
          <w:caps w:val="0"/>
          <w:spacing w:val="0"/>
          <w:w w:val="100"/>
          <w:kern w:val="2"/>
          <w:sz w:val="32"/>
          <w:szCs w:val="32"/>
          <w:lang w:val="en-US" w:eastAsia="zh-CN" w:bidi="ar-SA"/>
        </w:rPr>
        <w:t>四是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加强宣传引导。</w:t>
      </w:r>
      <w:r>
        <w:rPr>
          <w:rStyle w:val="8"/>
          <w:rFonts w:hint="eastAsia" w:ascii="Times New Roman" w:hAnsi="Times New Roman" w:eastAsia="方正仿宋_GBK" w:cs="Times New Roman"/>
          <w:b/>
          <w:bCs/>
          <w:i w:val="0"/>
          <w:caps w:val="0"/>
          <w:spacing w:val="0"/>
          <w:w w:val="100"/>
          <w:kern w:val="2"/>
          <w:sz w:val="32"/>
          <w:szCs w:val="32"/>
          <w:lang w:val="en-US" w:eastAsia="zh-CN" w:bidi="ar-SA"/>
        </w:rPr>
        <w:t>五是</w:t>
      </w:r>
      <w:r>
        <w:rPr>
          <w:rStyle w:val="8"/>
          <w:rFonts w:hint="eastAsia" w:ascii="Times New Roman" w:hAnsi="Times New Roman" w:eastAsia="方正仿宋_GBK" w:cs="Times New Roman"/>
          <w:b w:val="0"/>
          <w:i w:val="0"/>
          <w:caps w:val="0"/>
          <w:spacing w:val="0"/>
          <w:w w:val="100"/>
          <w:kern w:val="2"/>
          <w:sz w:val="32"/>
          <w:szCs w:val="32"/>
          <w:lang w:val="en-US" w:eastAsia="zh-CN" w:bidi="ar-SA"/>
        </w:rPr>
        <w:t>强化监测评估。</w:t>
      </w:r>
    </w:p>
    <w:p>
      <w:pPr>
        <w:pStyle w:val="2"/>
        <w:rPr>
          <w:rFonts w:hint="default"/>
          <w:lang w:val="en-US" w:eastAsia="zh-CN"/>
        </w:rPr>
      </w:pPr>
    </w:p>
    <w:p>
      <w:pPr>
        <w:pStyle w:val="9"/>
      </w:pPr>
    </w:p>
    <w:p>
      <w:bookmarkStart w:id="2" w:name="_GoBack"/>
      <w:bookmarkEnd w:id="2"/>
    </w:p>
    <w:sectPr>
      <w:pgSz w:w="11906" w:h="16838"/>
      <w:pgMar w:top="2098" w:right="1474" w:bottom="1984" w:left="1587" w:header="851" w:footer="992" w:gutter="0"/>
      <w:pgNumType w:start="1"/>
      <w:cols w:space="720" w:num="1"/>
      <w:rtlGutter w:val="0"/>
      <w:docGrid w:type="lines" w:linePitch="32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0" w:usb1="00000000" w:usb2="00000000" w:usb3="00000000" w:csb0="0000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D3914CB"/>
    <w:rsid w:val="5D3914C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6">
    <w:name w:val="Normal Table"/>
    <w:semiHidden/>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3">
    <w:name w:val="Body Text"/>
    <w:basedOn w:val="1"/>
    <w:next w:val="4"/>
    <w:qFormat/>
    <w:uiPriority w:val="0"/>
    <w:pPr>
      <w:spacing w:after="120"/>
    </w:pPr>
  </w:style>
  <w:style w:type="paragraph" w:styleId="4">
    <w:name w:val="Body Text Indent"/>
    <w:basedOn w:val="1"/>
    <w:qFormat/>
    <w:uiPriority w:val="0"/>
    <w:pPr>
      <w:ind w:firstLine="200" w:firstLineChars="200"/>
    </w:pPr>
    <w:rPr>
      <w:sz w:val="32"/>
    </w:rPr>
  </w:style>
  <w:style w:type="paragraph" w:styleId="5">
    <w:name w:val="footer"/>
    <w:basedOn w:val="1"/>
    <w:qFormat/>
    <w:uiPriority w:val="0"/>
    <w:pPr>
      <w:tabs>
        <w:tab w:val="center" w:pos="4153"/>
        <w:tab w:val="right" w:pos="8306"/>
      </w:tabs>
      <w:snapToGrid w:val="0"/>
      <w:jc w:val="left"/>
    </w:pPr>
    <w:rPr>
      <w:sz w:val="18"/>
    </w:rPr>
  </w:style>
  <w:style w:type="character" w:customStyle="1" w:styleId="8">
    <w:name w:val="NormalCharacter"/>
    <w:qFormat/>
    <w:uiPriority w:val="99"/>
    <w:rPr>
      <w:rFonts w:ascii="Times New Roman" w:hAnsi="Times New Roman" w:eastAsia="宋体"/>
    </w:rPr>
  </w:style>
  <w:style w:type="paragraph" w:customStyle="1" w:styleId="9">
    <w:name w:val="正文首行缩进1"/>
    <w:basedOn w:val="3"/>
    <w:qFormat/>
    <w:uiPriority w:val="0"/>
    <w:pPr>
      <w:adjustRightInd w:val="0"/>
      <w:spacing w:line="275" w:lineRule="atLeast"/>
      <w:ind w:firstLine="420"/>
      <w:textAlignment w:val="baseline"/>
    </w:pPr>
    <w:rPr>
      <w:rFonts w:hAnsi="宋体" w:eastAsia="楷体_GB2312"/>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2021-10-22T01:16:00Z</dcterms:created>
  <dc:creator>red</dc:creator>
  <cp:lastModifiedBy>red</cp:lastModifiedBy>
  <dcterms:modified xsi:type="dcterms:W3CDTF">2021-10-22T01:17:56Z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ies>
</file>