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关于印发《重庆市渝北区重大林业有害生物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违法行为举报奖励办法》的通知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渝北林〔2021〕27号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各镇人民政府，各街道办事处，各国有林场：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按照上级有关工作要求，经区林业局党委研究同意，现将《重庆市渝北区重大林业有害生物违法行为举报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奖励办法》印发给你们，请认真贯彻落实。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重庆市渝北区林业局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2021年2月24日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重庆市渝北区重大林业有害生物违法行为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举报奖励办法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为认真贯彻落实国务院办公厅《关于进一步加强林业有害生物防治工作的意见》（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国办发〔2014〕26号）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重庆市重大林业有害生物防控指挥部办公室《关于加强松材线虫病等灾害联防联治工作的通知》（渝重林防指办〔2019〕41号）精神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严格执行《中华人民共和国森林法》、国务院《植物检疫条例》、《重庆市植物检疫条例》等法律法规，并按照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重庆市林业局办公室《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关于进一步加强林业植物检疫执法工作的通知》（渝林办〔2018〕46号）工作要求，进一步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强化社会监督，鼓励公众参与，依法惩处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重大林业有害生物防控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违法违规行为，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有效预防和遏制松材线虫病等重大林业有害生物的传播蔓延态势，确保全区森林健康及生态安全，特制定本举报奖励办法。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一、举报范围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凡在重庆市渝北区辖区范围内有以下重大林业有害生物违法行为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之一的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任何组织和个人均可举报：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（一）违法调运、加工、经营、使用、生产林业植物及其产品的；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违法调运、经营、加工、使用松疫木及其制品的；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伪造、涂改、买卖、转让植物检疫单证、印章、标志、封识的；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松材线虫病疫区内企业、农户违法砍伐、私藏和使用疫木的；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松材线虫病除治企业或除治人员故意丢弃、藏匿疫木在林间或偷运出售以及放任、唆使其他人员搬走疫木的。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二、举报要求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举报时要有明确的被举报人或企业，并尽量提供举报对象的详细情况，包括被举报人信息，违规调运、加工、经营、使用林业植物及其产品品种、数量；违法车辆特征、车牌号、运输路线、违法行为发生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（二）尽量收集违法人的具体违法事实或初步证据（包括照片、录音等）。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三、奖励原则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（一）举报的线索已经相关部门核实查证属于违法行为的。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（二）举报奖励对象原则上限于实名举报，对匿名举报的，能够确定举报人真实身份，且举报人愿意领取奖励的。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（三）同一案件由两个以上举报人分别举报的，奖励第一时间举报人；两人或两人以上联名举报同一案件的，按同一举报奖励，奖金由举报人协商分配。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（四）举报人为从事本职工作的人员或其授意他人举报的，不予奖励。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（五）其他不符合法律、法规规定的举报不予奖励。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凡举报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违法调运、加工、经营、使用、生产林业植物及其产品的，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（二）凡举报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违法调运、经营、加工、使用松疫木及其制品的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被司法机关追究刑事责任的，奖励人民币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（三）凡举报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伪造、涂改、买卖、转让植物检疫单证、印章、标志、封识的，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被司法机关追究刑事责任的，奖励人民币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（四）凡举报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农户违法砍伐、私藏和使用疫木的，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（五）凡举报企业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违法砍伐、私藏和使用疫木的，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00—1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（疫木1株奖励3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元，最高不超过1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元；疫木长2米以下的4节算1株，2米以上的2节算1株，枝丫1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公斤以上算1株，不足1株的按1株算）；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被司法机关追究刑事责任的，奖励人民币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（六）凡举报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松材线虫病除治企业或除治人员故意丢弃、藏匿疫木在林间或偷运出售以及放任、唆使其他人员搬走疫木的，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调查属实后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，给予举报人奖励人民币300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（疫木1株奖励3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元，最高不超过1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元；疫木长2米以下的4节算1株，2米以上的2节算1株，枝丫1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公斤以上算1株，不足1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株的按1株算）；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被司法机关追究刑事责任的，奖励人民币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（一）、（二）、（三）种情况由重庆市渝北区林业局受理核实，镇街配合，奖励由重庆市渝北区林业局兑付；（四）、（五）、（六）种情况由当地镇人民政府（街道办事处、林场）受理核实，奖励由当地镇人民政府（街道办事处、林场）兑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五、领奖程序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（一）经相关部门查证属实后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个工作日内，告知符合奖励条件的举报人领取奖励。在规定的时间内凭有效身份证件复印件到举报受理单位领取奖金。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（二）举报人委托他人代领奖金的，应当提供委托证明、委托人和受委托人的身份证或其他有效证件。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（三）举报人无法现场领奖且无委托人的，应及时说明情况并提供有效身份证件照片和手机号码或银行账号、微信号，由奖励部门将奖金充值到举报人手机上或转入指定的账户或微信上。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（四）举报人在接到举报奖励告知之日起20个工作日内未领取奖金的，视为自动放弃奖励权利。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重大林业有害生物违法行为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有奖举报办法作为实施重大林业有害生物防控工作政务公开、接受群众监督的一项重要措施，举报奖励部门应对举报人的姓名、地址、电话、信函等严格保密，切实保护举报人的合法权益。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（二）凡将举报人信息泄露，视其情节轻重，对信息泄露责任人按照有关规定严肃处理。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（三）举报人在举报时应实事求是，如发现故意捏造违法事实诬告他人，或者弄虚作假骗取奖励，视其情节轻重，依法追究举报人相应的法律责任。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七、举报方式及受理时限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（一）举报人可通过实名或匿名方式举报。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（二）举报人可以通过书面、电话等方式举报，也可直接到重庆市渝北区林业局或当地镇人民政府（街道办事处）当面举报。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（三）受理举报的单位有权查处的，依法进行查处，并将查处结果告知举报人；受理举报的单位无权查处的，及时移送有权查处单位进行查处，查处单位查处完毕后应将查处结果告知移送单位和举报人。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（四）举报受理时限：上述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举报范围第（一）、（二）、（三）、（四）项违法行为，受理时间为全年；举报范围第（五）项违法行为的，受理时间为每年3月21日至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奖励资金纳入已安排的松材线虫病防治等资金统筹解决，举报受理单位负责审核举报奖励兑现数据真实性，接受审计、纪检监察等监督。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本办法由重庆市渝北区林业局负责解释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举报单位电话：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石船镇：67251806   洛碛镇：67381653   龙兴镇：67341069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大湾镇：67213243   古路镇：67166361   统景镇：67281149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大盛镇：67283312   木耳镇：67488012   兴隆镇：67171096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20" w:rightChars="-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茨竹镇：67211046   玉峰山镇：67163129  王家街道：67179799  两路街道：86095100  回兴街道：67451207  仙桃街道： 67586622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20" w:rightChars="-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悦来街道：67481299  龙塔街道：86812400  龙溪街道：67071916             龙山街道：67913451 统景林场：67281225 双凤桥街道：67838752  双龙湖街道：67816196 宝圣湖街道：60350600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20" w:rightChars="-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玉峰山林场：67167763 华蓥山林场：67849665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重庆市渝北区林业局：67821123（白天）67829897（夜间）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重庆市渝北区林业局地址：渝北区双凤路318号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重庆市渝北区林业局发布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渝北区林业局行政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46F6A"/>
    <w:multiLevelType w:val="singleLevel"/>
    <w:tmpl w:val="EA846F6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061996"/>
    <w:rsid w:val="196673CA"/>
    <w:rsid w:val="1CF734C9"/>
    <w:rsid w:val="1DEC284C"/>
    <w:rsid w:val="1E4E59B9"/>
    <w:rsid w:val="1E6523AC"/>
    <w:rsid w:val="1EF74B02"/>
    <w:rsid w:val="218A3AC3"/>
    <w:rsid w:val="22440422"/>
    <w:rsid w:val="22BB4BBB"/>
    <w:rsid w:val="2609577F"/>
    <w:rsid w:val="2AA54DE6"/>
    <w:rsid w:val="2AEB3417"/>
    <w:rsid w:val="2EB770C5"/>
    <w:rsid w:val="31A15F24"/>
    <w:rsid w:val="31FC0144"/>
    <w:rsid w:val="34AB41DD"/>
    <w:rsid w:val="36FB1DF0"/>
    <w:rsid w:val="3763600D"/>
    <w:rsid w:val="39047388"/>
    <w:rsid w:val="395347B5"/>
    <w:rsid w:val="397A35A0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5AF061D"/>
    <w:rsid w:val="489624D6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6525D78"/>
    <w:rsid w:val="572C6D10"/>
    <w:rsid w:val="593E64D7"/>
    <w:rsid w:val="5A8077C9"/>
    <w:rsid w:val="5DC34279"/>
    <w:rsid w:val="5F447A17"/>
    <w:rsid w:val="5FCD688E"/>
    <w:rsid w:val="5FF9BDAA"/>
    <w:rsid w:val="608816D1"/>
    <w:rsid w:val="60EF4E7F"/>
    <w:rsid w:val="6290695F"/>
    <w:rsid w:val="648B0A32"/>
    <w:rsid w:val="648D7C9B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2644</Words>
  <Characters>2901</Characters>
  <Lines>1</Lines>
  <Paragraphs>1</Paragraphs>
  <TotalTime>8</TotalTime>
  <ScaleCrop>false</ScaleCrop>
  <LinksUpToDate>false</LinksUpToDate>
  <CharactersWithSpaces>3004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2023-10-27T01:43:07Z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  <property fmtid="{D5CDD505-2E9C-101B-9397-08002B2CF9AE}" pid="4" name="KSOSaveFontToCloudKey">
    <vt:lpwstr>291539187_btnclosed</vt:lpwstr>
  </property>
</Properties>
</file>